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5B" w:rsidRDefault="006E525B">
      <w:pPr>
        <w:pStyle w:val="1"/>
        <w:rPr>
          <w:rFonts w:ascii="Times New Roman" w:hAnsi="Times New Roman"/>
          <w:i/>
        </w:rPr>
      </w:pPr>
    </w:p>
    <w:p w:rsidR="006E525B" w:rsidRDefault="006E525B">
      <w:pPr>
        <w:pStyle w:val="1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Лебедев Алексей Валентинович </w:t>
      </w:r>
    </w:p>
    <w:p w:rsidR="006E525B" w:rsidRDefault="006E525B">
      <w:pPr>
        <w:pStyle w:val="1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Ноль Лев Яковлевич </w:t>
      </w:r>
    </w:p>
    <w:p w:rsidR="006E525B" w:rsidRDefault="006E525B">
      <w:pPr>
        <w:pStyle w:val="1"/>
        <w:rPr>
          <w:rFonts w:ascii="Times New Roman" w:hAnsi="Times New Roman"/>
        </w:rPr>
      </w:pPr>
    </w:p>
    <w:p w:rsidR="006E525B" w:rsidRDefault="006E525B"/>
    <w:p w:rsidR="006E525B" w:rsidRDefault="006E525B">
      <w:pPr>
        <w:jc w:val="center"/>
      </w:pPr>
    </w:p>
    <w:p w:rsidR="006E525B" w:rsidRDefault="006E525B">
      <w:pPr>
        <w:pStyle w:val="3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АДИТ В СИСТЕМЕ НЕПРЕРЫВНОГО ОБРАЗОВАНИЯ</w:t>
      </w:r>
    </w:p>
    <w:p w:rsidR="006E525B" w:rsidRDefault="006E525B">
      <w:pPr>
        <w:jc w:val="center"/>
      </w:pPr>
    </w:p>
    <w:p w:rsidR="006E525B" w:rsidRDefault="006E525B">
      <w:pPr>
        <w:jc w:val="both"/>
      </w:pPr>
      <w:r>
        <w:t xml:space="preserve">Мы живем в эпоху перехода от индустриальной (товаропроизводящей) к постиндустриальной (обслуживающей) экономике. Экономистами и философами разработан ряд моделей постиндустриального общества. Одна из наиболее известных - модель </w:t>
      </w:r>
      <w:r>
        <w:rPr>
          <w:b/>
          <w:i/>
        </w:rPr>
        <w:t>информационного общества</w:t>
      </w:r>
      <w:r>
        <w:t xml:space="preserve">. </w:t>
      </w:r>
    </w:p>
    <w:p w:rsidR="006E525B" w:rsidRDefault="006E525B">
      <w:pPr>
        <w:pStyle w:val="a9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индустриальном обществе основная борьба ведется за доступ к </w:t>
      </w:r>
      <w:r>
        <w:rPr>
          <w:rFonts w:ascii="Times New Roman" w:hAnsi="Times New Roman"/>
          <w:b/>
          <w:i/>
          <w:sz w:val="24"/>
        </w:rPr>
        <w:t>благу</w:t>
      </w:r>
      <w:r>
        <w:rPr>
          <w:rFonts w:ascii="Times New Roman" w:hAnsi="Times New Roman"/>
          <w:sz w:val="24"/>
        </w:rPr>
        <w:t xml:space="preserve">. Попросту говоря, власть принадлежит тому, кто добрался до нефтяной скважины. Чем меньше тех, кто может качать из нее нефть, тем лучше каждому из них. А если кому-то удается устранить конкурентов и остаться у "крана" в одиночестве, возникает идеальная для него ситуация: он становится монополистом, именно ему принадлежит власть в обществе. </w:t>
      </w:r>
    </w:p>
    <w:p w:rsidR="006E525B" w:rsidRDefault="006E525B">
      <w:pPr>
        <w:pStyle w:val="a9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информационную эпоху ситуация заметно усложняется. По справедливому наблюдению  В.Л. Иноземцева, "информация не только наиболее демократичный источник власти", но и наименее демократичный фактор производства, "так как доступ к ней отнюдь не означает обладания ею, …ей присуща избирательность, что… и наделяет ее владельца властью. …Впервые в истории условием принадлежности к господствующему классу становится не право распоряжаться благом, а способность им воспользоваться"</w:t>
      </w:r>
      <w:r>
        <w:rPr>
          <w:rStyle w:val="a4"/>
          <w:rFonts w:ascii="Times New Roman" w:hAnsi="Times New Roman"/>
          <w:sz w:val="24"/>
        </w:rPr>
        <w:footnoteReference w:id="1"/>
      </w:r>
      <w:r>
        <w:rPr>
          <w:rFonts w:ascii="Times New Roman" w:hAnsi="Times New Roman"/>
          <w:sz w:val="24"/>
        </w:rPr>
        <w:t xml:space="preserve">. </w:t>
      </w:r>
    </w:p>
    <w:p w:rsidR="006E525B" w:rsidRDefault="006E525B">
      <w:pPr>
        <w:pStyle w:val="a9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информационном обществе </w:t>
      </w:r>
      <w:r>
        <w:rPr>
          <w:rFonts w:ascii="Times New Roman" w:hAnsi="Times New Roman"/>
          <w:b/>
          <w:i/>
          <w:sz w:val="24"/>
        </w:rPr>
        <w:t>теоретическое знание</w:t>
      </w:r>
      <w:r>
        <w:rPr>
          <w:rFonts w:ascii="Times New Roman" w:hAnsi="Times New Roman"/>
          <w:sz w:val="24"/>
        </w:rPr>
        <w:t xml:space="preserve"> превращается в один из ключевых источников развития. Основным фактором социальной стратификации становится образование и профессионализм, а главным конфликтом в системе производственных отношений - конфликт между знанием и некомпетентностью. </w:t>
      </w:r>
    </w:p>
    <w:p w:rsidR="006E525B" w:rsidRDefault="006E525B">
      <w:pPr>
        <w:pStyle w:val="a9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Эти обстоятельства определяют качественно новое положение образовательных технологий в современном мире.</w:t>
      </w:r>
    </w:p>
    <w:p w:rsidR="006E525B" w:rsidRDefault="006E525B">
      <w:pPr>
        <w:ind w:firstLine="720"/>
        <w:jc w:val="both"/>
      </w:pPr>
      <w:r>
        <w:t xml:space="preserve">В сфере обучения принципиальное различие между индустриальным и постиндустриальным обществом выразилось в разделении </w:t>
      </w:r>
      <w:r>
        <w:rPr>
          <w:i/>
        </w:rPr>
        <w:t xml:space="preserve">подготовки кадров </w:t>
      </w:r>
      <w:r>
        <w:t>и</w:t>
      </w:r>
      <w:r>
        <w:rPr>
          <w:i/>
        </w:rPr>
        <w:t xml:space="preserve"> образования</w:t>
      </w:r>
      <w:r>
        <w:t xml:space="preserve">. Подготовка кадров характерна для индустриальной фазы общественного развития, когда есть производство (не важно - завод или музей), для которого готовят кадры, встраивая людей в существующую систему. Постиндустриальное общество нуждается в специалистах иной квалификации: ему нужны не "винтики" для готовых структур, а менеджеры - люди способные самостоятельно проектировать такие структуры и управлять ими. Подготовка кадров постепенно теснится образованием, но на сегодняшней день продолжает оставаться самой распространенной технологией обучения.  Возможно, в этой двойственности выразилась переходность нашей эпохи. </w:t>
      </w:r>
    </w:p>
    <w:p w:rsidR="006E525B" w:rsidRDefault="006E525B">
      <w:pPr>
        <w:ind w:firstLine="720"/>
        <w:jc w:val="both"/>
      </w:pPr>
      <w:r>
        <w:t>Уделяя  особое внимание  организации образовательным программам, АДИТ проявляет инициативы в трех основных направлениях:</w:t>
      </w:r>
    </w:p>
    <w:p w:rsidR="006E525B" w:rsidRDefault="006E525B">
      <w:pPr>
        <w:numPr>
          <w:ilvl w:val="0"/>
          <w:numId w:val="6"/>
        </w:numPr>
        <w:tabs>
          <w:tab w:val="clear" w:pos="360"/>
          <w:tab w:val="num" w:pos="1068"/>
        </w:tabs>
        <w:ind w:left="1068"/>
        <w:jc w:val="both"/>
      </w:pPr>
      <w:r>
        <w:rPr>
          <w:i/>
        </w:rPr>
        <w:t>подготовке кадров</w:t>
      </w:r>
      <w:r>
        <w:t>, включающей обучение студентов-музеологов в вузах и обучение музейных специалистов в рамках программ повышения квалификации и переподготовки;</w:t>
      </w:r>
    </w:p>
    <w:p w:rsidR="006E525B" w:rsidRDefault="006E525B">
      <w:pPr>
        <w:numPr>
          <w:ilvl w:val="0"/>
          <w:numId w:val="6"/>
        </w:numPr>
        <w:tabs>
          <w:tab w:val="clear" w:pos="360"/>
          <w:tab w:val="num" w:pos="1068"/>
        </w:tabs>
        <w:ind w:left="1068"/>
        <w:jc w:val="both"/>
      </w:pPr>
      <w:r>
        <w:rPr>
          <w:i/>
        </w:rPr>
        <w:t>образованию</w:t>
      </w:r>
      <w:r>
        <w:t xml:space="preserve"> в строгом смысле этого слова в рамках специализированных проектно-аналитических семинаров;</w:t>
      </w:r>
    </w:p>
    <w:p w:rsidR="006E525B" w:rsidRDefault="006E525B">
      <w:pPr>
        <w:numPr>
          <w:ilvl w:val="0"/>
          <w:numId w:val="6"/>
        </w:numPr>
        <w:tabs>
          <w:tab w:val="clear" w:pos="360"/>
          <w:tab w:val="num" w:pos="1068"/>
        </w:tabs>
        <w:ind w:left="1068"/>
        <w:jc w:val="both"/>
      </w:pPr>
      <w:r>
        <w:rPr>
          <w:i/>
        </w:rPr>
        <w:t>смешанным формам обучения</w:t>
      </w:r>
      <w:r>
        <w:t xml:space="preserve"> (лекции и мастер-классы в ходе ежегодных конференций, работа информационной и консультационной служб АДИТ и др.).</w:t>
      </w:r>
    </w:p>
    <w:p w:rsidR="006E525B" w:rsidRDefault="006E525B">
      <w:pPr>
        <w:ind w:left="1080"/>
        <w:jc w:val="both"/>
        <w:rPr>
          <w:b/>
          <w:color w:val="800000"/>
        </w:rPr>
      </w:pPr>
    </w:p>
    <w:p w:rsidR="006E525B" w:rsidRDefault="006E525B">
      <w:pPr>
        <w:pStyle w:val="a5"/>
        <w:rPr>
          <w:sz w:val="24"/>
        </w:rPr>
      </w:pPr>
    </w:p>
    <w:p w:rsidR="006E525B" w:rsidRDefault="006E525B">
      <w:pPr>
        <w:pStyle w:val="a5"/>
        <w:spacing w:after="120"/>
        <w:jc w:val="center"/>
        <w:rPr>
          <w:b/>
          <w:sz w:val="24"/>
        </w:rPr>
      </w:pPr>
      <w:r>
        <w:rPr>
          <w:b/>
          <w:sz w:val="24"/>
        </w:rPr>
        <w:t xml:space="preserve">Программы переподготовки кадров и повышения квалификации </w:t>
      </w:r>
    </w:p>
    <w:p w:rsidR="006E525B" w:rsidRDefault="006E525B">
      <w:pPr>
        <w:pStyle w:val="a5"/>
        <w:ind w:firstLine="0"/>
        <w:rPr>
          <w:sz w:val="24"/>
        </w:rPr>
      </w:pPr>
      <w:r>
        <w:rPr>
          <w:sz w:val="24"/>
        </w:rPr>
        <w:t>Впервые обучение музейных специалистов основам компьютерных технологий проводилось в 1985 года в Институте переподготовки работников культуры и искусства Минкультуры СССР (в настоящее время – Академия переподготовки работников искусства, культуры и туризма АПРИКТ) по инициативе известного советского музеолога А.М. Разгона. С этого времени тема "Применение информационных технологий в музеях" заняла прочное место в программах переподготовки музейных специалистов.</w:t>
      </w:r>
    </w:p>
    <w:p w:rsidR="006E525B" w:rsidRDefault="006E525B">
      <w:pPr>
        <w:pStyle w:val="a5"/>
        <w:rPr>
          <w:sz w:val="24"/>
        </w:rPr>
      </w:pPr>
      <w:r>
        <w:rPr>
          <w:sz w:val="24"/>
        </w:rPr>
        <w:t xml:space="preserve">Ассоциация по документации и новым информационным технологиям с момента своего возникновения в 1996 году активно подключилась к проведению образовательных программ по информатике для музейных специалистов. </w:t>
      </w:r>
    </w:p>
    <w:p w:rsidR="006E525B" w:rsidRDefault="006E525B">
      <w:pPr>
        <w:ind w:firstLine="709"/>
        <w:jc w:val="both"/>
      </w:pPr>
      <w:r>
        <w:t>К 1997 году на кафедре музейного дела АПРИКТ сформировалось ядро педагогического коллектива из членов АДИТ, силами которых была подготовлена учебная программа "Компьютерные технологии в музее"</w:t>
      </w:r>
      <w:r>
        <w:rPr>
          <w:rStyle w:val="a4"/>
        </w:rPr>
        <w:footnoteReference w:id="2"/>
      </w:r>
      <w:r>
        <w:t xml:space="preserve">. С 1998 года по настоящее время обучение в АПРИКТ проводится по этой программе. </w:t>
      </w:r>
    </w:p>
    <w:p w:rsidR="006E525B" w:rsidRDefault="006E525B">
      <w:pPr>
        <w:ind w:firstLine="720"/>
        <w:jc w:val="both"/>
      </w:pPr>
      <w:r>
        <w:t>Теоретический курс позволяет слушателям освоить основные понятия информатики применительно к музейной деятельности, правильно оценить роль и место компьютерных технологий  в деятельности музея, свободно ориентироваться в проблемах, которые возникают в музее с применением этих технологий. Основной акцент в программе перенесен на активные формы обучения  и изучение передового опыта использования информационных технологий как в ведущих музеев страны (Музеи Московского Кремля,  ГИМ, ГМИИ им. А.С.Пушкина, Дарвиновский музей, Геологический музей, Центр ПИК и др.), так и в небольших региональных музеях. Слушатели знакомятся с типовыми проектными решениями ("АС-Музей" Главного информационно-вычислительного центра МК РФ, КАМИС фирмы "Альт-Софт), приобретают навыки использования специализированного программного обеспечения в практике музейной работы.</w:t>
      </w:r>
    </w:p>
    <w:p w:rsidR="006E525B" w:rsidRDefault="006E525B">
      <w:pPr>
        <w:ind w:firstLine="709"/>
        <w:jc w:val="both"/>
      </w:pPr>
      <w:r>
        <w:t xml:space="preserve">Объем и  содержание материала в конкретных учебно-тематических планах зависит от формы обучения и специфики группы. Для групп с формой обучения "Профессиональная подготовка" объем курса по информационным технологиям составляет 24 а.ч., для общих групп повышения квалификации – от 6 до 18 часов, для специализированных групп, проходящих повышение квалификации по  теме "Применение в музеях новых информационных технологий" программа включает 72 а.ч. лекционных и практических занятий. Такие группы формируются в составе не более 7 человек, с учетом  уровня подготовки и специализации слушателей. Обычно программа адаптируется под конкретный состав слушателей в группе. </w:t>
      </w:r>
    </w:p>
    <w:p w:rsidR="006E525B" w:rsidRDefault="006E525B">
      <w:pPr>
        <w:ind w:firstLine="709"/>
        <w:jc w:val="both"/>
      </w:pPr>
      <w:r>
        <w:t xml:space="preserve">В среднем в Академии в год переподготовку проходят до 60 и более музейных специалистов, повышение квалификации – до 200 и более, из них 15-20 по специальности "Применение в музеях новых информационных технологий". </w:t>
      </w:r>
    </w:p>
    <w:p w:rsidR="006E525B" w:rsidRDefault="006E525B">
      <w:pPr>
        <w:ind w:firstLine="709"/>
        <w:jc w:val="both"/>
      </w:pPr>
      <w:r>
        <w:t xml:space="preserve">Накопленный позволил приступить к реализации целевых программ повышения квалификации. В период с 1997 по 1999 год АДИТ выступил в качестве партнера при организации "заказных" одно – двухдневных семинаров в рамках ярмарки "Интермузей" и программы Государственной академии повышения квалификации специалистов инвестиционной сферы Министерства образования РФ. В 1997 году по программе АПРИКТ был проведен трехдневный семинар "Музей и новые информационные технологии" в Тюмени. В 1999 – 2000 годах на базе партнерских отношений с АПРИКТ проводились корпоративные образовательные программы по заявкам крупных музеев (в частности программа повышения квалификации группы из 70 специалистов Музеев Московского Кремля,  группы из 30 специалистов Государственного Исторического музея). </w:t>
      </w:r>
    </w:p>
    <w:p w:rsidR="006E525B" w:rsidRDefault="006E525B">
      <w:pPr>
        <w:ind w:firstLine="709"/>
        <w:jc w:val="both"/>
      </w:pPr>
    </w:p>
    <w:p w:rsidR="006E525B" w:rsidRDefault="006E525B">
      <w:pPr>
        <w:ind w:firstLine="709"/>
        <w:jc w:val="both"/>
      </w:pPr>
    </w:p>
    <w:p w:rsidR="006E525B" w:rsidRDefault="006E525B">
      <w:pPr>
        <w:pStyle w:val="a5"/>
        <w:spacing w:after="120"/>
        <w:jc w:val="center"/>
        <w:rPr>
          <w:b/>
          <w:sz w:val="24"/>
        </w:rPr>
      </w:pPr>
      <w:r>
        <w:rPr>
          <w:b/>
          <w:sz w:val="24"/>
        </w:rPr>
        <w:t>Обучение студентов-музеологов</w:t>
      </w:r>
    </w:p>
    <w:p w:rsidR="006E525B" w:rsidRDefault="006E525B">
      <w:pPr>
        <w:tabs>
          <w:tab w:val="left" w:pos="7230"/>
        </w:tabs>
        <w:jc w:val="both"/>
      </w:pPr>
      <w:r>
        <w:t>С 1997 года на Факультете музеологии Российского государственного гуманитарного университета специалистами АДИТ читается курс "Современные информационные технологии в музеях", рассчитанный на 36 академических часов. В 2000 году была утверждена новая учебная программа</w:t>
      </w:r>
      <w:r>
        <w:rPr>
          <w:rStyle w:val="a4"/>
        </w:rPr>
        <w:footnoteReference w:id="3"/>
      </w:r>
      <w:r>
        <w:t xml:space="preserve"> и курс введен в блок базовых дисциплин учебного плана РГГУ. Тематически и содержательно программа, подготовленная  для студентов университета,  весьма близка программе повышения квалификации музейных работников. Различие можно наблюдать в объемах, методических подходах к построению учебного процесса, в организации обучения, что определяется разницей в практическом опыте работы в музее и подготовленности в области информатики этих двух категорий обучающихся. </w:t>
      </w:r>
    </w:p>
    <w:p w:rsidR="006E525B" w:rsidRDefault="006E525B">
      <w:pPr>
        <w:ind w:firstLine="709"/>
        <w:jc w:val="both"/>
        <w:rPr>
          <w:color w:val="0000FF"/>
        </w:rPr>
      </w:pPr>
      <w:r>
        <w:rPr>
          <w:color w:val="000000"/>
        </w:rPr>
        <w:t>В Санкт-Петербургском государственном университете</w:t>
      </w:r>
      <w:r>
        <w:rPr>
          <w:color w:val="000000"/>
        </w:rPr>
        <w:br/>
        <w:t xml:space="preserve">культуры и искусств при поддержке АДИТ читается курс по применению информационных технологий в музеях для студентов, обучающихся по </w:t>
      </w:r>
      <w:r>
        <w:t>специальностям "Музееведение и охрана памятников истории и культуры" и "Менеджер антикварной и коллекционной деятельности". В основу курса также положена упомянутая выше учебная программа.</w:t>
      </w:r>
      <w:r>
        <w:rPr>
          <w:color w:val="0000FF"/>
        </w:rPr>
        <w:t xml:space="preserve"> </w:t>
      </w:r>
    </w:p>
    <w:p w:rsidR="006E525B" w:rsidRDefault="006E525B">
      <w:pPr>
        <w:ind w:firstLine="709"/>
        <w:jc w:val="both"/>
      </w:pPr>
      <w:r>
        <w:t xml:space="preserve">В Нижнем Новгороде при участии АДИТ создан Музейный центр, который  совместно с  Нижегородским государственным университетом реализует учебные программы для студентов, обучающихся по специальности "музеология, организация туристической деятельности", проводит практические семинары и учебы по внедрению компьютерных и Интернет технологий в деятельность специалистов сферы культуры. Со второй половины 2001 года обучение и внедрение компьютерных технологий становится главным видом деятельности Нижегородского музейного центра. Программа обучения включает установочную конференцию и проведение ежемесячных практических учеб в течение 8 месяцев (каждый месяц посвящен освоению одной из технологий или методик). </w:t>
      </w:r>
    </w:p>
    <w:p w:rsidR="006E525B" w:rsidRDefault="006E525B">
      <w:pPr>
        <w:ind w:firstLine="709"/>
        <w:jc w:val="both"/>
        <w:rPr>
          <w:color w:val="000000"/>
        </w:rPr>
      </w:pPr>
      <w:r>
        <w:rPr>
          <w:color w:val="0000FF"/>
        </w:rPr>
        <w:t xml:space="preserve"> </w:t>
      </w:r>
    </w:p>
    <w:p w:rsidR="006E525B" w:rsidRDefault="006E525B">
      <w:pPr>
        <w:ind w:firstLine="709"/>
        <w:jc w:val="both"/>
      </w:pPr>
    </w:p>
    <w:p w:rsidR="006E525B" w:rsidRDefault="006E525B">
      <w:pPr>
        <w:pStyle w:val="a5"/>
        <w:spacing w:after="120"/>
        <w:ind w:firstLine="0"/>
        <w:jc w:val="center"/>
        <w:rPr>
          <w:b/>
          <w:sz w:val="24"/>
        </w:rPr>
      </w:pPr>
      <w:r>
        <w:rPr>
          <w:b/>
          <w:sz w:val="24"/>
        </w:rPr>
        <w:t>Экспресс-обучение в рамках научно-практических конференций</w:t>
      </w:r>
    </w:p>
    <w:p w:rsidR="006E525B" w:rsidRDefault="006E525B">
      <w:pPr>
        <w:jc w:val="both"/>
      </w:pPr>
      <w:r>
        <w:t>Одна из образовательных инициатив АДИТ – это проведение "экспресс-обучения" в рамках ежегодных конференций. Например, на конференции АДИТ-2000 (Владимир) были проведены четыре мастер-класса: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"Программа HYPERMETHOD для создания электронных публикаций по музейной тематике" (Дмитрий Кречман, один из авторов программы, специалист из компании "ГиперМетод", Санкт Петербург);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Мастер-класс, знакомящий участников конференции с уже существующими и новыми разработками ГИВЦ МК РФ "Типовая интегрированная информационная система АС "Музей-2", "Графическая информационно-справочная система АС "Музей-3" (под руководством создателя этих систем Ольги Новиковой);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Мастер-класс, знакомящий с новейшей разработкой фирмы АльтСофт "Музейная информационная система КАМИС-2000" (создатель системы Юрий Лошак);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Мастер-класс "Технология проектирования и управления музейным Интернет-сайтом" (Татьяна Богомазова, Кунсткамера, Санкт- Петербург).</w:t>
      </w:r>
    </w:p>
    <w:p w:rsidR="006E525B" w:rsidRDefault="006E525B">
      <w:pPr>
        <w:jc w:val="both"/>
      </w:pPr>
      <w:r>
        <w:t>Аналогичные занятия по актуальным для музейных специалистов темам проходили и в рамках конференции АДИТ-2001 (Тула)</w:t>
      </w:r>
    </w:p>
    <w:p w:rsidR="006E525B" w:rsidRDefault="006E525B">
      <w:pPr>
        <w:ind w:firstLine="709"/>
        <w:jc w:val="both"/>
      </w:pPr>
      <w:r>
        <w:t>На конференции EVA-2001 (Москва) запланирована лекция "Информационный менеджмент в сфере культуры" (Алексей Лебедев, руководитель специализации "Информационный менеджмент" в Московской высшей школе социальных и экономических наук).</w:t>
      </w:r>
    </w:p>
    <w:p w:rsidR="006E525B" w:rsidRDefault="006E525B">
      <w:pPr>
        <w:pStyle w:val="3"/>
        <w:rPr>
          <w:rFonts w:ascii="Times New Roman" w:hAnsi="Times New Roman"/>
        </w:rPr>
      </w:pPr>
    </w:p>
    <w:p w:rsidR="006E525B" w:rsidRDefault="006E525B"/>
    <w:p w:rsidR="006E525B" w:rsidRDefault="006E525B">
      <w:pPr>
        <w:pStyle w:val="a5"/>
        <w:spacing w:after="120"/>
        <w:jc w:val="center"/>
        <w:rPr>
          <w:b/>
          <w:sz w:val="24"/>
        </w:rPr>
      </w:pPr>
      <w:r>
        <w:rPr>
          <w:b/>
          <w:sz w:val="24"/>
        </w:rPr>
        <w:t>Проектно-аналитические семинары в регионах России</w:t>
      </w:r>
    </w:p>
    <w:p w:rsidR="006E525B" w:rsidRDefault="006E525B">
      <w:pPr>
        <w:ind w:firstLine="709"/>
        <w:jc w:val="both"/>
      </w:pPr>
      <w:r>
        <w:t>Наиболее активной образовательной формой являются проектно-аналитические семинары, которые НП "АДИТ" организует и проводит совместно со своим партнером - АНО культуры "Музей будущего"</w:t>
      </w:r>
      <w:r>
        <w:rPr>
          <w:rStyle w:val="a4"/>
        </w:rPr>
        <w:footnoteReference w:id="4"/>
      </w:r>
      <w:r>
        <w:t xml:space="preserve">. Основные темы этих семинаров: "Информационный менеджмент в сфере культуры", "Информационные технологии и культурное наследие". Семинары ориентированы на  руководителей органов управления и учреждений культуры, музейных и библиотечных работников. </w:t>
      </w:r>
    </w:p>
    <w:p w:rsidR="006E525B" w:rsidRDefault="006E525B">
      <w:pPr>
        <w:ind w:firstLine="709"/>
        <w:jc w:val="both"/>
      </w:pPr>
      <w:r>
        <w:t xml:space="preserve">В отличие от обучения в системе подготовки кадров на проектно-аналитических семинарах нет традиционного деления "преподаватель -  слушатель". На семинаре реализуются четыре профессиональные позиции: 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</w:pPr>
      <w:r>
        <w:rPr>
          <w:b/>
          <w:i/>
        </w:rPr>
        <w:t>участник</w:t>
      </w:r>
      <w:r>
        <w:t xml:space="preserve"> - носитель практических знаний и навыков в широкой предметной области; 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</w:pPr>
      <w:r>
        <w:rPr>
          <w:b/>
          <w:i/>
        </w:rPr>
        <w:t>эксперт</w:t>
      </w:r>
      <w:r>
        <w:t xml:space="preserve"> - носитель теоретических и практических знаний в узкой предметной области; 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</w:pPr>
      <w:r>
        <w:rPr>
          <w:b/>
          <w:i/>
        </w:rPr>
        <w:t>координатор</w:t>
      </w:r>
      <w:r>
        <w:t xml:space="preserve">, организующий коммуникацию в ходе групповой работы; 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</w:pPr>
      <w:r>
        <w:rPr>
          <w:b/>
          <w:i/>
        </w:rPr>
        <w:t>руководитель семинара</w:t>
      </w:r>
      <w:r>
        <w:t>, организующий коммуникацию в ходе пленарного заседания.</w:t>
      </w:r>
    </w:p>
    <w:p w:rsidR="006E525B" w:rsidRDefault="006E525B">
      <w:pPr>
        <w:jc w:val="both"/>
      </w:pPr>
      <w:r>
        <w:t xml:space="preserve">В зависимости от тематики семинара специалисты АДИТ могут выступать в каждой из четырех названных позиций. Семинар предполагает коллективную работу, направленную на анализ существующих проблем, выработку новых идей и проектов. </w:t>
      </w:r>
    </w:p>
    <w:p w:rsidR="006E525B" w:rsidRDefault="006E525B">
      <w:pPr>
        <w:ind w:firstLine="709"/>
        <w:jc w:val="both"/>
      </w:pPr>
      <w:r>
        <w:t>Семинар работает в нескольких режимах: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</w:pPr>
      <w:r>
        <w:t xml:space="preserve">групповая работа по выработке новых проектных идей; 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</w:pPr>
      <w:r>
        <w:t xml:space="preserve">мастер-классы по использованию информационных технологий, которые проводят ведущие специалисты; 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</w:pPr>
      <w:r>
        <w:t xml:space="preserve">лекции и доклады экспертов о современных тенденциях и существующем в мире опыте решения подобных проблем; 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</w:pPr>
      <w:r>
        <w:t xml:space="preserve">консультации экспертов; </w:t>
      </w:r>
    </w:p>
    <w:p w:rsidR="006E525B" w:rsidRDefault="006E52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</w:pPr>
      <w:r>
        <w:t>общие пленумы, где происходит обсуждение докладов групп и "защита" коллективных и индивидуальных проектов, подготовленных участниками.</w:t>
      </w:r>
    </w:p>
    <w:p w:rsidR="006E525B" w:rsidRDefault="006E525B">
      <w:pPr>
        <w:jc w:val="both"/>
      </w:pPr>
      <w:r>
        <w:t>Главная задача проектно-аналитического семинара - выдвижение новых идей и доведение их до стадии проектов. В дальнейшем авторы проектов могут самостоятельно находить финансирование и воплощать свои замыслы в реальность. За год с небольшим (с марта 2000 по июнь 2001 года) через систему проектно-аналитических семинаров прошло более 300 специалистов - руководителей учреждений культуры, музейных и библиотечных работников из различных регионов России. Около половины подготовленных ими проектов уже получили финансовую поддержку со стороны разных государственных структур и фондов и сегодня успешно реализуются.</w:t>
      </w:r>
    </w:p>
    <w:p w:rsidR="006E525B" w:rsidRDefault="006E525B">
      <w:pPr>
        <w:ind w:firstLine="709"/>
        <w:jc w:val="both"/>
      </w:pPr>
      <w:r>
        <w:t>Своеобразным web-продолжением семинаров и одновременно учебным пособием для непрерывного образования по теме "Информационные технологии и культурное наследие" стал открытый в конце 2000 года сайт "Музей будущего" (http://www.future.museum.ru).  В ближайшие планы партнерства входит радикальная переработка сайта АДИТ (http://www.adit.ru) и интеграция образовательных разделов двух названных Интернет-ресурсов.</w:t>
      </w:r>
    </w:p>
    <w:p w:rsidR="006E525B" w:rsidRDefault="006E525B">
      <w:pPr>
        <w:jc w:val="both"/>
      </w:pPr>
      <w:bookmarkStart w:id="0" w:name="_GoBack"/>
      <w:bookmarkEnd w:id="0"/>
    </w:p>
    <w:sectPr w:rsidR="006E525B">
      <w:footerReference w:type="even" r:id="rId7"/>
      <w:footerReference w:type="default" r:id="rId8"/>
      <w:pgSz w:w="11906" w:h="16838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25B" w:rsidRDefault="006E525B">
      <w:r>
        <w:separator/>
      </w:r>
    </w:p>
  </w:endnote>
  <w:endnote w:type="continuationSeparator" w:id="0">
    <w:p w:rsidR="006E525B" w:rsidRDefault="006E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25B" w:rsidRDefault="006E525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6E525B" w:rsidRDefault="006E525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25B" w:rsidRDefault="006E525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6E525B" w:rsidRDefault="006E525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25B" w:rsidRDefault="006E525B">
      <w:r>
        <w:separator/>
      </w:r>
    </w:p>
  </w:footnote>
  <w:footnote w:type="continuationSeparator" w:id="0">
    <w:p w:rsidR="006E525B" w:rsidRDefault="006E525B">
      <w:r>
        <w:continuationSeparator/>
      </w:r>
    </w:p>
  </w:footnote>
  <w:footnote w:id="1">
    <w:p w:rsidR="006E525B" w:rsidRDefault="006E525B">
      <w:pPr>
        <w:pStyle w:val="a3"/>
        <w:ind w:right="-524"/>
        <w:jc w:val="both"/>
      </w:pPr>
      <w:r>
        <w:rPr>
          <w:rStyle w:val="a4"/>
        </w:rPr>
        <w:footnoteRef/>
      </w:r>
      <w:r>
        <w:t xml:space="preserve"> Иноземцев В.Л. "Класс интеллектуалов" в постиндустриальном обществе // Социс, 2000, № 6. С. 74</w:t>
      </w:r>
    </w:p>
  </w:footnote>
  <w:footnote w:id="2">
    <w:p w:rsidR="006E525B" w:rsidRDefault="006E525B">
      <w:pPr>
        <w:pStyle w:val="a3"/>
      </w:pPr>
      <w:r>
        <w:rPr>
          <w:rStyle w:val="a4"/>
        </w:rPr>
        <w:footnoteRef/>
      </w:r>
      <w:r>
        <w:t xml:space="preserve"> Ноль Л.Я. Учсебная программа курса "Компьютерные технологии в музее". М.: Институт переподготовки работников культуры, искусства и туризма Министерства культуры Российской федерации, 1998, 11 с.</w:t>
      </w:r>
    </w:p>
  </w:footnote>
  <w:footnote w:id="3">
    <w:p w:rsidR="006E525B" w:rsidRDefault="006E525B">
      <w:pPr>
        <w:pStyle w:val="a3"/>
      </w:pPr>
      <w:r>
        <w:rPr>
          <w:rStyle w:val="a4"/>
        </w:rPr>
        <w:footnoteRef/>
      </w:r>
      <w:r>
        <w:t xml:space="preserve"> Ноль Л.Я. Программа курса "Информационные технологии в музейной деятельности", программа курса для специальности 021000 – Музеология.  М.: Российский государственный гуманитерный университет, 2000, 16 с.</w:t>
      </w:r>
    </w:p>
  </w:footnote>
  <w:footnote w:id="4">
    <w:p w:rsidR="006E525B" w:rsidRDefault="006E525B">
      <w:pPr>
        <w:pStyle w:val="a3"/>
      </w:pPr>
      <w:r>
        <w:rPr>
          <w:rStyle w:val="a4"/>
        </w:rPr>
        <w:footnoteRef/>
      </w:r>
      <w:r>
        <w:t xml:space="preserve"> С марта 2000 по июнь 2001 года было проведено восемь таких семинаров (подробности см. на http://www.future.museum.ru/part06/060102.htm). В шести из них главным организатором был "Музей будущего", а АДИТ предоставлял экспертов для участия в семинаре. В двух случаях (</w:t>
      </w:r>
      <w:r w:rsidRPr="00081627">
        <w:rPr>
          <w:rFonts w:cs="Arial"/>
        </w:rPr>
        <w:t>Горки Ленинские, 16 - 18 февраля 2001 г.</w:t>
      </w:r>
      <w:r>
        <w:t xml:space="preserve">; </w:t>
      </w:r>
      <w:r w:rsidRPr="00081627">
        <w:rPr>
          <w:rFonts w:cs="Arial"/>
        </w:rPr>
        <w:t>Ясная Поляна, 26 - 28 мая 2001 г.</w:t>
      </w:r>
      <w:r>
        <w:t xml:space="preserve">) имела место обратная ситуация.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24B90"/>
    <w:multiLevelType w:val="hybridMultilevel"/>
    <w:tmpl w:val="3DE28096"/>
    <w:lvl w:ilvl="0" w:tplc="A95E08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B47C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A205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758C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9A068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D2C78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5F251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E68C9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C947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265993"/>
    <w:multiLevelType w:val="hybridMultilevel"/>
    <w:tmpl w:val="69427D3A"/>
    <w:lvl w:ilvl="0" w:tplc="0B704C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CB227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9DC15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E3886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1120E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6B60B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386E9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7A495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1D14EE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617C0E"/>
    <w:multiLevelType w:val="singleLevel"/>
    <w:tmpl w:val="36EC7E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7A3339A"/>
    <w:multiLevelType w:val="hybridMultilevel"/>
    <w:tmpl w:val="C81A15FE"/>
    <w:lvl w:ilvl="0" w:tplc="4D984E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BDC79E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7FB000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FDEC9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91418B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687E0E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B6FC78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2DE03BD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276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0400C82"/>
    <w:multiLevelType w:val="singleLevel"/>
    <w:tmpl w:val="36EC7E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E4F6F53"/>
    <w:multiLevelType w:val="singleLevel"/>
    <w:tmpl w:val="D50E0B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7EB16C6"/>
    <w:multiLevelType w:val="singleLevel"/>
    <w:tmpl w:val="36EC7E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E1F74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25B"/>
    <w:rsid w:val="00081627"/>
    <w:rsid w:val="006E525B"/>
    <w:rsid w:val="00DD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AD7C5-8CD7-4D08-86FF-2A5359D9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firstLine="720"/>
      <w:jc w:val="right"/>
      <w:outlineLvl w:val="0"/>
    </w:pPr>
    <w:rPr>
      <w:rFonts w:ascii="Arial" w:hAnsi="Arial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rFonts w:ascii="Arial" w:hAnsi="Arial"/>
      <w:b/>
      <w:lang w:val="en-US"/>
    </w:rPr>
  </w:style>
  <w:style w:type="paragraph" w:styleId="3">
    <w:name w:val="heading 3"/>
    <w:basedOn w:val="a"/>
    <w:next w:val="a"/>
    <w:qFormat/>
    <w:pPr>
      <w:keepNext/>
      <w:ind w:firstLine="709"/>
      <w:jc w:val="center"/>
      <w:outlineLvl w:val="2"/>
    </w:pPr>
    <w:rPr>
      <w:rFonts w:ascii="Arial" w:hAnsi="Arial"/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Body Text Indent"/>
    <w:basedOn w:val="a"/>
    <w:pPr>
      <w:ind w:firstLine="720"/>
      <w:jc w:val="both"/>
    </w:pPr>
    <w:rPr>
      <w:sz w:val="20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0"/>
  </w:style>
  <w:style w:type="paragraph" w:styleId="30">
    <w:name w:val="Body Text 3"/>
    <w:basedOn w:val="a"/>
    <w:rPr>
      <w:rFonts w:ascii="Arial" w:hAnsi="Arial" w:cs="Arial"/>
      <w:b/>
      <w:bCs/>
    </w:rPr>
  </w:style>
  <w:style w:type="paragraph" w:styleId="31">
    <w:name w:val="Body Text Indent 3"/>
    <w:basedOn w:val="a"/>
    <w:pPr>
      <w:ind w:firstLine="709"/>
      <w:jc w:val="both"/>
    </w:pPr>
    <w:rPr>
      <w:rFonts w:ascii="Arial" w:hAnsi="Arial"/>
      <w:b/>
      <w:bCs/>
    </w:rPr>
  </w:style>
  <w:style w:type="paragraph" w:customStyle="1" w:styleId="Web">
    <w:name w:val="Обычный (Web)"/>
    <w:basedOn w:val="a"/>
    <w:pPr>
      <w:spacing w:before="100" w:beforeAutospacing="1" w:after="100" w:afterAutospacing="1"/>
    </w:pPr>
    <w:rPr>
      <w:color w:val="000000"/>
      <w:szCs w:val="24"/>
    </w:rPr>
  </w:style>
  <w:style w:type="character" w:styleId="a8">
    <w:name w:val="Hyperlink"/>
    <w:basedOn w:val="a0"/>
    <w:rPr>
      <w:rFonts w:ascii="Arial" w:hAnsi="Arial" w:cs="Arial" w:hint="default"/>
      <w:strike w:val="0"/>
      <w:dstrike w:val="0"/>
      <w:color w:val="FFFFFF"/>
      <w:u w:val="none"/>
      <w:effect w:val="none"/>
    </w:rPr>
  </w:style>
  <w:style w:type="paragraph" w:styleId="20">
    <w:name w:val="Body Text Indent 2"/>
    <w:basedOn w:val="a"/>
    <w:pPr>
      <w:ind w:firstLine="709"/>
      <w:jc w:val="both"/>
    </w:pPr>
    <w:rPr>
      <w:rFonts w:ascii="Arial" w:hAnsi="Arial"/>
    </w:rPr>
  </w:style>
  <w:style w:type="paragraph" w:styleId="a9">
    <w:name w:val="Plain Text"/>
    <w:basedOn w:val="a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Лебедев Алексей Валентинович</vt:lpstr>
    </vt:vector>
  </TitlesOfParts>
  <Company>ГМИИ им. А.С. Пушкина</Company>
  <LinksUpToDate>false</LinksUpToDate>
  <CharactersWithSpaces>12307</CharactersWithSpaces>
  <SharedDoc>false</SharedDoc>
  <HLinks>
    <vt:vector size="12" baseType="variant">
      <vt:variant>
        <vt:i4>7798878</vt:i4>
      </vt:variant>
      <vt:variant>
        <vt:i4>3</vt:i4>
      </vt:variant>
      <vt:variant>
        <vt:i4>0</vt:i4>
      </vt:variant>
      <vt:variant>
        <vt:i4>5</vt:i4>
      </vt:variant>
      <vt:variant>
        <vt:lpwstr>http://www.future.museum.ru/part06/Yasn_Pol/info.htm</vt:lpwstr>
      </vt:variant>
      <vt:variant>
        <vt:lpwstr/>
      </vt:variant>
      <vt:variant>
        <vt:i4>6226010</vt:i4>
      </vt:variant>
      <vt:variant>
        <vt:i4>0</vt:i4>
      </vt:variant>
      <vt:variant>
        <vt:i4>0</vt:i4>
      </vt:variant>
      <vt:variant>
        <vt:i4>5</vt:i4>
      </vt:variant>
      <vt:variant>
        <vt:lpwstr>http://www.future.museum.ru/part06/gorky/info.htm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Лебедев Алексей Валентинович</dc:title>
  <dc:subject/>
  <dc:creator>Лев Ноль</dc:creator>
  <cp:keywords/>
  <dc:description/>
  <cp:lastModifiedBy>Irina</cp:lastModifiedBy>
  <cp:revision>2</cp:revision>
  <cp:lastPrinted>2001-10-08T13:07:00Z</cp:lastPrinted>
  <dcterms:created xsi:type="dcterms:W3CDTF">2014-08-20T21:21:00Z</dcterms:created>
  <dcterms:modified xsi:type="dcterms:W3CDTF">2014-08-20T21:21:00Z</dcterms:modified>
</cp:coreProperties>
</file>