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C4C3A" w:rsidRDefault="00EC4C3A" w:rsidP="00711CFC">
      <w:pPr>
        <w:pStyle w:val="a3"/>
        <w:jc w:val="center"/>
        <w:rPr>
          <w:rFonts w:ascii="Arial" w:hAnsi="Arial" w:cs="Arial"/>
          <w:b/>
          <w:bCs/>
          <w:color w:val="000000"/>
          <w:sz w:val="20"/>
          <w:szCs w:val="20"/>
        </w:rPr>
      </w:pPr>
    </w:p>
    <w:p w:rsidR="00A16BD4" w:rsidRDefault="00A16BD4" w:rsidP="00711CFC">
      <w:pPr>
        <w:pStyle w:val="a3"/>
        <w:jc w:val="center"/>
        <w:rPr>
          <w:rFonts w:ascii="Arial" w:hAnsi="Arial" w:cs="Arial"/>
          <w:color w:val="000000"/>
          <w:sz w:val="20"/>
          <w:szCs w:val="20"/>
        </w:rPr>
      </w:pPr>
      <w:r>
        <w:rPr>
          <w:rFonts w:ascii="Arial" w:hAnsi="Arial" w:cs="Arial"/>
          <w:b/>
          <w:bCs/>
          <w:color w:val="000000"/>
          <w:sz w:val="20"/>
          <w:szCs w:val="20"/>
        </w:rPr>
        <w:t>. Инвестиционные фонды и эффективность их деятельности</w:t>
      </w:r>
    </w:p>
    <w:p w:rsidR="00A16BD4" w:rsidRDefault="00A16BD4" w:rsidP="00711CFC">
      <w:pPr>
        <w:pStyle w:val="a3"/>
        <w:jc w:val="center"/>
        <w:rPr>
          <w:rFonts w:ascii="Arial" w:hAnsi="Arial" w:cs="Arial"/>
          <w:color w:val="000000"/>
          <w:sz w:val="20"/>
          <w:szCs w:val="20"/>
        </w:rPr>
      </w:pPr>
      <w:r>
        <w:rPr>
          <w:rFonts w:ascii="Arial" w:hAnsi="Arial" w:cs="Arial"/>
          <w:b/>
          <w:bCs/>
          <w:color w:val="000000"/>
          <w:sz w:val="20"/>
          <w:szCs w:val="20"/>
        </w:rPr>
        <w:t>1.1 Общая характеристика инвестиционных фондов</w:t>
      </w:r>
    </w:p>
    <w:p w:rsidR="00A16BD4" w:rsidRDefault="00A16BD4" w:rsidP="00711CFC">
      <w:pPr>
        <w:pStyle w:val="a3"/>
        <w:rPr>
          <w:rFonts w:ascii="Arial" w:hAnsi="Arial" w:cs="Arial"/>
          <w:color w:val="000000"/>
          <w:sz w:val="20"/>
          <w:szCs w:val="20"/>
        </w:rPr>
      </w:pPr>
      <w:r>
        <w:rPr>
          <w:rFonts w:ascii="Arial" w:hAnsi="Arial" w:cs="Arial"/>
          <w:color w:val="000000"/>
          <w:sz w:val="20"/>
          <w:szCs w:val="20"/>
        </w:rPr>
        <w:t>Предпринимательский сектор является надежной основой, главным структурообразующим элементом конкурентно-рыночной среды. Предприниматель - это активный субъект хозяйствования, который сосредотачивает свое внимание на поиске и реализации новых возможностей удовлетворения потребителей, разработке современных продуктов и технологий, осуществлении инноваций, нововведений и овладении перспективными факторами экономического развития. Основным ориентиром предпринимательской деятельности в условиях рыночной системы выступает прибыльность, рентабельность самостоятельного предприятия.</w:t>
      </w:r>
    </w:p>
    <w:p w:rsidR="00A16BD4" w:rsidRDefault="00A16BD4" w:rsidP="00711CFC">
      <w:pPr>
        <w:pStyle w:val="a3"/>
        <w:rPr>
          <w:rFonts w:ascii="Arial" w:hAnsi="Arial" w:cs="Arial"/>
          <w:color w:val="000000"/>
          <w:sz w:val="20"/>
          <w:szCs w:val="20"/>
        </w:rPr>
      </w:pPr>
      <w:r>
        <w:rPr>
          <w:rFonts w:ascii="Arial" w:hAnsi="Arial" w:cs="Arial"/>
          <w:color w:val="000000"/>
          <w:sz w:val="20"/>
          <w:szCs w:val="20"/>
        </w:rPr>
        <w:t>Каждый предприниматель, начиная свою деятельность, должен ясно представлять потребность на перспективу в финансовых, материальных, трудовых и интеллектуальных ресурсах, источники их получения, а также уметь четко рассчитать эффективность использования ресурсов в процессе работы фирмы. В рыночной экономике предприниматели не смогут добиться стабильного успеха, если не будут четко и эффективно планировать свою деятельность, постоянно собирать и аккумулировать информацию как о состоянии целевых рынков, положении на них конкурентов, так и о собственных перспективах и возможностях.</w:t>
      </w:r>
    </w:p>
    <w:p w:rsidR="00A16BD4" w:rsidRDefault="00A16BD4" w:rsidP="00711CFC">
      <w:pPr>
        <w:pStyle w:val="a3"/>
        <w:rPr>
          <w:rFonts w:ascii="Arial" w:hAnsi="Arial" w:cs="Arial"/>
          <w:color w:val="000000"/>
          <w:sz w:val="20"/>
          <w:szCs w:val="20"/>
        </w:rPr>
      </w:pPr>
      <w:r>
        <w:rPr>
          <w:rFonts w:ascii="Arial" w:hAnsi="Arial" w:cs="Arial"/>
          <w:color w:val="000000"/>
          <w:sz w:val="20"/>
          <w:szCs w:val="20"/>
        </w:rPr>
        <w:t>Инвестиционная деятельность представляет собой один из наиболее важных аспектов функционирования любой коммерческой организации. Причинами, обусловливающими необходимость инвестиций, являются обновление имеющейся материально-технической базы, наращивание объемов производства, освоение новых видов деятельности. В инвестиционной деятельности существенное значение имеет фактор риска. Инвестирование всегда связано с иммобилизацией финансовых ресурсов предприятия и обычно осуществляется в условиях неопределенности, степень которой может значительно варьировать.</w:t>
      </w:r>
    </w:p>
    <w:p w:rsidR="00A16BD4" w:rsidRDefault="00A16BD4" w:rsidP="00711CFC">
      <w:pPr>
        <w:pStyle w:val="a3"/>
        <w:rPr>
          <w:rFonts w:ascii="Arial" w:hAnsi="Arial" w:cs="Arial"/>
          <w:color w:val="000000"/>
          <w:sz w:val="20"/>
          <w:szCs w:val="20"/>
        </w:rPr>
      </w:pPr>
      <w:r>
        <w:rPr>
          <w:rFonts w:ascii="Arial" w:hAnsi="Arial" w:cs="Arial"/>
          <w:color w:val="000000"/>
          <w:sz w:val="20"/>
          <w:szCs w:val="20"/>
        </w:rPr>
        <w:t>Под инвестициями и на макроуровне, и на уровне отдельного хозяйствующего субъекта понимаются свободные средства субъекта, оставшиеся после удовлетворения его необходимых потребностей, которые можно использовать с целью получения дохода. Инвестициями являются денежные средства, целевые банковские вклады, паи, акции, и другие ценные бумаги, технологии, машины, оборудование, лицензии, в том числе и на товарные знаки, кредиты, любое другое имущество или имущественные права, интеллектуальные ценности, вкладываемые в объекты предпринимательской и других видов деятельности в целях получения прибыли. В условиях рыночной экономики возможностей для инвестирования довольно много. Вместе с тем объем финансовых ресурсов, доступных для инвестирования, у любого предприятия ограничен. Поэтому особую актуальность приобретает задача оптимизации бюджета капиталовложений.</w:t>
      </w:r>
    </w:p>
    <w:p w:rsidR="00A16BD4" w:rsidRDefault="00A16BD4" w:rsidP="00711CFC">
      <w:pPr>
        <w:pStyle w:val="a3"/>
        <w:rPr>
          <w:rFonts w:ascii="Arial" w:hAnsi="Arial" w:cs="Arial"/>
          <w:color w:val="000000"/>
          <w:sz w:val="20"/>
          <w:szCs w:val="20"/>
        </w:rPr>
      </w:pPr>
      <w:r>
        <w:rPr>
          <w:rFonts w:ascii="Arial" w:hAnsi="Arial" w:cs="Arial"/>
          <w:color w:val="000000"/>
          <w:sz w:val="20"/>
          <w:szCs w:val="20"/>
        </w:rPr>
        <w:t>Фундаментом современного механизма предпринимательства является формирование развитой инфраструктуры финансового рынка, эффективности деятельности на нем финансовых посредников.</w:t>
      </w:r>
    </w:p>
    <w:p w:rsidR="00A16BD4" w:rsidRDefault="00A16BD4" w:rsidP="00711CFC">
      <w:pPr>
        <w:pStyle w:val="a3"/>
        <w:rPr>
          <w:rFonts w:ascii="Arial" w:hAnsi="Arial" w:cs="Arial"/>
          <w:color w:val="000000"/>
          <w:sz w:val="20"/>
          <w:szCs w:val="20"/>
        </w:rPr>
      </w:pPr>
      <w:r>
        <w:rPr>
          <w:rFonts w:ascii="Arial" w:hAnsi="Arial" w:cs="Arial"/>
          <w:color w:val="000000"/>
          <w:sz w:val="20"/>
          <w:szCs w:val="20"/>
        </w:rPr>
        <w:t>Правовое регулирование рынка ценных бумаг в России может осуществляться как государственными органами, так и самоуправляющимися организациями участников фондового рынка.</w:t>
      </w:r>
    </w:p>
    <w:p w:rsidR="00A16BD4" w:rsidRDefault="00A16BD4" w:rsidP="00711CFC">
      <w:pPr>
        <w:pStyle w:val="a3"/>
        <w:rPr>
          <w:rFonts w:ascii="Arial" w:hAnsi="Arial" w:cs="Arial"/>
          <w:color w:val="000000"/>
          <w:sz w:val="20"/>
          <w:szCs w:val="20"/>
        </w:rPr>
      </w:pPr>
      <w:r>
        <w:rPr>
          <w:rFonts w:ascii="Arial" w:hAnsi="Arial" w:cs="Arial"/>
          <w:color w:val="000000"/>
          <w:sz w:val="20"/>
          <w:szCs w:val="20"/>
        </w:rPr>
        <w:t>Понятие рынка ценных бумаг можно вывести из более широкого понятия, такого, как финансовый рынок. Финансовый рынок - совокупность правовых отношений денежного характера, возникающих между его участниками в процессе купли-продажи финансовых активов под влиянием спроса и предложения на заемный капитал. Целью создания и функционирования финансового рынка является аккумулирование и эффективное размещение сбережений в экономике, состояние которой, в свою очередь в значительной мере обусловлено эффективностью перехода инвестиционных средств от тех, кто имеет сбережение к тем, кому на данный момент необходим капитал.</w:t>
      </w:r>
    </w:p>
    <w:p w:rsidR="00A16BD4" w:rsidRDefault="00A16BD4" w:rsidP="00711CFC">
      <w:pPr>
        <w:pStyle w:val="a3"/>
        <w:rPr>
          <w:rFonts w:ascii="Arial" w:hAnsi="Arial" w:cs="Arial"/>
          <w:color w:val="000000"/>
          <w:sz w:val="20"/>
          <w:szCs w:val="20"/>
        </w:rPr>
      </w:pPr>
      <w:r>
        <w:rPr>
          <w:rFonts w:ascii="Arial" w:hAnsi="Arial" w:cs="Arial"/>
          <w:color w:val="000000"/>
          <w:sz w:val="20"/>
          <w:szCs w:val="20"/>
        </w:rPr>
        <w:t>Инвестиции</w:t>
      </w:r>
      <w:r>
        <w:rPr>
          <w:rStyle w:val="apple-converted-space"/>
          <w:rFonts w:ascii="Arial" w:hAnsi="Arial" w:cs="Arial"/>
          <w:b/>
          <w:bCs/>
          <w:color w:val="000000"/>
          <w:sz w:val="20"/>
          <w:szCs w:val="20"/>
        </w:rPr>
        <w:t> </w:t>
      </w:r>
      <w:r>
        <w:rPr>
          <w:rFonts w:ascii="Arial" w:hAnsi="Arial" w:cs="Arial"/>
          <w:b/>
          <w:bCs/>
          <w:color w:val="000000"/>
          <w:sz w:val="20"/>
          <w:szCs w:val="20"/>
        </w:rPr>
        <w:t>-</w:t>
      </w:r>
      <w:r>
        <w:rPr>
          <w:rStyle w:val="apple-converted-space"/>
          <w:rFonts w:ascii="Arial" w:hAnsi="Arial" w:cs="Arial"/>
          <w:color w:val="000000"/>
          <w:sz w:val="20"/>
          <w:szCs w:val="20"/>
        </w:rPr>
        <w:t> </w:t>
      </w:r>
      <w:r>
        <w:rPr>
          <w:rFonts w:ascii="Arial" w:hAnsi="Arial" w:cs="Arial"/>
          <w:color w:val="000000"/>
          <w:sz w:val="20"/>
          <w:szCs w:val="20"/>
        </w:rPr>
        <w:t>все виды имущественных и интеллектуальных ценностей, которые вкладываются в объекты предпринимательской и иной деятельности, в результате которой образуется прибыль (доход) или достигается социальный эффект. Такими ценностями могут быть: денежные средства, целевые банковские вклады, паи, акции и иные ценные бумаги; движимое и недвижимое имущество (строения, сооружения, оборудование и иные материальные ценности); имущественные права, исходящие из авторского права и иные интеллектуальные ценности; совокупность технических, технологических, коммерческих и иных знаний, оформленные в виде технической документации, навыков и производственного опыта, необходимых для организации того или иного вида производства, но не запатентованных («ноу-хау»); права на пользование землей, водой, ресурсами, сооружениями, оборудованием и др.</w:t>
      </w:r>
    </w:p>
    <w:p w:rsidR="00A16BD4" w:rsidRDefault="00A16BD4" w:rsidP="00711CFC">
      <w:pPr>
        <w:pStyle w:val="a3"/>
        <w:rPr>
          <w:rFonts w:ascii="Arial" w:hAnsi="Arial" w:cs="Arial"/>
          <w:color w:val="000000"/>
          <w:sz w:val="20"/>
          <w:szCs w:val="20"/>
        </w:rPr>
      </w:pPr>
      <w:r>
        <w:rPr>
          <w:rFonts w:ascii="Arial" w:hAnsi="Arial" w:cs="Arial"/>
          <w:color w:val="000000"/>
          <w:sz w:val="20"/>
          <w:szCs w:val="20"/>
        </w:rPr>
        <w:t>Для осуществления инвестиционной деятельности необходимо иметь предмет инвестирования, то есть определенные активы, которые в соответствии с законодательством могут быть инвестированы.</w:t>
      </w:r>
    </w:p>
    <w:p w:rsidR="00A16BD4" w:rsidRDefault="00A16BD4" w:rsidP="00711CFC">
      <w:pPr>
        <w:pStyle w:val="a3"/>
        <w:rPr>
          <w:rFonts w:ascii="Arial" w:hAnsi="Arial" w:cs="Arial"/>
          <w:color w:val="000000"/>
          <w:sz w:val="20"/>
          <w:szCs w:val="20"/>
        </w:rPr>
      </w:pPr>
      <w:r>
        <w:rPr>
          <w:rFonts w:ascii="Arial" w:hAnsi="Arial" w:cs="Arial"/>
          <w:color w:val="000000"/>
          <w:sz w:val="20"/>
          <w:szCs w:val="20"/>
        </w:rPr>
        <w:t>Особое место среди участников рынка ценных бумаг занимают инвесторы, то есть субъекты инвестиционной деятельности, принявшие решение о вложении собственных, заемных и привлеченных денежных, имущественных и интеллектуальных ценностей.</w:t>
      </w:r>
    </w:p>
    <w:p w:rsidR="00A16BD4" w:rsidRDefault="00A16BD4" w:rsidP="00711CFC">
      <w:pPr>
        <w:pStyle w:val="a3"/>
        <w:rPr>
          <w:rFonts w:ascii="Arial" w:hAnsi="Arial" w:cs="Arial"/>
          <w:color w:val="000000"/>
          <w:sz w:val="20"/>
          <w:szCs w:val="20"/>
        </w:rPr>
      </w:pPr>
      <w:r>
        <w:rPr>
          <w:rFonts w:ascii="Arial" w:hAnsi="Arial" w:cs="Arial"/>
          <w:color w:val="000000"/>
          <w:sz w:val="20"/>
          <w:szCs w:val="20"/>
        </w:rPr>
        <w:t>Инвесторы на рынке ценных бумаг с целью снижения рискованности инвестиций и увеличения дохода от них, как правило, вкладывают свои средства одновременно в несколько видов ценных бумаг, то есть формируют собственный портфель ценных бумаг (инвестиционный портфель).</w:t>
      </w:r>
    </w:p>
    <w:p w:rsidR="00A16BD4" w:rsidRDefault="00A16BD4" w:rsidP="00711CFC">
      <w:pPr>
        <w:pStyle w:val="a3"/>
        <w:rPr>
          <w:rFonts w:ascii="Arial" w:hAnsi="Arial" w:cs="Arial"/>
          <w:color w:val="000000"/>
          <w:sz w:val="20"/>
          <w:szCs w:val="20"/>
        </w:rPr>
      </w:pPr>
      <w:r>
        <w:rPr>
          <w:rFonts w:ascii="Arial" w:hAnsi="Arial" w:cs="Arial"/>
          <w:color w:val="000000"/>
          <w:sz w:val="20"/>
          <w:szCs w:val="20"/>
        </w:rPr>
        <w:t>Наиболее сложным вопросом при формировании инвестиционного портфеля является выбор среди большого количества ценных бумаг, находящихся в обороте на фондовом рынке, наиболее привлекательных для вложения капитала. Решение этого вопроса усложняется, во-первых, небольшим временем существования фондового рынка, во-вторых, недоступностью исчерпывающей информации о деятельности большинства эмитентов. Поэтому при выборе фондовых инструментов для наполнения инвестиционного портфеля участникам отечественного рынка ценных бумаг необходимо использовать такие критерии, как ликвидность, доходность, степень риска.</w:t>
      </w:r>
    </w:p>
    <w:p w:rsidR="00A16BD4" w:rsidRDefault="00A16BD4" w:rsidP="00711CFC">
      <w:pPr>
        <w:pStyle w:val="a3"/>
        <w:rPr>
          <w:rFonts w:ascii="Arial" w:hAnsi="Arial" w:cs="Arial"/>
          <w:color w:val="000000"/>
          <w:sz w:val="20"/>
          <w:szCs w:val="20"/>
        </w:rPr>
      </w:pPr>
      <w:r>
        <w:rPr>
          <w:rFonts w:ascii="Arial" w:hAnsi="Arial" w:cs="Arial"/>
          <w:color w:val="000000"/>
          <w:sz w:val="20"/>
          <w:szCs w:val="20"/>
        </w:rPr>
        <w:t>Всех инвесторов можно поделить на 2 группы:</w:t>
      </w:r>
    </w:p>
    <w:p w:rsidR="00A16BD4" w:rsidRDefault="00A16BD4" w:rsidP="00711CFC">
      <w:pPr>
        <w:pStyle w:val="a3"/>
        <w:rPr>
          <w:rFonts w:ascii="Arial" w:hAnsi="Arial" w:cs="Arial"/>
          <w:color w:val="000000"/>
          <w:sz w:val="20"/>
          <w:szCs w:val="20"/>
        </w:rPr>
      </w:pPr>
      <w:r>
        <w:rPr>
          <w:rFonts w:ascii="Arial" w:hAnsi="Arial" w:cs="Arial"/>
          <w:color w:val="000000"/>
          <w:sz w:val="20"/>
          <w:szCs w:val="20"/>
        </w:rPr>
        <w:t>- индивидуальные - физические, а также юридические лица, для которых инвестиционная деятельность не является единым либо одним из основных видов деятельности;</w:t>
      </w:r>
    </w:p>
    <w:p w:rsidR="00A16BD4" w:rsidRDefault="00A16BD4" w:rsidP="00711CFC">
      <w:pPr>
        <w:pStyle w:val="a3"/>
        <w:rPr>
          <w:rFonts w:ascii="Arial" w:hAnsi="Arial" w:cs="Arial"/>
          <w:color w:val="000000"/>
          <w:sz w:val="20"/>
          <w:szCs w:val="20"/>
        </w:rPr>
      </w:pPr>
      <w:r>
        <w:rPr>
          <w:rFonts w:ascii="Arial" w:hAnsi="Arial" w:cs="Arial"/>
          <w:color w:val="000000"/>
          <w:sz w:val="20"/>
          <w:szCs w:val="20"/>
        </w:rPr>
        <w:t>- институционные - приобретают и реализуют фондовые ценности крупными пакетами.</w:t>
      </w:r>
    </w:p>
    <w:p w:rsidR="00A16BD4" w:rsidRDefault="00A16BD4" w:rsidP="00711CFC">
      <w:pPr>
        <w:pStyle w:val="a3"/>
        <w:rPr>
          <w:rFonts w:ascii="Arial" w:hAnsi="Arial" w:cs="Arial"/>
          <w:color w:val="000000"/>
          <w:sz w:val="20"/>
          <w:szCs w:val="20"/>
        </w:rPr>
      </w:pPr>
      <w:r>
        <w:rPr>
          <w:rFonts w:ascii="Arial" w:hAnsi="Arial" w:cs="Arial"/>
          <w:color w:val="000000"/>
          <w:sz w:val="20"/>
          <w:szCs w:val="20"/>
        </w:rPr>
        <w:t>Институционными инвесторами на рынке ценных бумаг являются:</w:t>
      </w:r>
    </w:p>
    <w:p w:rsidR="00A16BD4" w:rsidRDefault="00A16BD4" w:rsidP="00711CFC">
      <w:pPr>
        <w:pStyle w:val="a3"/>
        <w:rPr>
          <w:rFonts w:ascii="Arial" w:hAnsi="Arial" w:cs="Arial"/>
          <w:color w:val="000000"/>
          <w:sz w:val="20"/>
          <w:szCs w:val="20"/>
        </w:rPr>
      </w:pPr>
      <w:r>
        <w:rPr>
          <w:rFonts w:ascii="Arial" w:hAnsi="Arial" w:cs="Arial"/>
          <w:color w:val="000000"/>
          <w:sz w:val="20"/>
          <w:szCs w:val="20"/>
        </w:rPr>
        <w:t>-инвестиционные фонды и инвестиционные компании, образовавшие взаимные фонды;</w:t>
      </w:r>
    </w:p>
    <w:p w:rsidR="00A16BD4" w:rsidRDefault="00A16BD4" w:rsidP="00711CFC">
      <w:pPr>
        <w:pStyle w:val="a3"/>
        <w:rPr>
          <w:rFonts w:ascii="Arial" w:hAnsi="Arial" w:cs="Arial"/>
          <w:color w:val="000000"/>
          <w:sz w:val="20"/>
          <w:szCs w:val="20"/>
        </w:rPr>
      </w:pPr>
      <w:r>
        <w:rPr>
          <w:rFonts w:ascii="Arial" w:hAnsi="Arial" w:cs="Arial"/>
          <w:color w:val="000000"/>
          <w:sz w:val="20"/>
          <w:szCs w:val="20"/>
        </w:rPr>
        <w:t>-страховые компании;</w:t>
      </w:r>
    </w:p>
    <w:p w:rsidR="00A16BD4" w:rsidRDefault="00A16BD4" w:rsidP="00711CFC">
      <w:pPr>
        <w:pStyle w:val="a3"/>
        <w:rPr>
          <w:rFonts w:ascii="Arial" w:hAnsi="Arial" w:cs="Arial"/>
          <w:color w:val="000000"/>
          <w:sz w:val="20"/>
          <w:szCs w:val="20"/>
        </w:rPr>
      </w:pPr>
      <w:r>
        <w:rPr>
          <w:rFonts w:ascii="Arial" w:hAnsi="Arial" w:cs="Arial"/>
          <w:color w:val="000000"/>
          <w:sz w:val="20"/>
          <w:szCs w:val="20"/>
        </w:rPr>
        <w:t>-пенсионные фонды.</w:t>
      </w:r>
    </w:p>
    <w:p w:rsidR="00A16BD4" w:rsidRDefault="00A16BD4" w:rsidP="00711CFC">
      <w:pPr>
        <w:pStyle w:val="a3"/>
        <w:rPr>
          <w:rFonts w:ascii="Arial" w:hAnsi="Arial" w:cs="Arial"/>
          <w:color w:val="000000"/>
          <w:sz w:val="20"/>
          <w:szCs w:val="20"/>
        </w:rPr>
      </w:pPr>
      <w:r>
        <w:rPr>
          <w:rFonts w:ascii="Arial" w:hAnsi="Arial" w:cs="Arial"/>
          <w:color w:val="000000"/>
          <w:sz w:val="20"/>
          <w:szCs w:val="20"/>
        </w:rPr>
        <w:t>Институционных инвесторов можно разделить на три группы:</w:t>
      </w:r>
    </w:p>
    <w:p w:rsidR="00A16BD4" w:rsidRDefault="00A16BD4" w:rsidP="00711CFC">
      <w:pPr>
        <w:pStyle w:val="a3"/>
        <w:rPr>
          <w:rFonts w:ascii="Arial" w:hAnsi="Arial" w:cs="Arial"/>
          <w:color w:val="000000"/>
          <w:sz w:val="20"/>
          <w:szCs w:val="20"/>
        </w:rPr>
      </w:pPr>
      <w:r>
        <w:rPr>
          <w:rFonts w:ascii="Arial" w:hAnsi="Arial" w:cs="Arial"/>
          <w:color w:val="000000"/>
          <w:sz w:val="20"/>
          <w:szCs w:val="20"/>
        </w:rPr>
        <w:t>1) осуществляют согласованные инвестиции в ограниченный круг предприятий - холдинги, финансовые группы, финансовые компании.</w:t>
      </w:r>
    </w:p>
    <w:p w:rsidR="00A16BD4" w:rsidRDefault="00A16BD4" w:rsidP="00711CFC">
      <w:pPr>
        <w:pStyle w:val="a3"/>
        <w:rPr>
          <w:rFonts w:ascii="Arial" w:hAnsi="Arial" w:cs="Arial"/>
          <w:color w:val="000000"/>
          <w:sz w:val="20"/>
          <w:szCs w:val="20"/>
        </w:rPr>
      </w:pPr>
      <w:r>
        <w:rPr>
          <w:rFonts w:ascii="Arial" w:hAnsi="Arial" w:cs="Arial"/>
          <w:color w:val="000000"/>
          <w:sz w:val="20"/>
          <w:szCs w:val="20"/>
        </w:rPr>
        <w:t>2) осуществляют инвестиции, но при этом не ограничиваются ранее намеченными и определенными объектами инвестирования. К этой группе относятся инвестиционные фонды и компании, страховые фирмы. Портфель инвестиций этих инвесторов достаточно широк и относительно стабилен.</w:t>
      </w:r>
    </w:p>
    <w:p w:rsidR="00A16BD4" w:rsidRDefault="00A16BD4" w:rsidP="00711CFC">
      <w:pPr>
        <w:pStyle w:val="a3"/>
        <w:rPr>
          <w:rFonts w:ascii="Arial" w:hAnsi="Arial" w:cs="Arial"/>
          <w:color w:val="000000"/>
          <w:sz w:val="20"/>
          <w:szCs w:val="20"/>
        </w:rPr>
      </w:pPr>
      <w:r>
        <w:rPr>
          <w:rFonts w:ascii="Arial" w:hAnsi="Arial" w:cs="Arial"/>
          <w:color w:val="000000"/>
          <w:sz w:val="20"/>
          <w:szCs w:val="20"/>
        </w:rPr>
        <w:t>3) осуществляют повсеместные инвестиции, но не имеют стабильного портфеля ценных бумаг - инвестиционные дилеры. Это инвесторы, которые стараются получить доход путем спекулятивной игры на бирже (торговые компании, инвестиционные банки).</w:t>
      </w:r>
    </w:p>
    <w:p w:rsidR="00A16BD4" w:rsidRDefault="00A16BD4" w:rsidP="00711CFC">
      <w:pPr>
        <w:pStyle w:val="a3"/>
        <w:rPr>
          <w:rFonts w:ascii="Arial" w:hAnsi="Arial" w:cs="Arial"/>
          <w:color w:val="000000"/>
          <w:sz w:val="20"/>
          <w:szCs w:val="20"/>
        </w:rPr>
      </w:pPr>
      <w:r>
        <w:rPr>
          <w:rFonts w:ascii="Arial" w:hAnsi="Arial" w:cs="Arial"/>
          <w:color w:val="000000"/>
          <w:sz w:val="20"/>
          <w:szCs w:val="20"/>
        </w:rPr>
        <w:t>Институции совместного инвестирования представлены на фондовом рынке холдингами, инвестиционными компаниями, инвестиционными фондами и доверительными обществами. Совместное инвестирование - это деятельность, осуществляемая в интересах и за счет основателей и участников инвестиционного фонда через выпуск инвестиционных сертификатов и проведения коммерческой деятельности с ценными бумагами. Совместное инвестирование могут также выполнять банковские учреждения вместе с другими финансово-кредитными функциями.</w:t>
      </w:r>
    </w:p>
    <w:p w:rsidR="00A16BD4" w:rsidRDefault="00A16BD4" w:rsidP="00711CFC">
      <w:pPr>
        <w:pStyle w:val="a3"/>
        <w:rPr>
          <w:rFonts w:ascii="Arial" w:hAnsi="Arial" w:cs="Arial"/>
          <w:color w:val="000000"/>
          <w:sz w:val="20"/>
          <w:szCs w:val="20"/>
        </w:rPr>
      </w:pPr>
      <w:r>
        <w:rPr>
          <w:rFonts w:ascii="Arial" w:hAnsi="Arial" w:cs="Arial"/>
          <w:color w:val="000000"/>
          <w:sz w:val="20"/>
          <w:szCs w:val="20"/>
        </w:rPr>
        <w:t>Инвестиционные фонды осуществляют постоянный кругооборот собственного и ссудного капитала в форме инвестирования существующих производств, новых технических и организационных проектов на отраслевом или региональном уровне.</w:t>
      </w:r>
    </w:p>
    <w:p w:rsidR="00A16BD4" w:rsidRDefault="00A16BD4" w:rsidP="00711CFC">
      <w:pPr>
        <w:pStyle w:val="a3"/>
        <w:rPr>
          <w:rFonts w:ascii="Arial" w:hAnsi="Arial" w:cs="Arial"/>
          <w:color w:val="000000"/>
          <w:sz w:val="20"/>
          <w:szCs w:val="20"/>
        </w:rPr>
      </w:pPr>
      <w:r>
        <w:rPr>
          <w:rFonts w:ascii="Arial" w:hAnsi="Arial" w:cs="Arial"/>
          <w:color w:val="000000"/>
          <w:sz w:val="20"/>
          <w:szCs w:val="20"/>
        </w:rPr>
        <w:t>Деятельность инвестиционных фондов в фондовом рынке регулируется Положением об инвестиционных фондах. Это Положение определяет понятие инвестиционных фондов, порядок создания и условия их деятельности, осуществление государственного контроля, а также мероприятия по защите интересов их участников.</w:t>
      </w:r>
    </w:p>
    <w:p w:rsidR="00A16BD4" w:rsidRDefault="00A16BD4" w:rsidP="00711CFC">
      <w:pPr>
        <w:pStyle w:val="a3"/>
        <w:rPr>
          <w:rFonts w:ascii="Arial" w:hAnsi="Arial" w:cs="Arial"/>
          <w:color w:val="000000"/>
          <w:sz w:val="20"/>
          <w:szCs w:val="20"/>
        </w:rPr>
      </w:pPr>
      <w:r>
        <w:rPr>
          <w:rFonts w:ascii="Arial" w:hAnsi="Arial" w:cs="Arial"/>
          <w:color w:val="000000"/>
          <w:sz w:val="20"/>
          <w:szCs w:val="20"/>
        </w:rPr>
        <w:t>Инвестиционные фонды делятся на открытые и закрытые.</w:t>
      </w:r>
    </w:p>
    <w:p w:rsidR="00A16BD4" w:rsidRDefault="00A16BD4" w:rsidP="00711CFC">
      <w:pPr>
        <w:pStyle w:val="a3"/>
        <w:rPr>
          <w:rFonts w:ascii="Arial" w:hAnsi="Arial" w:cs="Arial"/>
          <w:color w:val="000000"/>
          <w:sz w:val="20"/>
          <w:szCs w:val="20"/>
        </w:rPr>
      </w:pPr>
      <w:r>
        <w:rPr>
          <w:rFonts w:ascii="Arial" w:hAnsi="Arial" w:cs="Arial"/>
          <w:color w:val="000000"/>
          <w:sz w:val="20"/>
          <w:szCs w:val="20"/>
        </w:rPr>
        <w:t>Открытые фонды создаются на неопределенный срок и осуществляют выкуп своих инвестиционных сертификатов в сроки, установленные инвестиционной декларацией инвестиционного фонда.</w:t>
      </w:r>
    </w:p>
    <w:p w:rsidR="00A16BD4" w:rsidRDefault="00A16BD4" w:rsidP="00711CFC">
      <w:pPr>
        <w:pStyle w:val="a3"/>
        <w:rPr>
          <w:rFonts w:ascii="Arial" w:hAnsi="Arial" w:cs="Arial"/>
          <w:color w:val="000000"/>
          <w:sz w:val="20"/>
          <w:szCs w:val="20"/>
        </w:rPr>
      </w:pPr>
      <w:r>
        <w:rPr>
          <w:rFonts w:ascii="Arial" w:hAnsi="Arial" w:cs="Arial"/>
          <w:color w:val="000000"/>
          <w:sz w:val="20"/>
          <w:szCs w:val="20"/>
        </w:rPr>
        <w:t>Закрытые фонды создаются на определенный срок и осуществляют расчеты относительно инвестиционных сертификатов по истечении срока деятельности инвестиционного фонда.</w:t>
      </w:r>
    </w:p>
    <w:p w:rsidR="00A16BD4" w:rsidRDefault="00A16BD4" w:rsidP="00711CFC">
      <w:pPr>
        <w:pStyle w:val="a3"/>
        <w:rPr>
          <w:rFonts w:ascii="Arial" w:hAnsi="Arial" w:cs="Arial"/>
          <w:color w:val="000000"/>
          <w:sz w:val="20"/>
          <w:szCs w:val="20"/>
        </w:rPr>
      </w:pPr>
      <w:r>
        <w:rPr>
          <w:rFonts w:ascii="Arial" w:hAnsi="Arial" w:cs="Arial"/>
          <w:color w:val="000000"/>
          <w:sz w:val="20"/>
          <w:szCs w:val="20"/>
        </w:rPr>
        <w:t>Учредителями инвестиционного фонда являются юридические и физические лица. Не могут быть учредителями инвестиционного фонда юридические лица, часть государственного имущества, в уставном фонде которых превышает 25 процентов. Учредители несут ответственность перед участниками инвестиционного фонда в пределах стоимости надлежащих им акций уставного фонда. Акции хранятся у депозитария и не могут предъявляться на продажу.</w:t>
      </w:r>
    </w:p>
    <w:p w:rsidR="00A16BD4" w:rsidRDefault="00A16BD4" w:rsidP="00711CFC">
      <w:pPr>
        <w:pStyle w:val="a3"/>
        <w:rPr>
          <w:rFonts w:ascii="Arial" w:hAnsi="Arial" w:cs="Arial"/>
          <w:color w:val="000000"/>
          <w:sz w:val="20"/>
          <w:szCs w:val="20"/>
        </w:rPr>
      </w:pPr>
      <w:r>
        <w:rPr>
          <w:rFonts w:ascii="Arial" w:hAnsi="Arial" w:cs="Arial"/>
          <w:color w:val="000000"/>
          <w:sz w:val="20"/>
          <w:szCs w:val="20"/>
        </w:rPr>
        <w:t>Для создания инвестиционного фонда его учредители составляют учредительный договор, утверждают устав и проводят регистрацию инвестиционного фонда в порядке, установленном для регистрации акционерных товариществ.</w:t>
      </w:r>
    </w:p>
    <w:p w:rsidR="00A16BD4" w:rsidRDefault="00A16BD4" w:rsidP="00711CFC">
      <w:pPr>
        <w:pStyle w:val="a3"/>
        <w:rPr>
          <w:rFonts w:ascii="Arial" w:hAnsi="Arial" w:cs="Arial"/>
          <w:color w:val="000000"/>
          <w:sz w:val="20"/>
          <w:szCs w:val="20"/>
        </w:rPr>
      </w:pPr>
      <w:r>
        <w:rPr>
          <w:rFonts w:ascii="Arial" w:hAnsi="Arial" w:cs="Arial"/>
          <w:color w:val="000000"/>
          <w:sz w:val="20"/>
          <w:szCs w:val="20"/>
        </w:rPr>
        <w:t>Учредительный договор определяет порядок осуществления учредителями совместной деятельности, связанной с созданием инвестиционного фонда, ответственность перед участниками и перед третьими лицами.</w:t>
      </w:r>
    </w:p>
    <w:p w:rsidR="00A16BD4" w:rsidRDefault="00A16BD4" w:rsidP="00711CFC">
      <w:pPr>
        <w:pStyle w:val="a3"/>
        <w:rPr>
          <w:rFonts w:ascii="Arial" w:hAnsi="Arial" w:cs="Arial"/>
          <w:color w:val="000000"/>
          <w:sz w:val="20"/>
          <w:szCs w:val="20"/>
        </w:rPr>
      </w:pPr>
      <w:r>
        <w:rPr>
          <w:rFonts w:ascii="Arial" w:hAnsi="Arial" w:cs="Arial"/>
          <w:color w:val="000000"/>
          <w:sz w:val="20"/>
          <w:szCs w:val="20"/>
        </w:rPr>
        <w:t>В уставе инвестиционного фонда отмечаются наименование, местонахождение и вид инвестиционного фонда, размер и порядок изменения уставного фонда, состав учредителей, порядок создания органов управления инвестиционного фонда, их компетенция и порядок принятия ими решений, порядок получения учредителями дивидендов на каждую акцию в размере, равном размеру дивиденда на один инвестиционный сертификат, порядок реорганизации и ликвидации инвестиционного фонда.</w:t>
      </w:r>
    </w:p>
    <w:p w:rsidR="00A16BD4" w:rsidRDefault="00A16BD4" w:rsidP="00711CFC">
      <w:pPr>
        <w:pStyle w:val="a3"/>
        <w:rPr>
          <w:rFonts w:ascii="Arial" w:hAnsi="Arial" w:cs="Arial"/>
          <w:color w:val="000000"/>
          <w:sz w:val="20"/>
          <w:szCs w:val="20"/>
        </w:rPr>
      </w:pPr>
      <w:r>
        <w:rPr>
          <w:rFonts w:ascii="Arial" w:hAnsi="Arial" w:cs="Arial"/>
          <w:color w:val="000000"/>
          <w:sz w:val="20"/>
          <w:szCs w:val="20"/>
        </w:rPr>
        <w:t>Уставный фонд инвестиционного фонда должен составлять не менее 2 тысяч минимальных зарплат, установленных на момент его регистрации, и быть сформирован за счет вкладов учредителей в виде денежных средств и ценных бумаг.</w:t>
      </w:r>
    </w:p>
    <w:p w:rsidR="00A16BD4" w:rsidRDefault="00A16BD4" w:rsidP="00711CFC">
      <w:pPr>
        <w:pStyle w:val="a3"/>
        <w:rPr>
          <w:rFonts w:ascii="Arial" w:hAnsi="Arial" w:cs="Arial"/>
          <w:color w:val="000000"/>
          <w:sz w:val="20"/>
          <w:szCs w:val="20"/>
        </w:rPr>
      </w:pPr>
      <w:r>
        <w:rPr>
          <w:rFonts w:ascii="Arial" w:hAnsi="Arial" w:cs="Arial"/>
          <w:color w:val="000000"/>
          <w:sz w:val="20"/>
          <w:szCs w:val="20"/>
        </w:rPr>
        <w:t>Участниками инвестиционного фонда являются физические и юридические лица, которые приобрели инвестиционные сертификаты этого фонда. Участнику инвестиционного фонда может выдаваться сертификат на суммарную стоимость инвестиционных сертификатов. Инвестиционные сертификаты могут быть именными и на предъявителя. Инвестиционный сертификат должен иметь следующие реквизиты: фирменное наименование инвестиционного фонда; его местонахождение; наименование ценной бумаги ("инвестиционный сертификат") и его порядковый номер; дату выпуска; вид инвестиционного сертификата, его нарицательная стоимость; имя собственника (для именного инвестиционного сертификата); срок выплаты дивидендов; подпись должностного лица - инвестиционного управляющего или другого уполномоченного лица; печать инвестиционного фонда.</w:t>
      </w:r>
    </w:p>
    <w:p w:rsidR="00A16BD4" w:rsidRDefault="00A16BD4" w:rsidP="00711CFC">
      <w:pPr>
        <w:pStyle w:val="a3"/>
        <w:rPr>
          <w:rFonts w:ascii="Arial" w:hAnsi="Arial" w:cs="Arial"/>
          <w:color w:val="000000"/>
          <w:sz w:val="20"/>
          <w:szCs w:val="20"/>
        </w:rPr>
      </w:pPr>
      <w:r>
        <w:rPr>
          <w:rFonts w:ascii="Arial" w:hAnsi="Arial" w:cs="Arial"/>
          <w:color w:val="000000"/>
          <w:sz w:val="20"/>
          <w:szCs w:val="20"/>
        </w:rPr>
        <w:t>Номинальная стоимость одного инвестиционного сертификата должна приравнивать номинальной стоимости одной акции, которая принадлежит учредителям.</w:t>
      </w:r>
    </w:p>
    <w:p w:rsidR="00A16BD4" w:rsidRDefault="00A16BD4" w:rsidP="00711CFC">
      <w:pPr>
        <w:pStyle w:val="a3"/>
        <w:rPr>
          <w:rFonts w:ascii="Arial" w:hAnsi="Arial" w:cs="Arial"/>
          <w:color w:val="000000"/>
          <w:sz w:val="20"/>
          <w:szCs w:val="20"/>
        </w:rPr>
      </w:pPr>
      <w:r>
        <w:rPr>
          <w:rFonts w:ascii="Arial" w:hAnsi="Arial" w:cs="Arial"/>
          <w:color w:val="000000"/>
          <w:sz w:val="20"/>
          <w:szCs w:val="20"/>
        </w:rPr>
        <w:t>Для выпуска инвестиционных сертификатов составляется договор с инвестиционным управляющим, аудитором или аудиторской фирмой, а также депозитный договор с депозитарием, проводится регистрация выпуска инвестиционных сертификатов, публикуются инвестиционная декларация и информация о выпуске инвестиционных сертификатов инвестиционного фонда.</w:t>
      </w:r>
    </w:p>
    <w:p w:rsidR="00A16BD4" w:rsidRDefault="00A16BD4" w:rsidP="00711CFC">
      <w:pPr>
        <w:pStyle w:val="a3"/>
        <w:rPr>
          <w:rFonts w:ascii="Arial" w:hAnsi="Arial" w:cs="Arial"/>
          <w:color w:val="000000"/>
          <w:sz w:val="20"/>
          <w:szCs w:val="20"/>
        </w:rPr>
      </w:pPr>
      <w:r>
        <w:rPr>
          <w:rFonts w:ascii="Arial" w:hAnsi="Arial" w:cs="Arial"/>
          <w:color w:val="000000"/>
          <w:sz w:val="20"/>
          <w:szCs w:val="20"/>
        </w:rPr>
        <w:t>Вышестоящим органом управления инвестиционным фондом являются общие сборы учредителей, к исключительной компетенции которых принадлежит:</w:t>
      </w:r>
    </w:p>
    <w:p w:rsidR="00A16BD4" w:rsidRDefault="00A16BD4" w:rsidP="00711CFC">
      <w:pPr>
        <w:pStyle w:val="a3"/>
        <w:rPr>
          <w:rFonts w:ascii="Arial" w:hAnsi="Arial" w:cs="Arial"/>
          <w:color w:val="000000"/>
          <w:sz w:val="20"/>
          <w:szCs w:val="20"/>
        </w:rPr>
      </w:pPr>
      <w:r>
        <w:rPr>
          <w:rFonts w:ascii="Arial" w:hAnsi="Arial" w:cs="Arial"/>
          <w:color w:val="000000"/>
          <w:sz w:val="20"/>
          <w:szCs w:val="20"/>
        </w:rPr>
        <w:t>* внесение изменений и дополнений к учредительному договору и уставу инвестиционного фонда;</w:t>
      </w:r>
    </w:p>
    <w:p w:rsidR="00A16BD4" w:rsidRDefault="00A16BD4" w:rsidP="00711CFC">
      <w:pPr>
        <w:pStyle w:val="a3"/>
        <w:rPr>
          <w:rFonts w:ascii="Arial" w:hAnsi="Arial" w:cs="Arial"/>
          <w:color w:val="000000"/>
          <w:sz w:val="20"/>
          <w:szCs w:val="20"/>
        </w:rPr>
      </w:pPr>
      <w:r>
        <w:rPr>
          <w:rFonts w:ascii="Arial" w:hAnsi="Arial" w:cs="Arial"/>
          <w:color w:val="000000"/>
          <w:sz w:val="20"/>
          <w:szCs w:val="20"/>
        </w:rPr>
        <w:t>* утверждение инвестиционной декларации, условия депозитного договора, договора с инвестиционным управляющим, договора с аудитором или аудиторской фирмой и внесение в утвержденном порядке изменений и дополнений к этим документам;</w:t>
      </w:r>
    </w:p>
    <w:p w:rsidR="00A16BD4" w:rsidRDefault="00A16BD4" w:rsidP="00711CFC">
      <w:pPr>
        <w:pStyle w:val="a3"/>
        <w:rPr>
          <w:rFonts w:ascii="Arial" w:hAnsi="Arial" w:cs="Arial"/>
          <w:color w:val="000000"/>
          <w:sz w:val="20"/>
          <w:szCs w:val="20"/>
        </w:rPr>
      </w:pPr>
      <w:r>
        <w:rPr>
          <w:rFonts w:ascii="Arial" w:hAnsi="Arial" w:cs="Arial"/>
          <w:color w:val="000000"/>
          <w:sz w:val="20"/>
          <w:szCs w:val="20"/>
        </w:rPr>
        <w:t>* принятие решения и утверждения информации о выпуске инвестиционных сертификатов;</w:t>
      </w:r>
    </w:p>
    <w:p w:rsidR="00A16BD4" w:rsidRDefault="00A16BD4" w:rsidP="00711CFC">
      <w:pPr>
        <w:pStyle w:val="a3"/>
        <w:rPr>
          <w:rFonts w:ascii="Arial" w:hAnsi="Arial" w:cs="Arial"/>
          <w:color w:val="000000"/>
          <w:sz w:val="20"/>
          <w:szCs w:val="20"/>
        </w:rPr>
      </w:pPr>
      <w:r>
        <w:rPr>
          <w:rFonts w:ascii="Arial" w:hAnsi="Arial" w:cs="Arial"/>
          <w:color w:val="000000"/>
          <w:sz w:val="20"/>
          <w:szCs w:val="20"/>
        </w:rPr>
        <w:t>* утверждение результатов годовой деятельности инвестиционного фонда после проведения аудиторской проверки;</w:t>
      </w:r>
    </w:p>
    <w:p w:rsidR="00A16BD4" w:rsidRDefault="00A16BD4" w:rsidP="00711CFC">
      <w:pPr>
        <w:pStyle w:val="a3"/>
        <w:rPr>
          <w:rFonts w:ascii="Arial" w:hAnsi="Arial" w:cs="Arial"/>
          <w:color w:val="000000"/>
          <w:sz w:val="20"/>
          <w:szCs w:val="20"/>
        </w:rPr>
      </w:pPr>
      <w:r>
        <w:rPr>
          <w:rFonts w:ascii="Arial" w:hAnsi="Arial" w:cs="Arial"/>
          <w:color w:val="000000"/>
          <w:sz w:val="20"/>
          <w:szCs w:val="20"/>
        </w:rPr>
        <w:t>* утверждение порядка расчета дивидендов;</w:t>
      </w:r>
    </w:p>
    <w:p w:rsidR="00A16BD4" w:rsidRDefault="00A16BD4" w:rsidP="00711CFC">
      <w:pPr>
        <w:pStyle w:val="a3"/>
        <w:rPr>
          <w:rFonts w:ascii="Arial" w:hAnsi="Arial" w:cs="Arial"/>
          <w:color w:val="000000"/>
          <w:sz w:val="20"/>
          <w:szCs w:val="20"/>
        </w:rPr>
      </w:pPr>
      <w:r>
        <w:rPr>
          <w:rFonts w:ascii="Arial" w:hAnsi="Arial" w:cs="Arial"/>
          <w:color w:val="000000"/>
          <w:sz w:val="20"/>
          <w:szCs w:val="20"/>
        </w:rPr>
        <w:t>* принятие решений о создании, реорганизации или ликвидации филиалов, региональных представительств инвестиционного фонда, принятие решений о ликвидации фонда, создание ликвидационной комиссии и утверждения ликвидационного баланса.</w:t>
      </w:r>
    </w:p>
    <w:p w:rsidR="00A16BD4" w:rsidRDefault="00A16BD4" w:rsidP="00711CFC">
      <w:pPr>
        <w:pStyle w:val="a3"/>
        <w:rPr>
          <w:rFonts w:ascii="Arial" w:hAnsi="Arial" w:cs="Arial"/>
          <w:color w:val="000000"/>
          <w:sz w:val="20"/>
          <w:szCs w:val="20"/>
        </w:rPr>
      </w:pPr>
      <w:r>
        <w:rPr>
          <w:rFonts w:ascii="Arial" w:hAnsi="Arial" w:cs="Arial"/>
          <w:color w:val="000000"/>
          <w:sz w:val="20"/>
          <w:szCs w:val="20"/>
        </w:rPr>
        <w:t>С целью контроля за деятельностью инвестиционного управляющего и защиты интересов участников создается наблюдательный совет.</w:t>
      </w:r>
    </w:p>
    <w:p w:rsidR="00A16BD4" w:rsidRDefault="00A16BD4" w:rsidP="00711CFC">
      <w:pPr>
        <w:pStyle w:val="a3"/>
        <w:rPr>
          <w:rFonts w:ascii="Arial" w:hAnsi="Arial" w:cs="Arial"/>
          <w:color w:val="000000"/>
          <w:sz w:val="20"/>
          <w:szCs w:val="20"/>
        </w:rPr>
      </w:pPr>
      <w:r>
        <w:rPr>
          <w:rFonts w:ascii="Arial" w:hAnsi="Arial" w:cs="Arial"/>
          <w:color w:val="000000"/>
          <w:sz w:val="20"/>
          <w:szCs w:val="20"/>
        </w:rPr>
        <w:t>Инвестиционный управляющий осуществляет управление активами инвестиционного фонда от лица инвестиционного фонда без поручения и готовит проекты информационных уведомлений о выпуске инвестиционных сертификатов. Инвестиционный управляющий не может быть депозитарием инвестиционного фонда. Инвестиционный управляющий организовывает продажу инвестиционных сертификатов инвестиционного фонда. Инвестиционный управляющий не может предлагать на продажу инвестиционные сертификаты по цене, ниже номинальной. Инвестиционный управляющий открытого инвестиционного фонда обязан принимать меры для выкупа инвестиционных сертификатов по требованию их собственников от лица и за счет средств инвестиционного фонда, а в случае отсутствия таких средств - за счет собственных средств.</w:t>
      </w:r>
    </w:p>
    <w:p w:rsidR="00A16BD4" w:rsidRDefault="00A16BD4" w:rsidP="00711CFC">
      <w:pPr>
        <w:pStyle w:val="a3"/>
        <w:rPr>
          <w:rFonts w:ascii="Arial" w:hAnsi="Arial" w:cs="Arial"/>
          <w:color w:val="000000"/>
          <w:sz w:val="20"/>
          <w:szCs w:val="20"/>
        </w:rPr>
      </w:pPr>
      <w:r>
        <w:rPr>
          <w:rFonts w:ascii="Arial" w:hAnsi="Arial" w:cs="Arial"/>
          <w:color w:val="000000"/>
          <w:sz w:val="20"/>
          <w:szCs w:val="20"/>
        </w:rPr>
        <w:t>Разрешение на осуществление деятельности как депозитария, инвестиционного фонда или инвестиционной компании выдает Министерство финансов.</w:t>
      </w:r>
    </w:p>
    <w:p w:rsidR="00A16BD4" w:rsidRDefault="00A16BD4" w:rsidP="00711CFC">
      <w:pPr>
        <w:pStyle w:val="a3"/>
        <w:rPr>
          <w:rFonts w:ascii="Arial" w:hAnsi="Arial" w:cs="Arial"/>
          <w:color w:val="000000"/>
          <w:sz w:val="20"/>
          <w:szCs w:val="20"/>
        </w:rPr>
      </w:pPr>
      <w:r>
        <w:rPr>
          <w:rFonts w:ascii="Arial" w:hAnsi="Arial" w:cs="Arial"/>
          <w:color w:val="000000"/>
          <w:sz w:val="20"/>
          <w:szCs w:val="20"/>
        </w:rPr>
        <w:t>Инвестиционный фонд не имеет права:</w:t>
      </w:r>
    </w:p>
    <w:p w:rsidR="00A16BD4" w:rsidRDefault="00A16BD4" w:rsidP="00711CFC">
      <w:pPr>
        <w:pStyle w:val="a3"/>
        <w:rPr>
          <w:rFonts w:ascii="Arial" w:hAnsi="Arial" w:cs="Arial"/>
          <w:color w:val="000000"/>
          <w:sz w:val="20"/>
          <w:szCs w:val="20"/>
        </w:rPr>
      </w:pPr>
      <w:r>
        <w:rPr>
          <w:rFonts w:ascii="Arial" w:hAnsi="Arial" w:cs="Arial"/>
          <w:color w:val="000000"/>
          <w:sz w:val="20"/>
          <w:szCs w:val="20"/>
        </w:rPr>
        <w:t>* выпускать облигации и векселя;</w:t>
      </w:r>
    </w:p>
    <w:p w:rsidR="00A16BD4" w:rsidRDefault="00A16BD4" w:rsidP="00711CFC">
      <w:pPr>
        <w:pStyle w:val="a3"/>
        <w:rPr>
          <w:rFonts w:ascii="Arial" w:hAnsi="Arial" w:cs="Arial"/>
          <w:color w:val="000000"/>
          <w:sz w:val="20"/>
          <w:szCs w:val="20"/>
        </w:rPr>
      </w:pPr>
      <w:r>
        <w:rPr>
          <w:rFonts w:ascii="Arial" w:hAnsi="Arial" w:cs="Arial"/>
          <w:color w:val="000000"/>
          <w:sz w:val="20"/>
          <w:szCs w:val="20"/>
        </w:rPr>
        <w:t>* иметь в своих активах больше чем 10 процентов ценных бумаг одного эмитента и инвестировать свыше 5 процентов своих активов в ценные бумаги одного эмитента, кроме инвестирования в облигации внутренних государственных займов, казначейские обязательства государства и иные ценные бумаги, получение доходов по которым гарантировано Правительством;</w:t>
      </w:r>
    </w:p>
    <w:p w:rsidR="00A16BD4" w:rsidRDefault="00A16BD4" w:rsidP="00711CFC">
      <w:pPr>
        <w:pStyle w:val="a3"/>
        <w:rPr>
          <w:rFonts w:ascii="Arial" w:hAnsi="Arial" w:cs="Arial"/>
          <w:color w:val="000000"/>
          <w:sz w:val="20"/>
          <w:szCs w:val="20"/>
        </w:rPr>
      </w:pPr>
      <w:r>
        <w:rPr>
          <w:rFonts w:ascii="Arial" w:hAnsi="Arial" w:cs="Arial"/>
          <w:color w:val="000000"/>
          <w:sz w:val="20"/>
          <w:szCs w:val="20"/>
        </w:rPr>
        <w:t>* держать в ценных бумагах менее чем 70 процентов активов инвестиционного фонда;</w:t>
      </w:r>
    </w:p>
    <w:p w:rsidR="00A16BD4" w:rsidRDefault="00A16BD4" w:rsidP="00711CFC">
      <w:pPr>
        <w:pStyle w:val="a3"/>
        <w:rPr>
          <w:rFonts w:ascii="Arial" w:hAnsi="Arial" w:cs="Arial"/>
          <w:color w:val="000000"/>
          <w:sz w:val="20"/>
          <w:szCs w:val="20"/>
        </w:rPr>
      </w:pPr>
      <w:r>
        <w:rPr>
          <w:rFonts w:ascii="Arial" w:hAnsi="Arial" w:cs="Arial"/>
          <w:color w:val="000000"/>
          <w:sz w:val="20"/>
          <w:szCs w:val="20"/>
        </w:rPr>
        <w:t>* покупать инвестиционные сертификаты иного инвестиционного фонда или инвестиционной компании;</w:t>
      </w:r>
    </w:p>
    <w:p w:rsidR="00A16BD4" w:rsidRDefault="00A16BD4" w:rsidP="00711CFC">
      <w:pPr>
        <w:pStyle w:val="a3"/>
        <w:rPr>
          <w:rFonts w:ascii="Arial" w:hAnsi="Arial" w:cs="Arial"/>
          <w:color w:val="000000"/>
          <w:sz w:val="20"/>
          <w:szCs w:val="20"/>
        </w:rPr>
      </w:pPr>
      <w:r>
        <w:rPr>
          <w:rFonts w:ascii="Arial" w:hAnsi="Arial" w:cs="Arial"/>
          <w:color w:val="000000"/>
          <w:sz w:val="20"/>
          <w:szCs w:val="20"/>
        </w:rPr>
        <w:t>* заниматься представительской деятельностью с приватизационными бумагами;</w:t>
      </w:r>
    </w:p>
    <w:p w:rsidR="00A16BD4" w:rsidRDefault="00A16BD4" w:rsidP="00711CFC">
      <w:pPr>
        <w:pStyle w:val="a3"/>
        <w:rPr>
          <w:rFonts w:ascii="Arial" w:hAnsi="Arial" w:cs="Arial"/>
          <w:color w:val="000000"/>
          <w:sz w:val="20"/>
          <w:szCs w:val="20"/>
        </w:rPr>
      </w:pPr>
      <w:r>
        <w:rPr>
          <w:rFonts w:ascii="Arial" w:hAnsi="Arial" w:cs="Arial"/>
          <w:color w:val="000000"/>
          <w:sz w:val="20"/>
          <w:szCs w:val="20"/>
        </w:rPr>
        <w:t>* брать банковский кредит, кроме случаев использования этого кредита для выкупа открытым фондом своих инвестиционных сертификатов;</w:t>
      </w:r>
    </w:p>
    <w:p w:rsidR="00A16BD4" w:rsidRDefault="00A16BD4" w:rsidP="00711CFC">
      <w:pPr>
        <w:pStyle w:val="a3"/>
        <w:rPr>
          <w:rFonts w:ascii="Arial" w:hAnsi="Arial" w:cs="Arial"/>
          <w:color w:val="000000"/>
          <w:sz w:val="20"/>
          <w:szCs w:val="20"/>
        </w:rPr>
      </w:pPr>
      <w:r>
        <w:rPr>
          <w:rFonts w:ascii="Arial" w:hAnsi="Arial" w:cs="Arial"/>
          <w:color w:val="000000"/>
          <w:sz w:val="20"/>
          <w:szCs w:val="20"/>
        </w:rPr>
        <w:t>* выдавать имущественные гарантии, обеспеченные имуществом фонда, для третьих лиц, составлять договора залога;</w:t>
      </w:r>
    </w:p>
    <w:p w:rsidR="00A16BD4" w:rsidRDefault="00A16BD4" w:rsidP="00711CFC">
      <w:pPr>
        <w:pStyle w:val="a3"/>
        <w:rPr>
          <w:rFonts w:ascii="Arial" w:hAnsi="Arial" w:cs="Arial"/>
          <w:color w:val="000000"/>
          <w:sz w:val="20"/>
          <w:szCs w:val="20"/>
        </w:rPr>
      </w:pPr>
      <w:r>
        <w:rPr>
          <w:rFonts w:ascii="Arial" w:hAnsi="Arial" w:cs="Arial"/>
          <w:color w:val="000000"/>
          <w:sz w:val="20"/>
          <w:szCs w:val="20"/>
        </w:rPr>
        <w:t>* приобретать ценные бумаги полных и коммандитных товариществ.</w:t>
      </w:r>
    </w:p>
    <w:p w:rsidR="00A16BD4" w:rsidRDefault="00A16BD4" w:rsidP="00711CFC">
      <w:pPr>
        <w:pStyle w:val="a3"/>
        <w:rPr>
          <w:rFonts w:ascii="Arial" w:hAnsi="Arial" w:cs="Arial"/>
          <w:color w:val="000000"/>
          <w:sz w:val="20"/>
          <w:szCs w:val="20"/>
        </w:rPr>
      </w:pPr>
      <w:r>
        <w:rPr>
          <w:rFonts w:ascii="Arial" w:hAnsi="Arial" w:cs="Arial"/>
          <w:color w:val="000000"/>
          <w:sz w:val="20"/>
          <w:szCs w:val="20"/>
        </w:rPr>
        <w:t>Для осуществления совместного инвестирования инвестиционные фонды, а также инвестиционные компании, которые основали взаимные фонды, выпускают инвестиционные сертификаты, которые предъявляются для размещения среди участников. Средства, полученные от участников, открытые фонды инвестируют в ценные бумаги иных эмитентов. Закрытые фонды имеют право осуществления инвестирования в ценные бумаги и приобретение недвижимого имущества, частей и паев, которые принадлежат государству в имуществе хозяйственных товариществ, в процессе приватизации.</w:t>
      </w:r>
    </w:p>
    <w:p w:rsidR="00A16BD4" w:rsidRDefault="00A16BD4" w:rsidP="00711CFC">
      <w:pPr>
        <w:pStyle w:val="a3"/>
        <w:rPr>
          <w:rFonts w:ascii="Arial" w:hAnsi="Arial" w:cs="Arial"/>
          <w:color w:val="000000"/>
          <w:sz w:val="20"/>
          <w:szCs w:val="20"/>
        </w:rPr>
      </w:pPr>
      <w:r>
        <w:rPr>
          <w:rFonts w:ascii="Arial" w:hAnsi="Arial" w:cs="Arial"/>
          <w:color w:val="000000"/>
          <w:sz w:val="20"/>
          <w:szCs w:val="20"/>
        </w:rPr>
        <w:t>Инвестиционные сертификаты открытых фондов могут быть приобретены за средства участников, закрытых фондов - за средства участников и приватизационные бумаги.</w:t>
      </w:r>
    </w:p>
    <w:p w:rsidR="00A16BD4" w:rsidRDefault="00A16BD4" w:rsidP="00711CFC">
      <w:pPr>
        <w:pStyle w:val="a3"/>
        <w:rPr>
          <w:rFonts w:ascii="Arial" w:hAnsi="Arial" w:cs="Arial"/>
          <w:color w:val="000000"/>
          <w:sz w:val="20"/>
          <w:szCs w:val="20"/>
        </w:rPr>
      </w:pPr>
      <w:r>
        <w:rPr>
          <w:rFonts w:ascii="Arial" w:hAnsi="Arial" w:cs="Arial"/>
          <w:color w:val="000000"/>
          <w:sz w:val="20"/>
          <w:szCs w:val="20"/>
        </w:rPr>
        <w:t>Эмиссия инвестиционных сертификатов осуществляется после регистрации их выпуска Государственной комиссией по ценным бумагам и фондовому рынку.</w:t>
      </w:r>
    </w:p>
    <w:p w:rsidR="00A16BD4" w:rsidRDefault="00A16BD4" w:rsidP="00711CFC">
      <w:pPr>
        <w:pStyle w:val="a3"/>
        <w:rPr>
          <w:rFonts w:ascii="Arial" w:hAnsi="Arial" w:cs="Arial"/>
          <w:color w:val="000000"/>
          <w:sz w:val="20"/>
          <w:szCs w:val="20"/>
        </w:rPr>
      </w:pPr>
      <w:r>
        <w:rPr>
          <w:rFonts w:ascii="Arial" w:hAnsi="Arial" w:cs="Arial"/>
          <w:color w:val="000000"/>
          <w:sz w:val="20"/>
          <w:szCs w:val="20"/>
        </w:rPr>
        <w:t>Фонды имеют право осуществлять общую эмиссию инвестиционных сертификатов на сумму, размер которой не должен превышать 15-разового размера их уставных фондов.</w:t>
      </w:r>
    </w:p>
    <w:p w:rsidR="00A16BD4" w:rsidRDefault="00A16BD4" w:rsidP="00711CFC">
      <w:pPr>
        <w:pStyle w:val="a3"/>
        <w:rPr>
          <w:rFonts w:ascii="Arial" w:hAnsi="Arial" w:cs="Arial"/>
          <w:color w:val="000000"/>
          <w:sz w:val="20"/>
          <w:szCs w:val="20"/>
        </w:rPr>
      </w:pPr>
      <w:r>
        <w:rPr>
          <w:rFonts w:ascii="Arial" w:hAnsi="Arial" w:cs="Arial"/>
          <w:color w:val="000000"/>
          <w:sz w:val="20"/>
          <w:szCs w:val="20"/>
        </w:rPr>
        <w:t>Открытые фонды выпускают инвестиционные сертификаты, которые не подлежат свободной перепродаже, а закрытые - такие, которые подлежат свободной перепродаже.</w:t>
      </w:r>
    </w:p>
    <w:p w:rsidR="00A16BD4" w:rsidRDefault="00A16BD4" w:rsidP="00711CFC">
      <w:pPr>
        <w:pStyle w:val="a3"/>
        <w:rPr>
          <w:rFonts w:ascii="Arial" w:hAnsi="Arial" w:cs="Arial"/>
          <w:color w:val="000000"/>
          <w:sz w:val="20"/>
          <w:szCs w:val="20"/>
        </w:rPr>
      </w:pPr>
      <w:r>
        <w:rPr>
          <w:rFonts w:ascii="Arial" w:hAnsi="Arial" w:cs="Arial"/>
          <w:color w:val="000000"/>
          <w:sz w:val="20"/>
          <w:szCs w:val="20"/>
        </w:rPr>
        <w:t>Инвестиционные сертификаты предъявляются для размещения и выкупаются фондом по цене, равной стоимости чистых активов, в сроки, установленные инвестиционной декларацией. Чистыми активами инвестиционного фонда признается стоимость активов, в которые размещены средства учредителей и участников фонда, в текущих ценах на момент оценки.</w:t>
      </w:r>
    </w:p>
    <w:p w:rsidR="00A16BD4" w:rsidRDefault="00A16BD4" w:rsidP="00711CFC">
      <w:pPr>
        <w:pStyle w:val="a3"/>
        <w:rPr>
          <w:rFonts w:ascii="Arial" w:hAnsi="Arial" w:cs="Arial"/>
          <w:color w:val="000000"/>
          <w:sz w:val="20"/>
          <w:szCs w:val="20"/>
        </w:rPr>
      </w:pPr>
      <w:r>
        <w:rPr>
          <w:rFonts w:ascii="Arial" w:hAnsi="Arial" w:cs="Arial"/>
          <w:color w:val="000000"/>
          <w:sz w:val="20"/>
          <w:szCs w:val="20"/>
        </w:rPr>
        <w:t>Инвестиционные сертификаты закрытых фондов могут обмениваться на приватизационные бумаги, если эти фонды получили разрешение на осуществление коммерческой деятельности с приватизационными бумагами.</w:t>
      </w:r>
    </w:p>
    <w:p w:rsidR="00A16BD4" w:rsidRDefault="00A16BD4" w:rsidP="00711CFC">
      <w:pPr>
        <w:pStyle w:val="a3"/>
        <w:rPr>
          <w:rFonts w:ascii="Arial" w:hAnsi="Arial" w:cs="Arial"/>
          <w:color w:val="000000"/>
          <w:sz w:val="20"/>
          <w:szCs w:val="20"/>
        </w:rPr>
      </w:pPr>
      <w:r>
        <w:rPr>
          <w:rFonts w:ascii="Arial" w:hAnsi="Arial" w:cs="Arial"/>
          <w:color w:val="000000"/>
          <w:sz w:val="20"/>
          <w:szCs w:val="20"/>
        </w:rPr>
        <w:t>Закрытые фонды обслуживают собственников приватизационных бумаг со следующими ограничениями:</w:t>
      </w:r>
    </w:p>
    <w:p w:rsidR="00A16BD4" w:rsidRDefault="00A16BD4" w:rsidP="00711CFC">
      <w:pPr>
        <w:pStyle w:val="a3"/>
        <w:rPr>
          <w:rFonts w:ascii="Arial" w:hAnsi="Arial" w:cs="Arial"/>
          <w:color w:val="000000"/>
          <w:sz w:val="20"/>
          <w:szCs w:val="20"/>
        </w:rPr>
      </w:pPr>
      <w:r>
        <w:rPr>
          <w:rFonts w:ascii="Arial" w:hAnsi="Arial" w:cs="Arial"/>
          <w:color w:val="000000"/>
          <w:sz w:val="20"/>
          <w:szCs w:val="20"/>
        </w:rPr>
        <w:t>- инвестиционные сертификаты подлежат выкупу фондом не ранее окончания срока использования приватизационных бумаг;</w:t>
      </w:r>
    </w:p>
    <w:p w:rsidR="00A16BD4" w:rsidRDefault="00A16BD4" w:rsidP="00711CFC">
      <w:pPr>
        <w:pStyle w:val="a3"/>
        <w:rPr>
          <w:rFonts w:ascii="Arial" w:hAnsi="Arial" w:cs="Arial"/>
          <w:color w:val="000000"/>
          <w:sz w:val="20"/>
          <w:szCs w:val="20"/>
        </w:rPr>
      </w:pPr>
      <w:r>
        <w:rPr>
          <w:rFonts w:ascii="Arial" w:hAnsi="Arial" w:cs="Arial"/>
          <w:color w:val="000000"/>
          <w:sz w:val="20"/>
          <w:szCs w:val="20"/>
        </w:rPr>
        <w:t>- участникам инвестиционного фонда не гарантируется фиксированный размер дивидендов.</w:t>
      </w:r>
    </w:p>
    <w:p w:rsidR="00A16BD4" w:rsidRDefault="00A16BD4" w:rsidP="00711CFC">
      <w:pPr>
        <w:pStyle w:val="a3"/>
        <w:rPr>
          <w:rFonts w:ascii="Arial" w:hAnsi="Arial" w:cs="Arial"/>
          <w:color w:val="000000"/>
          <w:sz w:val="20"/>
          <w:szCs w:val="20"/>
        </w:rPr>
      </w:pPr>
      <w:r>
        <w:rPr>
          <w:rFonts w:ascii="Arial" w:hAnsi="Arial" w:cs="Arial"/>
          <w:color w:val="000000"/>
          <w:sz w:val="20"/>
          <w:szCs w:val="20"/>
        </w:rPr>
        <w:t>Приватизационные бумаги, которые находятся в собственности фонда, подлежат индексированию в случае общей индексации приватизационных бумаг. Фонд имеет право осуществлять дополнительную эмиссию инвестиционных сертификатов в 50-разовом размере к объему принятых для размещения приватизационных бумаг в порядке, утвержденном Фондом государственного имущества и Министерством финансов. Инвестиционные фонды имеют право держать в своих активах до 25 процентов ценных бумаг одного эмитента при условии их приобретения за приватизационные бумаги.</w:t>
      </w:r>
    </w:p>
    <w:p w:rsidR="00A16BD4" w:rsidRDefault="00A16BD4" w:rsidP="00711CFC">
      <w:pPr>
        <w:pStyle w:val="a3"/>
        <w:rPr>
          <w:rFonts w:ascii="Arial" w:hAnsi="Arial" w:cs="Arial"/>
          <w:color w:val="000000"/>
          <w:sz w:val="20"/>
          <w:szCs w:val="20"/>
        </w:rPr>
      </w:pPr>
      <w:r>
        <w:rPr>
          <w:rFonts w:ascii="Arial" w:hAnsi="Arial" w:cs="Arial"/>
          <w:color w:val="000000"/>
          <w:sz w:val="20"/>
          <w:szCs w:val="20"/>
        </w:rPr>
        <w:t>Доходы фонда состоят из дивидендов и иных поступлений от ценных бумаг, которые находятся в собственности фонда, и доходов от операций с ценными бумагами и иными активами. Доходы фонда, его учредителей и участников облагаются налогом при выплате дивидендов в порядке, установленном действующим законодательством.</w:t>
      </w:r>
    </w:p>
    <w:p w:rsidR="00A16BD4" w:rsidRDefault="00A16BD4" w:rsidP="00711CFC">
      <w:pPr>
        <w:pStyle w:val="a3"/>
        <w:rPr>
          <w:rFonts w:ascii="Arial" w:hAnsi="Arial" w:cs="Arial"/>
          <w:color w:val="000000"/>
          <w:sz w:val="20"/>
          <w:szCs w:val="20"/>
        </w:rPr>
      </w:pPr>
      <w:r>
        <w:rPr>
          <w:rFonts w:ascii="Arial" w:hAnsi="Arial" w:cs="Arial"/>
          <w:color w:val="000000"/>
          <w:sz w:val="20"/>
          <w:szCs w:val="20"/>
        </w:rPr>
        <w:t>Доход фонда подлежит распределению между учредителями и участниками в виде дивидендов. Доход учредителей фонда соответственно инвестиционной декларации может быть направлен на увеличение размера уставного фонда.</w:t>
      </w:r>
    </w:p>
    <w:p w:rsidR="00A16BD4" w:rsidRDefault="00A16BD4" w:rsidP="00711CFC">
      <w:pPr>
        <w:pStyle w:val="a3"/>
        <w:rPr>
          <w:rFonts w:ascii="Arial" w:hAnsi="Arial" w:cs="Arial"/>
          <w:color w:val="000000"/>
          <w:sz w:val="20"/>
          <w:szCs w:val="20"/>
        </w:rPr>
      </w:pPr>
      <w:r>
        <w:rPr>
          <w:rFonts w:ascii="Arial" w:hAnsi="Arial" w:cs="Arial"/>
          <w:color w:val="000000"/>
          <w:sz w:val="20"/>
          <w:szCs w:val="20"/>
        </w:rPr>
        <w:t>Фонды, которые размещают приватизационные бумаги, обязаны на протяжении 5 лет сохранять документы о всех осуществленных ими соглашениях с приватизационными бумагами. Если фонды ликвидируются ранее указанного срока, эти документы передаются Фонду государственного имущества.</w:t>
      </w:r>
    </w:p>
    <w:p w:rsidR="00A16BD4" w:rsidRDefault="00A16BD4" w:rsidP="00711CFC">
      <w:pPr>
        <w:pStyle w:val="a3"/>
        <w:rPr>
          <w:rFonts w:ascii="Arial" w:hAnsi="Arial" w:cs="Arial"/>
          <w:color w:val="000000"/>
          <w:sz w:val="20"/>
          <w:szCs w:val="20"/>
        </w:rPr>
      </w:pPr>
      <w:r>
        <w:rPr>
          <w:rFonts w:ascii="Arial" w:hAnsi="Arial" w:cs="Arial"/>
          <w:color w:val="000000"/>
          <w:sz w:val="20"/>
          <w:szCs w:val="20"/>
        </w:rPr>
        <w:t>Контроль за соблюдением антимонопольного законодательства в процессе осуществления совместного инвестирования инвестиционным фондом обеспечивает Антимонопольный комитет соответственно действующего законодательства. Инвестиционный фонд, инвестиционная компания должны непосредственно или через инвестиционного управляющего информировать Антимонопольный комитет о заключенных ими договорах относительно приобретения ценных бумаг, в результате которого обеспечивается прямо или через взаимные фонды инвестиционной компании достижения или превышения 10 процентов ценных бумаг одного эмитента.</w:t>
      </w:r>
    </w:p>
    <w:p w:rsidR="00A16BD4" w:rsidRDefault="00A16BD4" w:rsidP="00711CFC">
      <w:pPr>
        <w:pStyle w:val="a3"/>
        <w:rPr>
          <w:rFonts w:ascii="Arial" w:hAnsi="Arial" w:cs="Arial"/>
          <w:color w:val="000000"/>
          <w:sz w:val="20"/>
          <w:szCs w:val="20"/>
        </w:rPr>
      </w:pPr>
      <w:r>
        <w:rPr>
          <w:rFonts w:ascii="Arial" w:hAnsi="Arial" w:cs="Arial"/>
          <w:color w:val="000000"/>
          <w:sz w:val="20"/>
          <w:szCs w:val="20"/>
        </w:rPr>
        <w:t>Порядок реорганизации инвестиционных фондов, а также особенности претворения закрытого инвестиционного фонда в открытый инвестиционный фонд и закрытого взаимного фонда инвестиционной компании в открытый взаимный фонд инвестиционной компании определяются Государственной комиссией по ценным бумагам и фондовому рынку по согласованию с Фондом государственного имущества и Антимонопольным комитетом.</w:t>
      </w:r>
    </w:p>
    <w:p w:rsidR="00A16BD4" w:rsidRDefault="00A16BD4" w:rsidP="00711CFC">
      <w:pPr>
        <w:pStyle w:val="a3"/>
        <w:rPr>
          <w:rFonts w:ascii="Arial" w:hAnsi="Arial" w:cs="Arial"/>
          <w:color w:val="000000"/>
          <w:sz w:val="20"/>
          <w:szCs w:val="20"/>
        </w:rPr>
      </w:pPr>
      <w:r>
        <w:rPr>
          <w:rFonts w:ascii="Arial" w:hAnsi="Arial" w:cs="Arial"/>
          <w:color w:val="000000"/>
          <w:sz w:val="20"/>
          <w:szCs w:val="20"/>
        </w:rPr>
        <w:t>Определяя общеэкономическую суть таких институций совместного инвестирования, как инвестиционные фонды и инвестиционные компании, необходимо выходить из того, что объединение денежных средств отдельных физических и юридических лиц для дальнейших инвестиций в конкретные проекты, программы, перспективные предприятия нацелены на получение вкладчиками стабильной прибыли. Причем эта прибыль возникает не только благодаря аккумулированию значительных средств, а, прежде всего, за счет высокопрофессиональной деятельности участников инвестиционного процесса.</w:t>
      </w:r>
    </w:p>
    <w:p w:rsidR="00A16BD4" w:rsidRDefault="00A16BD4" w:rsidP="00711CFC">
      <w:pPr>
        <w:pStyle w:val="a3"/>
        <w:rPr>
          <w:rFonts w:ascii="Arial" w:hAnsi="Arial" w:cs="Arial"/>
          <w:color w:val="000000"/>
          <w:sz w:val="20"/>
          <w:szCs w:val="20"/>
        </w:rPr>
      </w:pPr>
      <w:r>
        <w:rPr>
          <w:rFonts w:ascii="Arial" w:hAnsi="Arial" w:cs="Arial"/>
          <w:color w:val="000000"/>
          <w:sz w:val="20"/>
          <w:szCs w:val="20"/>
        </w:rPr>
        <w:t>Главными функциями инвестиционных фондов является диверсификация инвестиций и управление инвестиционным портфелем, в который входят ценные бумаги разных эмитентов и другие виды фондовых инструментов. В соответствии с ситуацией данные финансовые посредники осуществляют покупку-продажу ценных бумаг, перераспределяя капитал в перспективные отрасли и предприятия. Для осуществления этого инвестиционные фонды создают специализированную структуру - инвестиционный руководитель, которая действует, как руководитель - распоряжается денежными средствами, формирует портфель инвестиций, выступает представителем и консультантом по вопросам инвестирования, маркетинга. Чаще всего она создается в форме доверительного общества, т.е. структуры, которой инвестиционный фонд или компания доверяет управление инвестиционной деятельностью, управление активами. На фондовом рынке доверительные общества осуществляют представительную деятельность по обслуживанию ценных бумаг (в том числе приватизационных) доверителя в соответствии с договором поручения, заключенного между доверителем и доверительным обществом.</w:t>
      </w:r>
    </w:p>
    <w:p w:rsidR="00A16BD4" w:rsidRDefault="00A16BD4" w:rsidP="00711CFC">
      <w:pPr>
        <w:pStyle w:val="a3"/>
        <w:rPr>
          <w:rFonts w:ascii="Arial" w:hAnsi="Arial" w:cs="Arial"/>
          <w:color w:val="000000"/>
          <w:sz w:val="20"/>
          <w:szCs w:val="20"/>
        </w:rPr>
      </w:pPr>
      <w:r>
        <w:rPr>
          <w:rFonts w:ascii="Arial" w:hAnsi="Arial" w:cs="Arial"/>
          <w:color w:val="000000"/>
          <w:sz w:val="20"/>
          <w:szCs w:val="20"/>
        </w:rPr>
        <w:t>Эффективность деятельности инвестиционных фондов зависит от профессионализма, знаний и умений основной фигуры - управляющего инвестиционным портфелем, менеджеров, персонала фирмы в целом.</w:t>
      </w:r>
    </w:p>
    <w:p w:rsidR="00A16BD4" w:rsidRDefault="00A16BD4" w:rsidP="00711CFC">
      <w:pPr>
        <w:pStyle w:val="a3"/>
        <w:rPr>
          <w:rFonts w:ascii="Arial" w:hAnsi="Arial" w:cs="Arial"/>
          <w:color w:val="000000"/>
          <w:sz w:val="20"/>
          <w:szCs w:val="20"/>
        </w:rPr>
      </w:pPr>
      <w:r>
        <w:rPr>
          <w:rFonts w:ascii="Arial" w:hAnsi="Arial" w:cs="Arial"/>
          <w:color w:val="000000"/>
          <w:sz w:val="20"/>
          <w:szCs w:val="20"/>
        </w:rPr>
        <w:t>Инвестиционные фонды на инвестиционном рынке играют очень важную роль. Их характерными особенностями является осуществление портфельных инвестиций, диверсификация рисков и квалифицированное управление инвестициями.</w:t>
      </w:r>
    </w:p>
    <w:p w:rsidR="00A16BD4" w:rsidRDefault="00A16BD4" w:rsidP="00711CFC">
      <w:pPr>
        <w:pStyle w:val="a3"/>
        <w:rPr>
          <w:rFonts w:ascii="Arial" w:hAnsi="Arial" w:cs="Arial"/>
          <w:color w:val="000000"/>
          <w:sz w:val="20"/>
          <w:szCs w:val="20"/>
        </w:rPr>
      </w:pPr>
      <w:r>
        <w:rPr>
          <w:rFonts w:ascii="Arial" w:hAnsi="Arial" w:cs="Arial"/>
          <w:color w:val="000000"/>
          <w:sz w:val="20"/>
          <w:szCs w:val="20"/>
        </w:rPr>
        <w:t>Инвестиционные фонды являются примером чистых инвестиционных инвесторов, то есть образовываются с одной целью - для осуществления инвестиционной деятельности.</w:t>
      </w:r>
    </w:p>
    <w:p w:rsidR="00A16BD4" w:rsidRDefault="00A16BD4" w:rsidP="00711CFC">
      <w:pPr>
        <w:pStyle w:val="a3"/>
        <w:rPr>
          <w:rFonts w:ascii="Arial" w:hAnsi="Arial" w:cs="Arial"/>
          <w:color w:val="000000"/>
          <w:sz w:val="20"/>
          <w:szCs w:val="20"/>
        </w:rPr>
      </w:pPr>
      <w:r>
        <w:rPr>
          <w:rFonts w:ascii="Arial" w:hAnsi="Arial" w:cs="Arial"/>
          <w:color w:val="000000"/>
          <w:sz w:val="20"/>
          <w:szCs w:val="20"/>
        </w:rPr>
        <w:t>Инвестиционная деятельность в России еще находится в состоянии становления, причем этот процесс отстает от потребностей реформирования экономики. В этом проявляется взаимозависимость всей экономической системы и инвестиционной деятельности, которая является источником финансирования хозяйственного механизма. Основной причиной слабости инвестиционной деятельности в России является не столько законодательная и правовая база, сколько экономический кризис, спад производства, разрыв традиционных хозяйственных связей.</w:t>
      </w:r>
    </w:p>
    <w:p w:rsidR="00A16BD4" w:rsidRPr="00711CFC" w:rsidRDefault="00A16BD4" w:rsidP="00711C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color w:val="000000"/>
          <w:sz w:val="20"/>
          <w:szCs w:val="20"/>
          <w:lang w:eastAsia="ru-RU"/>
        </w:rPr>
      </w:pPr>
      <w:r w:rsidRPr="00711CFC">
        <w:rPr>
          <w:rFonts w:ascii="Courier New" w:hAnsi="Courier New" w:cs="Courier New"/>
          <w:color w:val="000000"/>
          <w:sz w:val="20"/>
          <w:szCs w:val="20"/>
          <w:lang w:eastAsia="ru-RU"/>
        </w:rPr>
        <w:t>В  строительном  комплексе  основные  инвестиции  будут  направлены   на</w:t>
      </w:r>
    </w:p>
    <w:p w:rsidR="00A16BD4" w:rsidRPr="00711CFC" w:rsidRDefault="00A16BD4" w:rsidP="00711C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color w:val="000000"/>
          <w:sz w:val="20"/>
          <w:szCs w:val="20"/>
          <w:lang w:eastAsia="ru-RU"/>
        </w:rPr>
      </w:pPr>
      <w:r w:rsidRPr="00711CFC">
        <w:rPr>
          <w:rFonts w:ascii="Courier New" w:hAnsi="Courier New" w:cs="Courier New"/>
          <w:color w:val="000000"/>
          <w:sz w:val="20"/>
          <w:szCs w:val="20"/>
          <w:lang w:eastAsia="ru-RU"/>
        </w:rPr>
        <w:t xml:space="preserve"> структурную перестройку производства  строительных  материалов,  изделий  и</w:t>
      </w:r>
    </w:p>
    <w:p w:rsidR="00A16BD4" w:rsidRPr="00711CFC" w:rsidRDefault="00A16BD4" w:rsidP="00711C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color w:val="000000"/>
          <w:sz w:val="20"/>
          <w:szCs w:val="20"/>
          <w:lang w:eastAsia="ru-RU"/>
        </w:rPr>
      </w:pPr>
      <w:r w:rsidRPr="00711CFC">
        <w:rPr>
          <w:rFonts w:ascii="Courier New" w:hAnsi="Courier New" w:cs="Courier New"/>
          <w:color w:val="000000"/>
          <w:sz w:val="20"/>
          <w:szCs w:val="20"/>
          <w:lang w:eastAsia="ru-RU"/>
        </w:rPr>
        <w:t xml:space="preserve"> конструкций для непроизводственного строительства</w:t>
      </w:r>
    </w:p>
    <w:p w:rsidR="00A16BD4" w:rsidRPr="00711CFC" w:rsidRDefault="00A16BD4" w:rsidP="00711CFC">
      <w:pPr>
        <w:spacing w:after="0" w:line="240" w:lineRule="auto"/>
        <w:ind w:left="90" w:firstLine="600"/>
        <w:jc w:val="both"/>
        <w:rPr>
          <w:rFonts w:ascii="Times New Roman" w:hAnsi="Times New Roman"/>
          <w:color w:val="000000"/>
          <w:sz w:val="24"/>
          <w:szCs w:val="24"/>
          <w:lang w:eastAsia="ru-RU"/>
        </w:rPr>
      </w:pPr>
      <w:r w:rsidRPr="00711CFC">
        <w:rPr>
          <w:rFonts w:ascii="Times New Roman" w:hAnsi="Times New Roman"/>
          <w:color w:val="000000"/>
          <w:sz w:val="24"/>
          <w:szCs w:val="24"/>
          <w:lang w:eastAsia="ru-RU"/>
        </w:rPr>
        <w:t>Действенность </w:t>
      </w:r>
      <w:bookmarkStart w:id="0" w:name="YANDEX_3"/>
      <w:bookmarkEnd w:id="0"/>
      <w:r w:rsidRPr="00711CFC">
        <w:rPr>
          <w:rFonts w:ascii="Times New Roman" w:hAnsi="Times New Roman"/>
          <w:color w:val="000000"/>
          <w:sz w:val="24"/>
          <w:szCs w:val="24"/>
          <w:lang w:eastAsia="ru-RU"/>
        </w:rPr>
        <w:t> инвестиционной  деятельности, как на микро- так и на макроуровне, определяется эффективностью использования </w:t>
      </w:r>
      <w:bookmarkStart w:id="1" w:name="YANDEX_4"/>
      <w:bookmarkEnd w:id="1"/>
      <w:r w:rsidRPr="00711CFC">
        <w:rPr>
          <w:rFonts w:ascii="Times New Roman" w:hAnsi="Times New Roman"/>
          <w:color w:val="000000"/>
          <w:sz w:val="24"/>
          <w:szCs w:val="24"/>
          <w:lang w:eastAsia="ru-RU"/>
        </w:rPr>
        <w:t> инвестиционных  ресурсов. В этом плане решающее</w:t>
      </w:r>
      <w:bookmarkStart w:id="2" w:name="YANDEX_5"/>
      <w:bookmarkEnd w:id="2"/>
      <w:r w:rsidRPr="00711CFC">
        <w:rPr>
          <w:rFonts w:ascii="Times New Roman" w:hAnsi="Times New Roman"/>
          <w:color w:val="000000"/>
          <w:sz w:val="24"/>
          <w:szCs w:val="24"/>
          <w:lang w:eastAsia="ru-RU"/>
        </w:rPr>
        <w:t> значение  имеют результаты хозяйственной деятельности </w:t>
      </w:r>
      <w:bookmarkStart w:id="3" w:name="YANDEX_6"/>
      <w:bookmarkEnd w:id="3"/>
      <w:r w:rsidRPr="00711CFC">
        <w:rPr>
          <w:rFonts w:ascii="Times New Roman" w:hAnsi="Times New Roman"/>
          <w:color w:val="000000"/>
          <w:sz w:val="24"/>
          <w:szCs w:val="24"/>
          <w:lang w:eastAsia="ru-RU"/>
        </w:rPr>
        <w:t> инвестиционных  </w:t>
      </w:r>
      <w:bookmarkStart w:id="4" w:name="YANDEX_7"/>
      <w:bookmarkEnd w:id="4"/>
      <w:r w:rsidRPr="00711CFC">
        <w:rPr>
          <w:rFonts w:ascii="Times New Roman" w:hAnsi="Times New Roman"/>
          <w:color w:val="000000"/>
          <w:sz w:val="24"/>
          <w:szCs w:val="24"/>
          <w:lang w:eastAsia="ru-RU"/>
        </w:rPr>
        <w:t> отраслей . Их технический уровень, организация производства, развитие предпринимательства, способность к освоению инноваций оказывают основное воздействие на </w:t>
      </w:r>
      <w:bookmarkStart w:id="5" w:name="YANDEX_8"/>
      <w:bookmarkEnd w:id="5"/>
      <w:r w:rsidRPr="00711CFC">
        <w:rPr>
          <w:rFonts w:ascii="Times New Roman" w:hAnsi="Times New Roman"/>
          <w:color w:val="000000"/>
          <w:sz w:val="24"/>
          <w:szCs w:val="24"/>
          <w:lang w:eastAsia="ru-RU"/>
        </w:rPr>
        <w:t> инвестиционный  цикл, окупаемость и отдачу </w:t>
      </w:r>
      <w:bookmarkStart w:id="6" w:name="YANDEX_9"/>
      <w:bookmarkEnd w:id="6"/>
      <w:r w:rsidRPr="00711CFC">
        <w:rPr>
          <w:rFonts w:ascii="Times New Roman" w:hAnsi="Times New Roman"/>
          <w:color w:val="000000"/>
          <w:sz w:val="24"/>
          <w:szCs w:val="24"/>
          <w:lang w:eastAsia="ru-RU"/>
        </w:rPr>
        <w:t> инвестиционных  ресурсов.</w:t>
      </w:r>
    </w:p>
    <w:p w:rsidR="00A16BD4" w:rsidRPr="00711CFC" w:rsidRDefault="00A16BD4" w:rsidP="00711CFC">
      <w:pPr>
        <w:spacing w:after="0" w:line="240" w:lineRule="auto"/>
        <w:ind w:left="90" w:firstLine="600"/>
        <w:jc w:val="both"/>
        <w:rPr>
          <w:rFonts w:ascii="Times New Roman" w:hAnsi="Times New Roman"/>
          <w:color w:val="000000"/>
          <w:sz w:val="24"/>
          <w:szCs w:val="24"/>
          <w:lang w:eastAsia="ru-RU"/>
        </w:rPr>
      </w:pPr>
      <w:r w:rsidRPr="00711CFC">
        <w:rPr>
          <w:rFonts w:ascii="Times New Roman" w:hAnsi="Times New Roman"/>
          <w:color w:val="000000"/>
          <w:sz w:val="24"/>
          <w:szCs w:val="24"/>
          <w:lang w:eastAsia="ru-RU"/>
        </w:rPr>
        <w:t>Среди </w:t>
      </w:r>
      <w:bookmarkStart w:id="7" w:name="YANDEX_10"/>
      <w:bookmarkEnd w:id="7"/>
      <w:r w:rsidRPr="00711CFC">
        <w:rPr>
          <w:rFonts w:ascii="Times New Roman" w:hAnsi="Times New Roman"/>
          <w:color w:val="000000"/>
          <w:sz w:val="24"/>
          <w:szCs w:val="24"/>
          <w:lang w:eastAsia="ru-RU"/>
        </w:rPr>
        <w:t> инвестиционных  </w:t>
      </w:r>
      <w:bookmarkStart w:id="8" w:name="YANDEX_11"/>
      <w:bookmarkEnd w:id="8"/>
      <w:r w:rsidRPr="00711CFC">
        <w:rPr>
          <w:rFonts w:ascii="Times New Roman" w:hAnsi="Times New Roman"/>
          <w:color w:val="000000"/>
          <w:sz w:val="24"/>
          <w:szCs w:val="24"/>
          <w:lang w:eastAsia="ru-RU"/>
        </w:rPr>
        <w:t> отраслей  центральное место занимает строительство. Поэтому, логически, исследование эффективности инвестиций следует начинать именно с этой </w:t>
      </w:r>
      <w:bookmarkStart w:id="9" w:name="YANDEX_12"/>
      <w:bookmarkEnd w:id="9"/>
      <w:r w:rsidRPr="00711CFC">
        <w:rPr>
          <w:rFonts w:ascii="Times New Roman" w:hAnsi="Times New Roman"/>
          <w:color w:val="000000"/>
          <w:sz w:val="24"/>
          <w:szCs w:val="24"/>
          <w:lang w:eastAsia="ru-RU"/>
        </w:rPr>
        <w:t> отрасли . Сроки строительства превышаются в 2,5-3,0 раза, сверхнормативным остается уровень незавершенного строительства. Одной из причин этого выступает нерациональность структуры</w:t>
      </w:r>
      <w:bookmarkStart w:id="10" w:name="YANDEX_14"/>
      <w:bookmarkEnd w:id="10"/>
      <w:r w:rsidRPr="00711CFC">
        <w:rPr>
          <w:rFonts w:ascii="Times New Roman" w:hAnsi="Times New Roman"/>
          <w:color w:val="000000"/>
          <w:sz w:val="24"/>
          <w:szCs w:val="24"/>
          <w:lang w:eastAsia="ru-RU"/>
        </w:rPr>
        <w:t> инвестиционного  цикла в строительстве, в соответствии с которым стадия подготовки занимает только около 3% его общей стоимости. В то же время, в процессе перераспределения капитальных вложений, на стадию подготовки строительства перераспределяется совокупный труд всех работников</w:t>
      </w:r>
      <w:bookmarkStart w:id="11" w:name="YANDEX_15"/>
      <w:bookmarkEnd w:id="11"/>
      <w:r w:rsidRPr="00711CFC">
        <w:rPr>
          <w:rFonts w:ascii="Times New Roman" w:hAnsi="Times New Roman"/>
          <w:color w:val="000000"/>
          <w:sz w:val="24"/>
          <w:szCs w:val="24"/>
          <w:lang w:eastAsia="ru-RU"/>
        </w:rPr>
        <w:t> инвестиционного  процесса – в сферу с высоким интеллектуальным потенциалом  - науки и проектирования. Усиление стадии подготовки </w:t>
      </w:r>
      <w:bookmarkStart w:id="12" w:name="YANDEX_16"/>
      <w:bookmarkEnd w:id="12"/>
      <w:r w:rsidRPr="00711CFC">
        <w:rPr>
          <w:rFonts w:ascii="Times New Roman" w:hAnsi="Times New Roman"/>
          <w:color w:val="000000"/>
          <w:sz w:val="24"/>
          <w:szCs w:val="24"/>
          <w:lang w:eastAsia="ru-RU"/>
        </w:rPr>
        <w:t> инвестиционного  цикла в строительстве должно привести к повышению научно-технического уровня всего процесса расширенного воспроизводства.</w:t>
      </w:r>
    </w:p>
    <w:p w:rsidR="00A16BD4" w:rsidRPr="00711CFC" w:rsidRDefault="00A16BD4" w:rsidP="00711CFC">
      <w:pPr>
        <w:spacing w:after="0" w:line="240" w:lineRule="auto"/>
        <w:ind w:left="90" w:firstLine="600"/>
        <w:jc w:val="both"/>
        <w:rPr>
          <w:rFonts w:ascii="Times New Roman" w:hAnsi="Times New Roman"/>
          <w:color w:val="000000"/>
          <w:sz w:val="24"/>
          <w:szCs w:val="24"/>
          <w:lang w:eastAsia="ru-RU"/>
        </w:rPr>
      </w:pPr>
      <w:r w:rsidRPr="00711CFC">
        <w:rPr>
          <w:rFonts w:ascii="Times New Roman" w:hAnsi="Times New Roman"/>
          <w:color w:val="000000"/>
          <w:sz w:val="24"/>
          <w:szCs w:val="24"/>
          <w:lang w:eastAsia="ru-RU"/>
        </w:rPr>
        <w:t>В недалеком прошлом чрезмерное наращивание потенциала затратных </w:t>
      </w:r>
      <w:bookmarkStart w:id="13" w:name="YANDEX_17"/>
      <w:bookmarkEnd w:id="13"/>
      <w:r w:rsidRPr="00711CFC">
        <w:rPr>
          <w:rFonts w:ascii="Times New Roman" w:hAnsi="Times New Roman"/>
          <w:color w:val="000000"/>
          <w:sz w:val="24"/>
          <w:szCs w:val="24"/>
          <w:lang w:eastAsia="ru-RU"/>
        </w:rPr>
        <w:t> отраслей  и производств отождествлялось с успехами в экономическом развитии. Как показал мировой опыт,  наиболее эффективный путь развития экономики пролегает через ресурсосберегающую </w:t>
      </w:r>
      <w:bookmarkStart w:id="14" w:name="YANDEX_18"/>
      <w:bookmarkEnd w:id="14"/>
      <w:r w:rsidRPr="00711CFC">
        <w:rPr>
          <w:rFonts w:ascii="Times New Roman" w:hAnsi="Times New Roman"/>
          <w:color w:val="000000"/>
          <w:sz w:val="24"/>
          <w:szCs w:val="24"/>
          <w:lang w:eastAsia="ru-RU"/>
        </w:rPr>
        <w:t> инвестиционную стратегию.  Имеются в виду не только материально-технические, трудовые и финансовые ресурсы, но и такой чрезвычайно важный ресурс, как время. Выигрыш во времени дает много преимуществ и открывает большие возможности в условиях интегрированного развития  мирового хозяйства.</w:t>
      </w:r>
    </w:p>
    <w:p w:rsidR="00A16BD4" w:rsidRPr="00711CFC" w:rsidRDefault="00A16BD4" w:rsidP="00711CFC">
      <w:pPr>
        <w:spacing w:after="0" w:line="240" w:lineRule="auto"/>
        <w:ind w:left="90" w:firstLine="600"/>
        <w:jc w:val="both"/>
        <w:rPr>
          <w:rFonts w:ascii="Times New Roman" w:hAnsi="Times New Roman"/>
          <w:color w:val="000000"/>
          <w:sz w:val="24"/>
          <w:szCs w:val="24"/>
          <w:lang w:eastAsia="ru-RU"/>
        </w:rPr>
      </w:pPr>
      <w:r w:rsidRPr="00711CFC">
        <w:rPr>
          <w:rFonts w:ascii="Times New Roman" w:hAnsi="Times New Roman"/>
          <w:color w:val="000000"/>
          <w:sz w:val="24"/>
          <w:szCs w:val="24"/>
          <w:lang w:eastAsia="ru-RU"/>
        </w:rPr>
        <w:t>Для преодоления экономического спада необходимо изменить акценты в приоритетах и формах инвестирования. Необходимо изменить структуру экономики страны, уменьшить удельные вес</w:t>
      </w:r>
      <w:bookmarkStart w:id="15" w:name="YANDEX_19"/>
      <w:bookmarkEnd w:id="15"/>
      <w:r w:rsidRPr="00711CFC">
        <w:rPr>
          <w:rFonts w:ascii="Times New Roman" w:hAnsi="Times New Roman"/>
          <w:color w:val="000000"/>
          <w:sz w:val="24"/>
          <w:szCs w:val="24"/>
          <w:lang w:eastAsia="ru-RU"/>
        </w:rPr>
        <w:t> отраслей  тяжелой и военной промышленности, которые в больших объемах потребляют природные ресурсы, ухудшают экологическую ситуацию, а продукция их в значительной мере вывозится за пределы Украины и не влияет на уровень жизни населения. И, наоборот, необходимо увеличивать удельный вес наукоемких </w:t>
      </w:r>
      <w:bookmarkStart w:id="16" w:name="YANDEX_20"/>
      <w:bookmarkEnd w:id="16"/>
      <w:r w:rsidRPr="00711CFC">
        <w:rPr>
          <w:rFonts w:ascii="Times New Roman" w:hAnsi="Times New Roman"/>
          <w:color w:val="000000"/>
          <w:sz w:val="24"/>
          <w:szCs w:val="24"/>
          <w:lang w:eastAsia="ru-RU"/>
        </w:rPr>
        <w:t> отраслей  с экологически чистыми технологиями, легкой и пищевой промышленности, перерабатывающих </w:t>
      </w:r>
      <w:bookmarkStart w:id="17" w:name="YANDEX_21"/>
      <w:bookmarkEnd w:id="17"/>
      <w:r w:rsidRPr="00711CFC">
        <w:rPr>
          <w:rFonts w:ascii="Times New Roman" w:hAnsi="Times New Roman"/>
          <w:color w:val="000000"/>
          <w:sz w:val="24"/>
          <w:szCs w:val="24"/>
          <w:lang w:eastAsia="ru-RU"/>
        </w:rPr>
        <w:t> отраслей  сельского хозяйства, сферы услуг.</w:t>
      </w:r>
    </w:p>
    <w:p w:rsidR="00A16BD4" w:rsidRPr="00711CFC" w:rsidRDefault="00A16BD4" w:rsidP="00711CFC">
      <w:pPr>
        <w:spacing w:after="0" w:line="240" w:lineRule="auto"/>
        <w:ind w:left="90" w:firstLine="600"/>
        <w:jc w:val="both"/>
        <w:rPr>
          <w:rFonts w:ascii="Times New Roman" w:hAnsi="Times New Roman"/>
          <w:color w:val="000000"/>
          <w:sz w:val="24"/>
          <w:szCs w:val="24"/>
          <w:lang w:eastAsia="ru-RU"/>
        </w:rPr>
      </w:pPr>
      <w:r w:rsidRPr="00711CFC">
        <w:rPr>
          <w:rFonts w:ascii="Times New Roman" w:hAnsi="Times New Roman"/>
          <w:color w:val="000000"/>
          <w:sz w:val="24"/>
          <w:szCs w:val="24"/>
          <w:lang w:eastAsia="ru-RU"/>
        </w:rPr>
        <w:t>Только структурная переориентация инвестиций дает возможность безболезненно уменьшить часть </w:t>
      </w:r>
      <w:bookmarkStart w:id="18" w:name="YANDEX_22"/>
      <w:bookmarkEnd w:id="18"/>
      <w:r w:rsidRPr="00711CFC">
        <w:rPr>
          <w:rFonts w:ascii="Times New Roman" w:hAnsi="Times New Roman"/>
          <w:color w:val="000000"/>
          <w:sz w:val="24"/>
          <w:szCs w:val="24"/>
          <w:lang w:eastAsia="ru-RU"/>
        </w:rPr>
        <w:t> фонда  накопления в составе национального дохода, перебороть застарелые диспропорции, сбалансировать экономику, достичь более высокого жизненного уровня населения. Важно также наладить эффективный механизм инвестирования научно-технического прогресса, чтобы не допустить отставания страны от мирового уровня.</w:t>
      </w:r>
    </w:p>
    <w:p w:rsidR="00A16BD4" w:rsidRPr="00711CFC" w:rsidRDefault="00A16BD4" w:rsidP="00711CFC">
      <w:pPr>
        <w:spacing w:after="0" w:line="240" w:lineRule="auto"/>
        <w:ind w:left="90" w:firstLine="600"/>
        <w:jc w:val="both"/>
        <w:rPr>
          <w:rFonts w:ascii="Times New Roman" w:hAnsi="Times New Roman"/>
          <w:color w:val="000000"/>
          <w:sz w:val="24"/>
          <w:szCs w:val="24"/>
          <w:lang w:eastAsia="ru-RU"/>
        </w:rPr>
      </w:pPr>
      <w:r w:rsidRPr="00711CFC">
        <w:rPr>
          <w:rFonts w:ascii="Times New Roman" w:hAnsi="Times New Roman"/>
          <w:color w:val="000000"/>
          <w:sz w:val="24"/>
          <w:szCs w:val="24"/>
          <w:lang w:eastAsia="ru-RU"/>
        </w:rPr>
        <w:t>Научно-исследовательские и опытно-конструкторские разработки, которые проводятся в</w:t>
      </w:r>
      <w:bookmarkStart w:id="19" w:name="YANDEX_23"/>
      <w:bookmarkEnd w:id="19"/>
      <w:r w:rsidRPr="00711CFC">
        <w:rPr>
          <w:rFonts w:ascii="Times New Roman" w:hAnsi="Times New Roman"/>
          <w:color w:val="000000"/>
          <w:sz w:val="24"/>
          <w:szCs w:val="24"/>
          <w:lang w:eastAsia="ru-RU"/>
        </w:rPr>
        <w:t> отрасли  капитального строительства, имеют очень важное </w:t>
      </w:r>
      <w:bookmarkStart w:id="20" w:name="YANDEX_24"/>
      <w:bookmarkEnd w:id="20"/>
      <w:r w:rsidRPr="00711CFC">
        <w:rPr>
          <w:rFonts w:ascii="Times New Roman" w:hAnsi="Times New Roman"/>
          <w:color w:val="000000"/>
          <w:sz w:val="24"/>
          <w:szCs w:val="24"/>
          <w:lang w:eastAsia="ru-RU"/>
        </w:rPr>
        <w:t> значение  в </w:t>
      </w:r>
      <w:bookmarkStart w:id="21" w:name="YANDEX_25"/>
      <w:bookmarkEnd w:id="21"/>
      <w:r w:rsidRPr="00711CFC">
        <w:rPr>
          <w:rFonts w:ascii="Times New Roman" w:hAnsi="Times New Roman"/>
          <w:color w:val="000000"/>
          <w:sz w:val="24"/>
          <w:szCs w:val="24"/>
          <w:lang w:eastAsia="ru-RU"/>
        </w:rPr>
        <w:t> инвестиционном  процессе, так как именно они обеспечивают научно-технический уровень сооружаемого объекта. Как начальная часть стадии подготовки </w:t>
      </w:r>
      <w:bookmarkStart w:id="22" w:name="YANDEX_26"/>
      <w:bookmarkEnd w:id="22"/>
      <w:r w:rsidRPr="00711CFC">
        <w:rPr>
          <w:rFonts w:ascii="Times New Roman" w:hAnsi="Times New Roman"/>
          <w:color w:val="000000"/>
          <w:sz w:val="24"/>
          <w:szCs w:val="24"/>
          <w:lang w:eastAsia="ru-RU"/>
        </w:rPr>
        <w:t> инвестиционного  цикла научно-исследовательские и опытно-конструкторские разработки занимают особенное положение между фундаментальными научными исследованиями и проектно-изыскательскими работами и поэтому могут существенно влиять на темпы внедрения достижений научно-технического прогресса и эффективность инвестирования.</w:t>
      </w:r>
    </w:p>
    <w:p w:rsidR="00A16BD4" w:rsidRPr="00711CFC" w:rsidRDefault="00A16BD4" w:rsidP="00711CFC">
      <w:pPr>
        <w:spacing w:after="0" w:line="240" w:lineRule="auto"/>
        <w:ind w:left="90" w:firstLine="600"/>
        <w:jc w:val="both"/>
        <w:rPr>
          <w:rFonts w:ascii="Times New Roman" w:hAnsi="Times New Roman"/>
          <w:color w:val="000000"/>
          <w:sz w:val="24"/>
          <w:szCs w:val="24"/>
          <w:lang w:eastAsia="ru-RU"/>
        </w:rPr>
      </w:pPr>
      <w:bookmarkStart w:id="23" w:name="YANDEX_27"/>
      <w:bookmarkEnd w:id="23"/>
      <w:r w:rsidRPr="00711CFC">
        <w:rPr>
          <w:rFonts w:ascii="Times New Roman" w:hAnsi="Times New Roman"/>
          <w:color w:val="000000"/>
          <w:sz w:val="24"/>
          <w:szCs w:val="24"/>
          <w:lang w:eastAsia="ru-RU"/>
        </w:rPr>
        <w:t> В  </w:t>
      </w:r>
      <w:bookmarkStart w:id="24" w:name="YANDEX_28"/>
      <w:bookmarkEnd w:id="24"/>
      <w:r w:rsidRPr="00711CFC">
        <w:rPr>
          <w:rFonts w:ascii="Times New Roman" w:hAnsi="Times New Roman"/>
          <w:color w:val="000000"/>
          <w:sz w:val="24"/>
          <w:szCs w:val="24"/>
          <w:lang w:eastAsia="ru-RU"/>
        </w:rPr>
        <w:t> строительном  комплексе Украины научно-исследовательскими и опытно-конструкторскими работами занимаются около 50 научных институтов и других организаций научного профиля. Удельный вес затрат на строительную науку и научное обслуживание составляет около 1,5% общих затрат на развитие науки в Украине. Попутно необходимо заметить, что на долю </w:t>
      </w:r>
      <w:bookmarkStart w:id="25" w:name="YANDEX_29"/>
      <w:bookmarkEnd w:id="25"/>
      <w:r w:rsidRPr="00711CFC">
        <w:rPr>
          <w:rFonts w:ascii="Times New Roman" w:hAnsi="Times New Roman"/>
          <w:color w:val="000000"/>
          <w:sz w:val="24"/>
          <w:szCs w:val="24"/>
          <w:lang w:eastAsia="ru-RU"/>
        </w:rPr>
        <w:t> строительного комплекса страны приходится 12-13% произведенного национального дохода, около 13% занятых в сфере материального производства работников и почти 9% стоимости основных производственных</w:t>
      </w:r>
      <w:bookmarkStart w:id="26" w:name="YANDEX_30"/>
      <w:bookmarkEnd w:id="26"/>
      <w:r w:rsidRPr="00711CFC">
        <w:rPr>
          <w:rFonts w:ascii="Times New Roman" w:hAnsi="Times New Roman"/>
          <w:color w:val="000000"/>
          <w:sz w:val="24"/>
          <w:szCs w:val="24"/>
          <w:lang w:eastAsia="ru-RU"/>
        </w:rPr>
        <w:t> фондов . </w:t>
      </w:r>
      <w:r w:rsidRPr="00711CFC">
        <w:rPr>
          <w:rFonts w:ascii="Times New Roman" w:hAnsi="Times New Roman"/>
          <w:color w:val="000000"/>
          <w:sz w:val="24"/>
          <w:szCs w:val="24"/>
          <w:vertAlign w:val="superscript"/>
          <w:lang w:eastAsia="ru-RU"/>
        </w:rPr>
        <w:t>1</w:t>
      </w:r>
    </w:p>
    <w:p w:rsidR="00A16BD4" w:rsidRPr="00711CFC" w:rsidRDefault="00A16BD4" w:rsidP="00711CFC">
      <w:pPr>
        <w:spacing w:after="0" w:line="240" w:lineRule="auto"/>
        <w:ind w:left="90" w:firstLine="600"/>
        <w:jc w:val="both"/>
        <w:rPr>
          <w:rFonts w:ascii="Times New Roman" w:hAnsi="Times New Roman"/>
          <w:color w:val="000000"/>
          <w:sz w:val="24"/>
          <w:szCs w:val="24"/>
          <w:lang w:eastAsia="ru-RU"/>
        </w:rPr>
      </w:pPr>
      <w:r w:rsidRPr="00711CFC">
        <w:rPr>
          <w:rFonts w:ascii="Times New Roman" w:hAnsi="Times New Roman"/>
          <w:color w:val="000000"/>
          <w:sz w:val="24"/>
          <w:szCs w:val="24"/>
          <w:lang w:eastAsia="ru-RU"/>
        </w:rPr>
        <w:t>В социально-экономической и производственно-технической ситуации, которая характерна для новых условий развития экономики Украины, часть средств, которые будут высвобождаться вследствие переструктуризации накапливаемого капитала, целесообразно перераспределить в пользу стадии подготовки строительства. Эффективность такого решения подтверждает и мировой опыт. В Украине, до недавнего времени, цена проекта составляла 1-2% стоимости объекта </w:t>
      </w:r>
      <w:r w:rsidRPr="00711CFC">
        <w:rPr>
          <w:rFonts w:ascii="Times New Roman" w:hAnsi="Times New Roman"/>
          <w:color w:val="000000"/>
          <w:sz w:val="24"/>
          <w:szCs w:val="24"/>
          <w:vertAlign w:val="superscript"/>
          <w:lang w:eastAsia="ru-RU"/>
        </w:rPr>
        <w:t>2</w:t>
      </w:r>
      <w:r w:rsidRPr="00711CFC">
        <w:rPr>
          <w:rFonts w:ascii="Times New Roman" w:hAnsi="Times New Roman"/>
          <w:color w:val="000000"/>
          <w:sz w:val="24"/>
          <w:szCs w:val="24"/>
          <w:lang w:eastAsia="ru-RU"/>
        </w:rPr>
        <w:t> и не учитывала, в должной мере усложнившуюся подготовку к строительству и необходимость иметь несколько альтернативных вариантов проработок. В наиболее же развитых странах (США, Япония, ФРГ и других) только на проектно-изыскательские работы затрачивается 10-15% общего объема капиталовложений. </w:t>
      </w:r>
      <w:r w:rsidRPr="00711CFC">
        <w:rPr>
          <w:rFonts w:ascii="Times New Roman" w:hAnsi="Times New Roman"/>
          <w:color w:val="000000"/>
          <w:sz w:val="24"/>
          <w:szCs w:val="24"/>
          <w:vertAlign w:val="superscript"/>
          <w:lang w:eastAsia="ru-RU"/>
        </w:rPr>
        <w:t>3</w:t>
      </w:r>
      <w:r w:rsidRPr="00711CFC">
        <w:rPr>
          <w:rFonts w:ascii="Times New Roman" w:hAnsi="Times New Roman"/>
          <w:color w:val="000000"/>
          <w:sz w:val="24"/>
          <w:szCs w:val="24"/>
          <w:lang w:eastAsia="ru-RU"/>
        </w:rPr>
        <w:t>В результате, за счет более высокой подготовки на новейшей научно-технической основе,</w:t>
      </w:r>
      <w:bookmarkStart w:id="27" w:name="YANDEX_31"/>
      <w:bookmarkEnd w:id="27"/>
      <w:r w:rsidRPr="00711CFC">
        <w:rPr>
          <w:rFonts w:ascii="Times New Roman" w:hAnsi="Times New Roman"/>
          <w:color w:val="000000"/>
          <w:sz w:val="24"/>
          <w:szCs w:val="24"/>
          <w:lang w:eastAsia="ru-RU"/>
        </w:rPr>
        <w:t> инвестиционные  процессы протекают эффективно, быстро, качественно.</w:t>
      </w:r>
    </w:p>
    <w:p w:rsidR="00A16BD4" w:rsidRPr="00711CFC" w:rsidRDefault="00A16BD4" w:rsidP="00711CFC">
      <w:pPr>
        <w:spacing w:after="0" w:line="240" w:lineRule="auto"/>
        <w:ind w:left="90" w:firstLine="600"/>
        <w:jc w:val="both"/>
        <w:rPr>
          <w:rFonts w:ascii="Times New Roman" w:hAnsi="Times New Roman"/>
          <w:color w:val="000000"/>
          <w:sz w:val="24"/>
          <w:szCs w:val="24"/>
          <w:lang w:eastAsia="ru-RU"/>
        </w:rPr>
      </w:pPr>
      <w:r w:rsidRPr="00711CFC">
        <w:rPr>
          <w:rFonts w:ascii="Times New Roman" w:hAnsi="Times New Roman"/>
          <w:color w:val="000000"/>
          <w:sz w:val="24"/>
          <w:szCs w:val="24"/>
          <w:lang w:eastAsia="ru-RU"/>
        </w:rPr>
        <w:t>Так, в США средняя продолжительность сооружения объектов в </w:t>
      </w:r>
      <w:bookmarkStart w:id="28" w:name="YANDEX_32"/>
      <w:bookmarkEnd w:id="28"/>
      <w:r w:rsidRPr="00711CFC">
        <w:rPr>
          <w:rFonts w:ascii="Times New Roman" w:hAnsi="Times New Roman"/>
          <w:color w:val="000000"/>
          <w:sz w:val="24"/>
          <w:szCs w:val="24"/>
          <w:lang w:eastAsia="ru-RU"/>
        </w:rPr>
        <w:t> отраслях  перерабатывающей промышленности, торговли, финансов, охраны здоровья и просвещения, услуг и жилищного строительства была на уровне от 11 до 27 месяцев в зависимости от типа и размеров сооружаемого объекта, причем процесс строительства однотипных промышленных объектов за последние десять лет сократился приблизительно на 13%. </w:t>
      </w:r>
      <w:r w:rsidRPr="00711CFC">
        <w:rPr>
          <w:rFonts w:ascii="Times New Roman" w:hAnsi="Times New Roman"/>
          <w:color w:val="000000"/>
          <w:sz w:val="24"/>
          <w:szCs w:val="24"/>
          <w:vertAlign w:val="superscript"/>
          <w:lang w:eastAsia="ru-RU"/>
        </w:rPr>
        <w:t>4</w:t>
      </w:r>
      <w:r w:rsidRPr="00711CFC">
        <w:rPr>
          <w:rFonts w:ascii="Times New Roman" w:hAnsi="Times New Roman"/>
          <w:color w:val="000000"/>
          <w:sz w:val="24"/>
          <w:szCs w:val="24"/>
          <w:lang w:eastAsia="ru-RU"/>
        </w:rPr>
        <w:t> Это обстоятельство имело большое </w:t>
      </w:r>
      <w:bookmarkStart w:id="29" w:name="YANDEX_33"/>
      <w:bookmarkEnd w:id="29"/>
      <w:r w:rsidRPr="00711CFC">
        <w:rPr>
          <w:rFonts w:ascii="Times New Roman" w:hAnsi="Times New Roman"/>
          <w:color w:val="000000"/>
          <w:sz w:val="24"/>
          <w:szCs w:val="24"/>
          <w:lang w:eastAsia="ru-RU"/>
        </w:rPr>
        <w:t> значение  для повышения эффективности инвестирования в целом. Характерно, что еще при проектировании предвидится возможность будущей реконструкции и технологического перевооружения промышленных предприятий. С целью обеспечения при этом минимальных объемов и сроков работ разрабатываются “гибкие” проекты (с гибким генеральным планом застройки и сооружениями, которые легко монтируются и демонтируются), уже предусмотрительно приспособленные к замене оборудования и даже независимые от конкретной технологии.</w:t>
      </w:r>
    </w:p>
    <w:p w:rsidR="00A16BD4" w:rsidRPr="00711CFC" w:rsidRDefault="00A16BD4" w:rsidP="00711CFC">
      <w:pPr>
        <w:spacing w:after="0" w:line="240" w:lineRule="auto"/>
        <w:ind w:left="90" w:firstLine="600"/>
        <w:jc w:val="both"/>
        <w:rPr>
          <w:rFonts w:ascii="Times New Roman" w:hAnsi="Times New Roman"/>
          <w:color w:val="000000"/>
          <w:sz w:val="24"/>
          <w:szCs w:val="24"/>
          <w:lang w:eastAsia="ru-RU"/>
        </w:rPr>
      </w:pPr>
      <w:r w:rsidRPr="00711CFC">
        <w:rPr>
          <w:rFonts w:ascii="Times New Roman" w:hAnsi="Times New Roman"/>
          <w:color w:val="000000"/>
          <w:sz w:val="24"/>
          <w:szCs w:val="24"/>
          <w:lang w:eastAsia="ru-RU"/>
        </w:rPr>
        <w:t>Естественно, что более детальная подготовка </w:t>
      </w:r>
      <w:bookmarkStart w:id="30" w:name="YANDEX_34"/>
      <w:bookmarkEnd w:id="30"/>
      <w:r w:rsidRPr="00711CFC">
        <w:rPr>
          <w:rFonts w:ascii="Times New Roman" w:hAnsi="Times New Roman"/>
          <w:color w:val="000000"/>
          <w:sz w:val="24"/>
          <w:szCs w:val="24"/>
          <w:lang w:eastAsia="ru-RU"/>
        </w:rPr>
        <w:t> инвестиционного  цикла требует больше времени и средств, но это полностью оправдывает себя вследствие сокращения и удешевления стадий строительства и освоения проектных мощностей. Кроме того, огромные ресурсы капитального строительства немного позднее списываются с народнохозяйственного учета (а в это время они работают) и раньше возвращаются в виде современных основных </w:t>
      </w:r>
      <w:bookmarkStart w:id="31" w:name="YANDEX_35"/>
      <w:bookmarkEnd w:id="31"/>
      <w:r w:rsidRPr="00711CFC">
        <w:rPr>
          <w:rFonts w:ascii="Times New Roman" w:hAnsi="Times New Roman"/>
          <w:color w:val="000000"/>
          <w:sz w:val="24"/>
          <w:szCs w:val="24"/>
          <w:lang w:eastAsia="ru-RU"/>
        </w:rPr>
        <w:t> фондов  и производственных мощностей.</w:t>
      </w:r>
    </w:p>
    <w:tbl>
      <w:tblPr>
        <w:tblpPr w:leftFromText="45" w:rightFromText="45" w:vertAnchor="text"/>
        <w:tblW w:w="0" w:type="auto"/>
        <w:tblCellSpacing w:w="15" w:type="dxa"/>
        <w:tblCellMar>
          <w:top w:w="15" w:type="dxa"/>
          <w:left w:w="15" w:type="dxa"/>
          <w:bottom w:w="15" w:type="dxa"/>
          <w:right w:w="15" w:type="dxa"/>
        </w:tblCellMar>
        <w:tblLook w:val="00A0" w:firstRow="1" w:lastRow="0" w:firstColumn="1" w:lastColumn="0" w:noHBand="0" w:noVBand="0"/>
      </w:tblPr>
      <w:tblGrid>
        <w:gridCol w:w="630"/>
        <w:gridCol w:w="3615"/>
      </w:tblGrid>
      <w:tr w:rsidR="00A16BD4" w:rsidRPr="008B2A52" w:rsidTr="00711CFC">
        <w:trPr>
          <w:gridAfter w:val="1"/>
          <w:trHeight w:val="165"/>
          <w:tblCellSpacing w:w="15" w:type="dxa"/>
        </w:trPr>
        <w:tc>
          <w:tcPr>
            <w:tcW w:w="585" w:type="dxa"/>
            <w:vAlign w:val="center"/>
          </w:tcPr>
          <w:p w:rsidR="00A16BD4" w:rsidRPr="00711CFC" w:rsidRDefault="00A16BD4" w:rsidP="00711CFC">
            <w:pPr>
              <w:spacing w:after="0" w:line="240" w:lineRule="auto"/>
              <w:rPr>
                <w:rFonts w:ascii="Tahoma" w:hAnsi="Tahoma" w:cs="Tahoma"/>
                <w:sz w:val="16"/>
                <w:szCs w:val="16"/>
                <w:lang w:eastAsia="ru-RU"/>
              </w:rPr>
            </w:pPr>
          </w:p>
        </w:tc>
      </w:tr>
      <w:tr w:rsidR="00A16BD4" w:rsidRPr="008B2A52" w:rsidTr="00711CFC">
        <w:trPr>
          <w:tblCellSpacing w:w="15" w:type="dxa"/>
        </w:trPr>
        <w:tc>
          <w:tcPr>
            <w:tcW w:w="0" w:type="auto"/>
            <w:vAlign w:val="center"/>
          </w:tcPr>
          <w:p w:rsidR="00A16BD4" w:rsidRPr="00711CFC" w:rsidRDefault="00A16BD4" w:rsidP="00711CFC">
            <w:pPr>
              <w:spacing w:after="0" w:line="240" w:lineRule="auto"/>
              <w:rPr>
                <w:rFonts w:ascii="Tahoma" w:hAnsi="Tahoma" w:cs="Tahoma"/>
                <w:sz w:val="16"/>
                <w:szCs w:val="16"/>
                <w:lang w:eastAsia="ru-RU"/>
              </w:rPr>
            </w:pPr>
          </w:p>
        </w:tc>
        <w:tc>
          <w:tcPr>
            <w:tcW w:w="0" w:type="auto"/>
            <w:vAlign w:val="center"/>
          </w:tcPr>
          <w:p w:rsidR="00A16BD4" w:rsidRPr="00711CFC" w:rsidRDefault="00333A3A" w:rsidP="00711CFC">
            <w:pPr>
              <w:spacing w:after="0" w:line="240" w:lineRule="auto"/>
              <w:rPr>
                <w:rFonts w:ascii="Tahoma" w:hAnsi="Tahoma" w:cs="Tahoma"/>
                <w:sz w:val="16"/>
                <w:szCs w:val="16"/>
                <w:lang w:eastAsia="ru-RU"/>
              </w:rPr>
            </w:pPr>
            <w:r>
              <w:rPr>
                <w:rFonts w:ascii="Tahoma" w:hAnsi="Tahoma" w:cs="Tahoma"/>
                <w:noProof/>
                <w:sz w:val="16"/>
                <w:szCs w:val="16"/>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alt="http://images.km.ru/education/referats/img/16589001.gif" style="width:175.5pt;height:2.25pt;visibility:visible">
                  <v:imagedata r:id="rId4" o:title=""/>
                </v:shape>
              </w:pict>
            </w:r>
          </w:p>
        </w:tc>
      </w:tr>
    </w:tbl>
    <w:p w:rsidR="00A16BD4" w:rsidRDefault="00A16BD4"/>
    <w:p w:rsidR="00A16BD4" w:rsidRPr="00711CFC" w:rsidRDefault="00A16BD4" w:rsidP="00711CFC">
      <w:pPr>
        <w:spacing w:after="0" w:line="240" w:lineRule="auto"/>
        <w:ind w:left="90" w:firstLine="600"/>
        <w:jc w:val="both"/>
        <w:rPr>
          <w:rFonts w:ascii="Times New Roman" w:hAnsi="Times New Roman"/>
          <w:color w:val="000000"/>
          <w:sz w:val="24"/>
          <w:szCs w:val="24"/>
          <w:lang w:eastAsia="ru-RU"/>
        </w:rPr>
      </w:pPr>
      <w:r w:rsidRPr="00711CFC">
        <w:rPr>
          <w:rFonts w:ascii="Times New Roman" w:hAnsi="Times New Roman"/>
          <w:color w:val="000000"/>
          <w:sz w:val="24"/>
          <w:szCs w:val="24"/>
          <w:lang w:eastAsia="ru-RU"/>
        </w:rPr>
        <w:t>Основными направлениями </w:t>
      </w:r>
      <w:bookmarkStart w:id="32" w:name="YANDEX_36"/>
      <w:bookmarkEnd w:id="32"/>
      <w:r w:rsidRPr="00711CFC">
        <w:rPr>
          <w:rFonts w:ascii="Times New Roman" w:hAnsi="Times New Roman"/>
          <w:color w:val="000000"/>
          <w:sz w:val="24"/>
          <w:szCs w:val="24"/>
          <w:lang w:eastAsia="ru-RU"/>
        </w:rPr>
        <w:t> инвестиционной  стратегии с точки зрения максимальной эффективности теперь и в ближайшем будущем будут:</w:t>
      </w:r>
    </w:p>
    <w:p w:rsidR="00A16BD4" w:rsidRPr="00711CFC" w:rsidRDefault="00A16BD4" w:rsidP="00711CFC">
      <w:pPr>
        <w:spacing w:after="75" w:line="240" w:lineRule="auto"/>
        <w:ind w:left="90" w:firstLine="600"/>
        <w:jc w:val="both"/>
        <w:rPr>
          <w:rFonts w:ascii="Times New Roman" w:hAnsi="Times New Roman"/>
          <w:color w:val="000000"/>
          <w:sz w:val="24"/>
          <w:szCs w:val="24"/>
          <w:lang w:eastAsia="ru-RU"/>
        </w:rPr>
      </w:pPr>
      <w:r w:rsidRPr="00711CFC">
        <w:rPr>
          <w:rFonts w:ascii="Times New Roman" w:hAnsi="Times New Roman"/>
          <w:color w:val="000000"/>
          <w:sz w:val="24"/>
          <w:szCs w:val="24"/>
          <w:lang w:eastAsia="ru-RU"/>
        </w:rPr>
        <w:t>улучшение воспроизводственной структуры капиталовложений , повышение удельного веса затрат на техническое перевооружение и реконструкцию действующих предприятий за счет уменьшения удельного веса нового строительства в производственной сфере;</w:t>
      </w:r>
    </w:p>
    <w:p w:rsidR="00A16BD4" w:rsidRPr="00711CFC" w:rsidRDefault="00A16BD4" w:rsidP="00711CFC">
      <w:pPr>
        <w:spacing w:after="0" w:line="240" w:lineRule="auto"/>
        <w:ind w:left="90" w:firstLine="600"/>
        <w:jc w:val="both"/>
        <w:rPr>
          <w:rFonts w:ascii="Times New Roman" w:hAnsi="Times New Roman"/>
          <w:color w:val="000000"/>
          <w:sz w:val="24"/>
          <w:szCs w:val="24"/>
          <w:lang w:eastAsia="ru-RU"/>
        </w:rPr>
      </w:pPr>
      <w:r w:rsidRPr="00711CFC">
        <w:rPr>
          <w:rFonts w:ascii="Times New Roman" w:hAnsi="Times New Roman"/>
          <w:color w:val="000000"/>
          <w:sz w:val="24"/>
          <w:szCs w:val="24"/>
          <w:lang w:eastAsia="ru-RU"/>
        </w:rPr>
        <w:t>усовершенствование технологической структуры капитальных вложений, увеличение в их составе удельного веса оборудования и сокращение, соответственно, </w:t>
      </w:r>
      <w:bookmarkStart w:id="33" w:name="YANDEX_37"/>
      <w:bookmarkEnd w:id="33"/>
      <w:r w:rsidRPr="00711CFC">
        <w:rPr>
          <w:rFonts w:ascii="Times New Roman" w:hAnsi="Times New Roman"/>
          <w:color w:val="000000"/>
          <w:sz w:val="24"/>
          <w:szCs w:val="24"/>
          <w:lang w:eastAsia="ru-RU"/>
        </w:rPr>
        <w:t> строительно-монтажных  работ;</w:t>
      </w:r>
    </w:p>
    <w:p w:rsidR="00A16BD4" w:rsidRPr="00711CFC" w:rsidRDefault="00A16BD4" w:rsidP="00711CFC">
      <w:pPr>
        <w:spacing w:after="0" w:line="240" w:lineRule="auto"/>
        <w:ind w:left="90" w:firstLine="600"/>
        <w:jc w:val="both"/>
        <w:rPr>
          <w:rFonts w:ascii="Times New Roman" w:hAnsi="Times New Roman"/>
          <w:color w:val="000000"/>
          <w:sz w:val="24"/>
          <w:szCs w:val="24"/>
          <w:lang w:eastAsia="ru-RU"/>
        </w:rPr>
      </w:pPr>
      <w:r w:rsidRPr="00711CFC">
        <w:rPr>
          <w:rFonts w:ascii="Times New Roman" w:hAnsi="Times New Roman"/>
          <w:color w:val="000000"/>
          <w:sz w:val="24"/>
          <w:szCs w:val="24"/>
          <w:lang w:eastAsia="ru-RU"/>
        </w:rPr>
        <w:t>изменение отраслевой структуры капитальных вложений с точки зрения значительного повышения жизненного уровня населения в пользу </w:t>
      </w:r>
      <w:bookmarkStart w:id="34" w:name="YANDEX_38"/>
      <w:bookmarkEnd w:id="34"/>
      <w:r w:rsidRPr="00711CFC">
        <w:rPr>
          <w:rFonts w:ascii="Times New Roman" w:hAnsi="Times New Roman"/>
          <w:color w:val="000000"/>
          <w:sz w:val="24"/>
          <w:szCs w:val="24"/>
          <w:lang w:eastAsia="ru-RU"/>
        </w:rPr>
        <w:t> отраслей , которые вырабатывают продукты питания и предметы личного потребления (сельское хозяйство, перерабатывающие </w:t>
      </w:r>
      <w:bookmarkStart w:id="35" w:name="YANDEX_39"/>
      <w:bookmarkEnd w:id="35"/>
      <w:r w:rsidRPr="00711CFC">
        <w:rPr>
          <w:rFonts w:ascii="Times New Roman" w:hAnsi="Times New Roman"/>
          <w:color w:val="000000"/>
          <w:sz w:val="24"/>
          <w:szCs w:val="24"/>
          <w:lang w:eastAsia="ru-RU"/>
        </w:rPr>
        <w:t> отрасли , легкая и пищевая промышленность), услуги;</w:t>
      </w:r>
    </w:p>
    <w:p w:rsidR="00A16BD4" w:rsidRPr="00711CFC" w:rsidRDefault="00A16BD4" w:rsidP="00711CFC">
      <w:pPr>
        <w:spacing w:after="75" w:line="240" w:lineRule="auto"/>
        <w:ind w:left="90" w:firstLine="600"/>
        <w:jc w:val="both"/>
        <w:rPr>
          <w:rFonts w:ascii="Times New Roman" w:hAnsi="Times New Roman"/>
          <w:color w:val="000000"/>
          <w:sz w:val="24"/>
          <w:szCs w:val="24"/>
          <w:lang w:eastAsia="ru-RU"/>
        </w:rPr>
      </w:pPr>
      <w:r w:rsidRPr="00711CFC">
        <w:rPr>
          <w:rFonts w:ascii="Times New Roman" w:hAnsi="Times New Roman"/>
          <w:color w:val="000000"/>
          <w:sz w:val="24"/>
          <w:szCs w:val="24"/>
          <w:lang w:eastAsia="ru-RU"/>
        </w:rPr>
        <w:t>приоритетное обеспечение капитальными вложениями прогрессивных направлений научно-технического прогресса, которые способствуют снижению ресурсоемкости производства и повышению качества продукции;</w:t>
      </w:r>
    </w:p>
    <w:p w:rsidR="00A16BD4" w:rsidRPr="00711CFC" w:rsidRDefault="00A16BD4" w:rsidP="00711CFC">
      <w:pPr>
        <w:spacing w:after="75" w:line="240" w:lineRule="auto"/>
        <w:ind w:left="90" w:firstLine="600"/>
        <w:jc w:val="both"/>
        <w:rPr>
          <w:rFonts w:ascii="Times New Roman" w:hAnsi="Times New Roman"/>
          <w:color w:val="000000"/>
          <w:sz w:val="24"/>
          <w:szCs w:val="24"/>
          <w:lang w:eastAsia="ru-RU"/>
        </w:rPr>
      </w:pPr>
      <w:r w:rsidRPr="00711CFC">
        <w:rPr>
          <w:rFonts w:ascii="Times New Roman" w:hAnsi="Times New Roman"/>
          <w:color w:val="000000"/>
          <w:sz w:val="24"/>
          <w:szCs w:val="24"/>
          <w:lang w:eastAsia="ru-RU"/>
        </w:rPr>
        <w:t>увеличение объемов капитальных вложений на строительство комфортного жилья и других объектов общественного пользования и медицинского обеспечения;</w:t>
      </w:r>
    </w:p>
    <w:p w:rsidR="00A16BD4" w:rsidRPr="00711CFC" w:rsidRDefault="00A16BD4" w:rsidP="00711CFC">
      <w:pPr>
        <w:spacing w:after="0" w:line="240" w:lineRule="auto"/>
        <w:ind w:left="90" w:firstLine="600"/>
        <w:jc w:val="both"/>
        <w:rPr>
          <w:rFonts w:ascii="Times New Roman" w:hAnsi="Times New Roman"/>
          <w:color w:val="000000"/>
          <w:sz w:val="24"/>
          <w:szCs w:val="24"/>
          <w:lang w:eastAsia="ru-RU"/>
        </w:rPr>
      </w:pPr>
      <w:r w:rsidRPr="00711CFC">
        <w:rPr>
          <w:rFonts w:ascii="Times New Roman" w:hAnsi="Times New Roman"/>
          <w:color w:val="000000"/>
          <w:sz w:val="24"/>
          <w:szCs w:val="24"/>
          <w:lang w:eastAsia="ru-RU"/>
        </w:rPr>
        <w:t>сбалансированность </w:t>
      </w:r>
      <w:bookmarkStart w:id="36" w:name="YANDEX_40"/>
      <w:bookmarkEnd w:id="36"/>
      <w:r w:rsidRPr="00711CFC">
        <w:rPr>
          <w:rFonts w:ascii="Times New Roman" w:hAnsi="Times New Roman"/>
          <w:color w:val="000000"/>
          <w:sz w:val="24"/>
          <w:szCs w:val="24"/>
          <w:lang w:eastAsia="ru-RU"/>
        </w:rPr>
        <w:t> инвестиционного  цикла.</w:t>
      </w:r>
    </w:p>
    <w:p w:rsidR="00A16BD4" w:rsidRPr="00711CFC" w:rsidRDefault="00A16BD4" w:rsidP="00711CFC">
      <w:pPr>
        <w:spacing w:after="0" w:line="240" w:lineRule="auto"/>
        <w:ind w:left="90" w:firstLine="600"/>
        <w:jc w:val="both"/>
        <w:rPr>
          <w:rFonts w:ascii="Times New Roman" w:hAnsi="Times New Roman"/>
          <w:color w:val="000000"/>
          <w:sz w:val="24"/>
          <w:szCs w:val="24"/>
          <w:lang w:eastAsia="ru-RU"/>
        </w:rPr>
      </w:pPr>
      <w:r w:rsidRPr="00711CFC">
        <w:rPr>
          <w:rFonts w:ascii="Times New Roman" w:hAnsi="Times New Roman"/>
          <w:color w:val="000000"/>
          <w:sz w:val="24"/>
          <w:szCs w:val="24"/>
          <w:lang w:eastAsia="ru-RU"/>
        </w:rPr>
        <w:t>Важное место среди составных эффективного инвестирования занимает формирование тенденций противозатратного развития производства </w:t>
      </w:r>
      <w:bookmarkStart w:id="37" w:name="YANDEX_41"/>
      <w:bookmarkEnd w:id="37"/>
      <w:r w:rsidRPr="00711CFC">
        <w:rPr>
          <w:rFonts w:ascii="Times New Roman" w:hAnsi="Times New Roman"/>
          <w:color w:val="000000"/>
          <w:sz w:val="24"/>
          <w:szCs w:val="24"/>
          <w:lang w:eastAsia="ru-RU"/>
        </w:rPr>
        <w:t> строительных  конструкций, материалов и изделий в направлении снижения материалоемкости и повышении индустриализации строительства.</w:t>
      </w:r>
    </w:p>
    <w:p w:rsidR="00A16BD4" w:rsidRPr="00711CFC" w:rsidRDefault="00A16BD4" w:rsidP="00711CFC">
      <w:pPr>
        <w:spacing w:after="75" w:line="240" w:lineRule="auto"/>
        <w:ind w:left="90" w:firstLine="600"/>
        <w:jc w:val="both"/>
        <w:rPr>
          <w:rFonts w:ascii="Times New Roman" w:hAnsi="Times New Roman"/>
          <w:color w:val="000000"/>
          <w:sz w:val="24"/>
          <w:szCs w:val="24"/>
          <w:lang w:eastAsia="ru-RU"/>
        </w:rPr>
      </w:pPr>
      <w:r w:rsidRPr="00711CFC">
        <w:rPr>
          <w:rFonts w:ascii="Times New Roman" w:hAnsi="Times New Roman"/>
          <w:color w:val="000000"/>
          <w:sz w:val="24"/>
          <w:szCs w:val="24"/>
          <w:lang w:eastAsia="ru-RU"/>
        </w:rPr>
        <w:t>С конца 50</w:t>
      </w:r>
      <w:r w:rsidRPr="00711CFC">
        <w:rPr>
          <w:rFonts w:ascii="Times New Roman" w:hAnsi="Times New Roman"/>
          <w:color w:val="000000"/>
          <w:sz w:val="24"/>
          <w:szCs w:val="24"/>
          <w:u w:val="single"/>
          <w:vertAlign w:val="superscript"/>
          <w:lang w:eastAsia="ru-RU"/>
        </w:rPr>
        <w:t>х</w:t>
      </w:r>
      <w:r w:rsidRPr="00711CFC">
        <w:rPr>
          <w:rFonts w:ascii="Times New Roman" w:hAnsi="Times New Roman"/>
          <w:color w:val="000000"/>
          <w:sz w:val="24"/>
          <w:szCs w:val="24"/>
          <w:lang w:eastAsia="ru-RU"/>
        </w:rPr>
        <w:t> годов в капитальном строительстве административным путем был взят курс на преимущественное использование сборного железобетона как основного конструкционного материала практически во всех видах строительства – промышленного, жилищного, социально-бытового, водохозяйственного и т.д. Нигде в мире строительство из сборного железобетона не приобрело такого распространения.</w:t>
      </w:r>
    </w:p>
    <w:p w:rsidR="00A16BD4" w:rsidRPr="00711CFC" w:rsidRDefault="00A16BD4" w:rsidP="00711CFC">
      <w:pPr>
        <w:spacing w:after="75" w:line="240" w:lineRule="auto"/>
        <w:ind w:left="90" w:firstLine="600"/>
        <w:jc w:val="both"/>
        <w:rPr>
          <w:rFonts w:ascii="Times New Roman" w:hAnsi="Times New Roman"/>
          <w:color w:val="000000"/>
          <w:sz w:val="24"/>
          <w:szCs w:val="24"/>
          <w:lang w:eastAsia="ru-RU"/>
        </w:rPr>
      </w:pPr>
      <w:r w:rsidRPr="00711CFC">
        <w:rPr>
          <w:rFonts w:ascii="Times New Roman" w:hAnsi="Times New Roman"/>
          <w:color w:val="000000"/>
          <w:sz w:val="24"/>
          <w:szCs w:val="24"/>
          <w:lang w:eastAsia="ru-RU"/>
        </w:rPr>
        <w:t>Но эта ошибочная ориентация на повсеместное  использование сборного железобетона, как основного конструкционного материала в производственном строительстве вместо металлических конструкций привела к гигантскому перерасходу цемента, щебня, песка, угля и т.д. А того металла, который израсходывается на изготовление сборных железобетонных конструкций для производства сооружений, вполне достаточно, чтобы изготавливать их только из металла, не используя бетон. Наличие огромных затрат металла  и других материалов требовало постоянного увеличения ресурсов, которые направлялись на накопление. Естественно, что отдача от этого, сравнительно с затратами, была небольшой.</w:t>
      </w:r>
    </w:p>
    <w:p w:rsidR="00A16BD4" w:rsidRPr="00711CFC" w:rsidRDefault="00A16BD4" w:rsidP="00711CFC">
      <w:pPr>
        <w:spacing w:after="0" w:line="240" w:lineRule="auto"/>
        <w:ind w:left="90" w:firstLine="600"/>
        <w:jc w:val="both"/>
        <w:rPr>
          <w:rFonts w:ascii="Times New Roman" w:hAnsi="Times New Roman"/>
          <w:color w:val="000000"/>
          <w:sz w:val="24"/>
          <w:szCs w:val="24"/>
          <w:lang w:eastAsia="ru-RU"/>
        </w:rPr>
      </w:pPr>
      <w:r w:rsidRPr="00711CFC">
        <w:rPr>
          <w:rFonts w:ascii="Times New Roman" w:hAnsi="Times New Roman"/>
          <w:color w:val="000000"/>
          <w:sz w:val="24"/>
          <w:szCs w:val="24"/>
          <w:lang w:eastAsia="ru-RU"/>
        </w:rPr>
        <w:t>Кроме того, консервативная технология строительства из сборного железобетона привела к увеличению длительности и стоимости сооружения объектов в разных </w:t>
      </w:r>
      <w:bookmarkStart w:id="38" w:name="YANDEX_42"/>
      <w:bookmarkEnd w:id="38"/>
      <w:r w:rsidRPr="00711CFC">
        <w:rPr>
          <w:rFonts w:ascii="Times New Roman" w:hAnsi="Times New Roman"/>
          <w:color w:val="000000"/>
          <w:sz w:val="24"/>
          <w:szCs w:val="24"/>
          <w:lang w:eastAsia="ru-RU"/>
        </w:rPr>
        <w:t> отраслях  народного хозяйства, а в жилищном строительстве вообще не отвечает биологическим требованиям проживания.</w:t>
      </w:r>
      <w:bookmarkStart w:id="39" w:name="YANDEX_43"/>
      <w:bookmarkEnd w:id="39"/>
      <w:r w:rsidRPr="00711CFC">
        <w:rPr>
          <w:rFonts w:ascii="Times New Roman" w:hAnsi="Times New Roman"/>
          <w:color w:val="000000"/>
          <w:sz w:val="24"/>
          <w:szCs w:val="24"/>
          <w:lang w:eastAsia="ru-RU"/>
        </w:rPr>
        <w:t> Инвестиционный  цикл в строительстве нередко осуществляется за 10-12 лет против 2-3 лет в развитых странах. Технологическое и экономическое отставание в таких условиях неизбежно.</w:t>
      </w:r>
    </w:p>
    <w:p w:rsidR="00A16BD4" w:rsidRPr="00711CFC" w:rsidRDefault="00A16BD4" w:rsidP="00711CFC">
      <w:pPr>
        <w:spacing w:after="75" w:line="240" w:lineRule="auto"/>
        <w:ind w:left="90" w:firstLine="600"/>
        <w:jc w:val="both"/>
        <w:rPr>
          <w:rFonts w:ascii="Times New Roman" w:hAnsi="Times New Roman"/>
          <w:color w:val="000000"/>
          <w:sz w:val="24"/>
          <w:szCs w:val="24"/>
          <w:lang w:eastAsia="ru-RU"/>
        </w:rPr>
      </w:pPr>
      <w:r w:rsidRPr="00711CFC">
        <w:rPr>
          <w:rFonts w:ascii="Times New Roman" w:hAnsi="Times New Roman"/>
          <w:color w:val="000000"/>
          <w:sz w:val="24"/>
          <w:szCs w:val="24"/>
          <w:lang w:eastAsia="ru-RU"/>
        </w:rPr>
        <w:t>Строительство из сборного железобетона неотступно сопровождается, кроме всего, высокими транспортными затратами, которые нередко достигают 50-60% стоимости сооружения. Это еще более усугубляет “затратный” характер “железобетонного” строительства.</w:t>
      </w:r>
    </w:p>
    <w:p w:rsidR="00A16BD4" w:rsidRPr="00711CFC" w:rsidRDefault="00A16BD4" w:rsidP="00711CFC">
      <w:pPr>
        <w:spacing w:after="0" w:line="240" w:lineRule="auto"/>
        <w:ind w:left="90" w:firstLine="600"/>
        <w:jc w:val="both"/>
        <w:rPr>
          <w:rFonts w:ascii="Times New Roman" w:hAnsi="Times New Roman"/>
          <w:color w:val="000000"/>
          <w:sz w:val="24"/>
          <w:szCs w:val="24"/>
          <w:lang w:eastAsia="ru-RU"/>
        </w:rPr>
      </w:pPr>
      <w:r w:rsidRPr="00711CFC">
        <w:rPr>
          <w:rFonts w:ascii="Times New Roman" w:hAnsi="Times New Roman"/>
          <w:color w:val="000000"/>
          <w:sz w:val="24"/>
          <w:szCs w:val="24"/>
          <w:lang w:eastAsia="ru-RU"/>
        </w:rPr>
        <w:t>Но развитие материальной базы строительства, в значительной мере, имеет инерционный характер и сборный железобетон еще некоторое время сохранит свое место, но удельные показатели его использования будут иметь неуклонную тенденцию к снижению. Опережающими темпами будет возрастать использование стальных </w:t>
      </w:r>
      <w:bookmarkStart w:id="40" w:name="YANDEX_44"/>
      <w:bookmarkEnd w:id="40"/>
      <w:r w:rsidRPr="00711CFC">
        <w:rPr>
          <w:rFonts w:ascii="Times New Roman" w:hAnsi="Times New Roman"/>
          <w:color w:val="000000"/>
          <w:sz w:val="24"/>
          <w:szCs w:val="24"/>
          <w:lang w:eastAsia="ru-RU"/>
        </w:rPr>
        <w:t> строительных  конструкций, особенно легких в комбинации с эффективным теплосберегающим наполнителем, а также конструкций и изделий из алюминиевых сплавов. Их использование приводит к снижению массы конструкций, зданий и сооружений, сокращению сроков строительства, высвобождению трудовых ресурсов, повышению качества.</w:t>
      </w:r>
    </w:p>
    <w:p w:rsidR="00A16BD4" w:rsidRPr="00711CFC" w:rsidRDefault="00A16BD4" w:rsidP="00711CFC">
      <w:pPr>
        <w:spacing w:after="75" w:line="240" w:lineRule="auto"/>
        <w:ind w:left="90" w:firstLine="600"/>
        <w:jc w:val="both"/>
        <w:rPr>
          <w:rFonts w:ascii="Times New Roman" w:hAnsi="Times New Roman"/>
          <w:color w:val="000000"/>
          <w:sz w:val="24"/>
          <w:szCs w:val="24"/>
          <w:lang w:eastAsia="ru-RU"/>
        </w:rPr>
      </w:pPr>
      <w:r w:rsidRPr="00711CFC">
        <w:rPr>
          <w:rFonts w:ascii="Times New Roman" w:hAnsi="Times New Roman"/>
          <w:color w:val="000000"/>
          <w:sz w:val="24"/>
          <w:szCs w:val="24"/>
          <w:lang w:eastAsia="ru-RU"/>
        </w:rPr>
        <w:t>Возрастание роли научно-технического прогресса в развитии капитального строительства ставит перед проектированием все более высокие требования, поскольку тут внедряются научные разработки, от которых зависит будущая эффективность сооружаемого объекта. В проектах должны шире применяться прогрессивные научно-технические достижения, ресурсо- и энергосберегающие технологии и оборудование, экономичные объемно-планировочные решения, передовые методы организации производства и труда. Необходимо упорядочить сеть научно-исследовательских, проектно-изыскательских, конструкторско-технологических организаций. Значительное распространение должно получить вариантное проектирование, более глубокая проработка технологических, конструкторских, архитектурных решений. На стадии разработки проектно-сметной документации можно достичь 80% экономии общей стоимости строительства.</w:t>
      </w:r>
    </w:p>
    <w:p w:rsidR="00A16BD4" w:rsidRPr="00711CFC" w:rsidRDefault="00A16BD4" w:rsidP="00711CFC">
      <w:pPr>
        <w:spacing w:after="0" w:line="240" w:lineRule="auto"/>
        <w:ind w:left="90" w:firstLine="600"/>
        <w:jc w:val="both"/>
        <w:rPr>
          <w:rFonts w:ascii="Times New Roman" w:hAnsi="Times New Roman"/>
          <w:color w:val="000000"/>
          <w:sz w:val="24"/>
          <w:szCs w:val="24"/>
          <w:lang w:eastAsia="ru-RU"/>
        </w:rPr>
      </w:pPr>
      <w:r w:rsidRPr="00711CFC">
        <w:rPr>
          <w:rFonts w:ascii="Times New Roman" w:hAnsi="Times New Roman"/>
          <w:color w:val="000000"/>
          <w:sz w:val="24"/>
          <w:szCs w:val="24"/>
          <w:lang w:eastAsia="ru-RU"/>
        </w:rPr>
        <w:t>С целью решения жилищной проблемы особенное внимание необходимо уделить возрождению кирпичной промышленности и строительства домов их кирпича, особенно одно- и двухэтажных коттеджей. Перспективным представляется строительство из пористых блоков, для выпуска которых нетрудно приспособить мощности для производства сборного железобетона. Широкие возможности открывает монолитное домостроение, особенно в сейсмических районах, территориях подземной угледобычи, а также в районах Крыма и Карпат с уникальным ландшафтом. Индустриальное монолитное домостроение позволяет на 40% уменьшить затраты на создание производственной базы, на 20% затраты металла сравнительно с крупнопанельным домостроением, на 25% - трудозатраты сравнительно со строительством жилья из кирпича. Важную роль в сокращении длительности</w:t>
      </w:r>
      <w:bookmarkStart w:id="41" w:name="YANDEX_45"/>
      <w:bookmarkEnd w:id="41"/>
      <w:r w:rsidRPr="00711CFC">
        <w:rPr>
          <w:rFonts w:ascii="Times New Roman" w:hAnsi="Times New Roman"/>
          <w:color w:val="000000"/>
          <w:sz w:val="24"/>
          <w:szCs w:val="24"/>
          <w:lang w:eastAsia="ru-RU"/>
        </w:rPr>
        <w:t> инвестиционного  цикла и повышения его эффективности играет инфраструктурный участок</w:t>
      </w:r>
      <w:bookmarkStart w:id="42" w:name="YANDEX_46"/>
      <w:bookmarkEnd w:id="42"/>
      <w:r w:rsidRPr="00711CFC">
        <w:rPr>
          <w:rFonts w:ascii="Times New Roman" w:hAnsi="Times New Roman"/>
          <w:color w:val="000000"/>
          <w:sz w:val="24"/>
          <w:szCs w:val="24"/>
          <w:lang w:eastAsia="ru-RU"/>
        </w:rPr>
        <w:t> строительного  комплекса. Необходимо изменить ремонтно-эксплутационную  базу, систему производственно-технологической комплектации, складское хозяйство и другие производственные службы, которые создают нормативные условия для строительства. Более высокие требования выдвигаются и перед кадровым потенциалом. Воплощение в практику всех составных частей производственной концепции развития строительного комплекса обеспечит потенциальный переход к эффективному инвестированию  в экономике Украины.</w:t>
      </w:r>
    </w:p>
    <w:p w:rsidR="00A16BD4" w:rsidRPr="00711CFC" w:rsidRDefault="00A16BD4" w:rsidP="00711CFC">
      <w:pPr>
        <w:spacing w:after="75" w:line="240" w:lineRule="auto"/>
        <w:ind w:left="90" w:firstLine="600"/>
        <w:jc w:val="both"/>
        <w:rPr>
          <w:rFonts w:ascii="Times New Roman" w:hAnsi="Times New Roman"/>
          <w:color w:val="000000"/>
          <w:sz w:val="24"/>
          <w:szCs w:val="24"/>
          <w:lang w:eastAsia="ru-RU"/>
        </w:rPr>
      </w:pPr>
      <w:r w:rsidRPr="00711CFC">
        <w:rPr>
          <w:rFonts w:ascii="Times New Roman" w:hAnsi="Times New Roman"/>
          <w:color w:val="000000"/>
          <w:sz w:val="24"/>
          <w:szCs w:val="24"/>
          <w:lang w:eastAsia="ru-RU"/>
        </w:rPr>
        <w:t>Особую сложность в условиях экономического кризиса и реструктуризации экономики  представляет собой задача сохранения и дальнейшего наращивания собственного научно-технического потенциала, позволяющего адаптировать достижения науки и техники к потребностям технологического обновления производства. Большую сложность ныне представляет задача организации собственных научно-технических исследований, связанных с огромными финансовыми затратами. Стоимость, например, одного электронного микроскопа достигает 0,5 млн. долларов, стоимость роботов  средней сложности колеблется от 30 до 40 тыс. долларов, общие издержки, связанные с разработкой и производством опытных партий современных телефонных систем достигают 400 млн. долларов и более. Так что, Украина, в современных условиях, может позволить себе столь значительные затраты на НИОКР только в приоритетных сферах. Доля затрат на НИОКР в валовом внутреннем продукте развитых стран, в среднем, составляет, составляет 2-4%, Украины же – меньше 1%. </w:t>
      </w:r>
      <w:r w:rsidRPr="00711CFC">
        <w:rPr>
          <w:rFonts w:ascii="Times New Roman" w:hAnsi="Times New Roman"/>
          <w:color w:val="000000"/>
          <w:sz w:val="24"/>
          <w:szCs w:val="24"/>
          <w:vertAlign w:val="superscript"/>
          <w:lang w:eastAsia="ru-RU"/>
        </w:rPr>
        <w:t>1</w:t>
      </w:r>
    </w:p>
    <w:tbl>
      <w:tblPr>
        <w:tblpPr w:leftFromText="45" w:rightFromText="45" w:vertAnchor="text"/>
        <w:tblW w:w="0" w:type="auto"/>
        <w:tblCellSpacing w:w="15" w:type="dxa"/>
        <w:tblCellMar>
          <w:top w:w="15" w:type="dxa"/>
          <w:left w:w="15" w:type="dxa"/>
          <w:bottom w:w="15" w:type="dxa"/>
          <w:right w:w="15" w:type="dxa"/>
        </w:tblCellMar>
        <w:tblLook w:val="00A0" w:firstRow="1" w:lastRow="0" w:firstColumn="1" w:lastColumn="0" w:noHBand="0" w:noVBand="0"/>
      </w:tblPr>
      <w:tblGrid>
        <w:gridCol w:w="630"/>
        <w:gridCol w:w="3615"/>
      </w:tblGrid>
      <w:tr w:rsidR="00A16BD4" w:rsidRPr="008B2A52" w:rsidTr="00711CFC">
        <w:trPr>
          <w:gridAfter w:val="1"/>
          <w:trHeight w:val="240"/>
          <w:tblCellSpacing w:w="15" w:type="dxa"/>
        </w:trPr>
        <w:tc>
          <w:tcPr>
            <w:tcW w:w="585" w:type="dxa"/>
            <w:vAlign w:val="center"/>
          </w:tcPr>
          <w:p w:rsidR="00A16BD4" w:rsidRPr="00711CFC" w:rsidRDefault="00A16BD4" w:rsidP="00711CFC">
            <w:pPr>
              <w:spacing w:after="0" w:line="240" w:lineRule="auto"/>
              <w:rPr>
                <w:rFonts w:ascii="Tahoma" w:hAnsi="Tahoma" w:cs="Tahoma"/>
                <w:sz w:val="16"/>
                <w:szCs w:val="16"/>
                <w:lang w:eastAsia="ru-RU"/>
              </w:rPr>
            </w:pPr>
          </w:p>
        </w:tc>
      </w:tr>
      <w:tr w:rsidR="00A16BD4" w:rsidRPr="008B2A52" w:rsidTr="00711CFC">
        <w:trPr>
          <w:tblCellSpacing w:w="15" w:type="dxa"/>
        </w:trPr>
        <w:tc>
          <w:tcPr>
            <w:tcW w:w="0" w:type="auto"/>
            <w:vAlign w:val="center"/>
          </w:tcPr>
          <w:p w:rsidR="00A16BD4" w:rsidRPr="00711CFC" w:rsidRDefault="00A16BD4" w:rsidP="00711CFC">
            <w:pPr>
              <w:spacing w:after="0" w:line="240" w:lineRule="auto"/>
              <w:rPr>
                <w:rFonts w:ascii="Tahoma" w:hAnsi="Tahoma" w:cs="Tahoma"/>
                <w:sz w:val="16"/>
                <w:szCs w:val="16"/>
                <w:lang w:eastAsia="ru-RU"/>
              </w:rPr>
            </w:pPr>
          </w:p>
        </w:tc>
        <w:tc>
          <w:tcPr>
            <w:tcW w:w="0" w:type="auto"/>
            <w:vAlign w:val="center"/>
          </w:tcPr>
          <w:p w:rsidR="00A16BD4" w:rsidRPr="00711CFC" w:rsidRDefault="00333A3A" w:rsidP="00711CFC">
            <w:pPr>
              <w:spacing w:after="0" w:line="240" w:lineRule="auto"/>
              <w:rPr>
                <w:rFonts w:ascii="Tahoma" w:hAnsi="Tahoma" w:cs="Tahoma"/>
                <w:sz w:val="16"/>
                <w:szCs w:val="16"/>
                <w:lang w:eastAsia="ru-RU"/>
              </w:rPr>
            </w:pPr>
            <w:r>
              <w:rPr>
                <w:rFonts w:ascii="Tahoma" w:hAnsi="Tahoma" w:cs="Tahoma"/>
                <w:noProof/>
                <w:sz w:val="16"/>
                <w:szCs w:val="16"/>
                <w:lang w:eastAsia="ru-RU"/>
              </w:rPr>
              <w:pict>
                <v:shape id="Рисунок 3" o:spid="_x0000_i1026" type="#_x0000_t75" alt="http://images.km.ru/education/referats/img/16589002.gif" style="width:175.5pt;height:2.25pt;visibility:visible">
                  <v:imagedata r:id="rId4" o:title=""/>
                </v:shape>
              </w:pict>
            </w:r>
          </w:p>
        </w:tc>
      </w:tr>
    </w:tbl>
    <w:p w:rsidR="00A16BD4" w:rsidRDefault="00A16BD4">
      <w:bookmarkStart w:id="43" w:name="_GoBack"/>
      <w:bookmarkEnd w:id="43"/>
    </w:p>
    <w:sectPr w:rsidR="00A16BD4" w:rsidSect="000317F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11CFC"/>
    <w:rsid w:val="000317F0"/>
    <w:rsid w:val="00333A3A"/>
    <w:rsid w:val="00711CFC"/>
    <w:rsid w:val="008B2A52"/>
    <w:rsid w:val="00904DB2"/>
    <w:rsid w:val="00A16BD4"/>
    <w:rsid w:val="00A64EDC"/>
    <w:rsid w:val="00EC4C3A"/>
    <w:rsid w:val="00F158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8"/>
    <o:shapelayout v:ext="edit">
      <o:idmap v:ext="edit" data="1"/>
    </o:shapelayout>
  </w:shapeDefaults>
  <w:decimalSymbol w:val=","/>
  <w:listSeparator w:val=";"/>
  <w15:chartTrackingRefBased/>
  <w15:docId w15:val="{E7971982-BFF1-4909-9372-F4E500A207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317F0"/>
    <w:pPr>
      <w:spacing w:after="200" w:line="276" w:lineRule="auto"/>
    </w:pPr>
    <w:rPr>
      <w:rFonts w:eastAsia="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semiHidden/>
    <w:rsid w:val="00711CFC"/>
    <w:pPr>
      <w:spacing w:before="100" w:beforeAutospacing="1" w:after="100" w:afterAutospacing="1" w:line="240" w:lineRule="auto"/>
    </w:pPr>
    <w:rPr>
      <w:rFonts w:ascii="Times New Roman" w:eastAsia="Calibri" w:hAnsi="Times New Roman"/>
      <w:sz w:val="24"/>
      <w:szCs w:val="24"/>
      <w:lang w:eastAsia="ru-RU"/>
    </w:rPr>
  </w:style>
  <w:style w:type="character" w:customStyle="1" w:styleId="apple-converted-space">
    <w:name w:val="apple-converted-space"/>
    <w:basedOn w:val="a0"/>
    <w:rsid w:val="00711CFC"/>
    <w:rPr>
      <w:rFonts w:cs="Times New Roman"/>
    </w:rPr>
  </w:style>
  <w:style w:type="paragraph" w:styleId="HTML">
    <w:name w:val="HTML Preformatted"/>
    <w:basedOn w:val="a"/>
    <w:link w:val="HTML0"/>
    <w:semiHidden/>
    <w:rsid w:val="00711C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Calibri" w:hAnsi="Courier New" w:cs="Courier New"/>
      <w:sz w:val="20"/>
      <w:szCs w:val="20"/>
      <w:lang w:eastAsia="ru-RU"/>
    </w:rPr>
  </w:style>
  <w:style w:type="character" w:customStyle="1" w:styleId="HTML0">
    <w:name w:val="Стандартный HTML Знак"/>
    <w:basedOn w:val="a0"/>
    <w:link w:val="HTML"/>
    <w:semiHidden/>
    <w:locked/>
    <w:rsid w:val="00711CFC"/>
    <w:rPr>
      <w:rFonts w:ascii="Courier New" w:hAnsi="Courier New" w:cs="Courier New"/>
      <w:sz w:val="20"/>
      <w:szCs w:val="20"/>
      <w:lang w:val="x-none" w:eastAsia="ru-RU"/>
    </w:rPr>
  </w:style>
  <w:style w:type="character" w:customStyle="1" w:styleId="highlight">
    <w:name w:val="highlight"/>
    <w:basedOn w:val="a0"/>
    <w:rsid w:val="00711CFC"/>
    <w:rPr>
      <w:rFonts w:cs="Times New Roman"/>
    </w:rPr>
  </w:style>
  <w:style w:type="paragraph" w:styleId="a4">
    <w:name w:val="Balloon Text"/>
    <w:basedOn w:val="a"/>
    <w:link w:val="a5"/>
    <w:semiHidden/>
    <w:rsid w:val="00711CFC"/>
    <w:pPr>
      <w:spacing w:after="0" w:line="240" w:lineRule="auto"/>
    </w:pPr>
    <w:rPr>
      <w:rFonts w:ascii="Tahoma" w:hAnsi="Tahoma" w:cs="Tahoma"/>
      <w:sz w:val="16"/>
      <w:szCs w:val="16"/>
    </w:rPr>
  </w:style>
  <w:style w:type="character" w:customStyle="1" w:styleId="a5">
    <w:name w:val="Текст выноски Знак"/>
    <w:basedOn w:val="a0"/>
    <w:link w:val="a4"/>
    <w:semiHidden/>
    <w:locked/>
    <w:rsid w:val="00711CF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5202</Words>
  <Characters>29654</Characters>
  <Application>Microsoft Office Word</Application>
  <DocSecurity>0</DocSecurity>
  <Lines>247</Lines>
  <Paragraphs>69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34787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Антон</dc:creator>
  <cp:keywords/>
  <dc:description/>
  <cp:lastModifiedBy>admin</cp:lastModifiedBy>
  <cp:revision>2</cp:revision>
  <dcterms:created xsi:type="dcterms:W3CDTF">2014-04-28T07:13:00Z</dcterms:created>
  <dcterms:modified xsi:type="dcterms:W3CDTF">2014-04-28T07:13:00Z</dcterms:modified>
</cp:coreProperties>
</file>