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353" w:rsidRPr="002464BE" w:rsidRDefault="00EB1353" w:rsidP="00EB1353">
      <w:pPr>
        <w:spacing w:before="120"/>
        <w:jc w:val="center"/>
        <w:rPr>
          <w:b/>
          <w:bCs/>
          <w:sz w:val="32"/>
          <w:szCs w:val="32"/>
        </w:rPr>
      </w:pPr>
      <w:r w:rsidRPr="002464BE">
        <w:rPr>
          <w:b/>
          <w:bCs/>
          <w:sz w:val="32"/>
          <w:szCs w:val="32"/>
        </w:rPr>
        <w:t xml:space="preserve">Основные формы половой жизни человека  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Копулятивный цикл, в основе которого лежит нормальная модель гетеросексуального коитуса, не является единственно возможной формой половой жизни человека. Основные проявления сексуальности (либидо, эрекции, эякуляции, оргазм) могут складываться в самые разнообразные формы полового удовлетворения, среди которых А.Кинзи с сотр. выделяют шесть основных форм: гетеросексуальный коитус, гомосексуальный коитус, поллюция, мастурбация, петтинг, «половые контакты с животными других видов», относя все эти формы к норме. По-видимому, абсолютно нормативной моделью можно считать только гетеросексуальный коитус; поллюции должны быть отнесены к викарным проявлениям, мастурбация и петтинг к суррогатным, а гомосексуальная практика и половые контакты с животными — к сексуальной патологии. Принципиальным недостатком классификации А. Кинзи является то, что она ограничивается только генитальными проявлениями, игнорируя психологические аспекты полового общения. Поскольку же у человека в понятие полноценной половой жизни наряду с генитальным взаимодействием в качестве обязательного компонента входит и общение духовное, различные формы половой жизни человека можно классифицировать следующим образом.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А. Экстрагениальные формы половой жизни.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1. Платоническая любовь.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2. Танцы.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 xml:space="preserve">3. Гейшизм. 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Б. Генитальные формы половой жизни.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I. Суррогатные и викарные (заместительные) формы половой активности.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1. Поллюции.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2. Мастурбация.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3. Петтинг.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П. Суррогатные формы коитуса.</w:t>
      </w:r>
    </w:p>
    <w:p w:rsidR="00EB1353" w:rsidRPr="002464BE" w:rsidRDefault="00EB1353" w:rsidP="00EB1353">
      <w:pPr>
        <w:spacing w:before="120"/>
        <w:ind w:firstLine="567"/>
        <w:jc w:val="both"/>
        <w:rPr>
          <w:lang w:val="en-US"/>
        </w:rPr>
      </w:pPr>
      <w:r w:rsidRPr="002464BE">
        <w:rPr>
          <w:lang w:val="en-US"/>
        </w:rPr>
        <w:t xml:space="preserve">1. </w:t>
      </w:r>
      <w:r w:rsidRPr="002464BE">
        <w:t>Вестибулярный</w:t>
      </w:r>
      <w:r w:rsidRPr="002464BE">
        <w:rPr>
          <w:lang w:val="en-US"/>
        </w:rPr>
        <w:t xml:space="preserve"> </w:t>
      </w:r>
      <w:r w:rsidRPr="002464BE">
        <w:t>коитус</w:t>
      </w:r>
      <w:r w:rsidRPr="002464BE">
        <w:rPr>
          <w:lang w:val="en-US"/>
        </w:rPr>
        <w:t>.</w:t>
      </w:r>
    </w:p>
    <w:p w:rsidR="00EB1353" w:rsidRPr="002464BE" w:rsidRDefault="00EB1353" w:rsidP="00EB1353">
      <w:pPr>
        <w:spacing w:before="120"/>
        <w:ind w:firstLine="567"/>
        <w:jc w:val="both"/>
        <w:rPr>
          <w:lang w:val="en-US"/>
        </w:rPr>
      </w:pPr>
      <w:r w:rsidRPr="002464BE">
        <w:rPr>
          <w:lang w:val="en-US"/>
        </w:rPr>
        <w:t>2. Coitus intra femora.</w:t>
      </w:r>
    </w:p>
    <w:p w:rsidR="00EB1353" w:rsidRPr="002464BE" w:rsidRDefault="00EB1353" w:rsidP="00EB1353">
      <w:pPr>
        <w:spacing w:before="120"/>
        <w:ind w:firstLine="567"/>
        <w:jc w:val="both"/>
        <w:rPr>
          <w:lang w:val="en-US"/>
        </w:rPr>
      </w:pPr>
      <w:r w:rsidRPr="002464BE">
        <w:rPr>
          <w:lang w:val="en-US"/>
        </w:rPr>
        <w:t xml:space="preserve">3. </w:t>
      </w:r>
      <w:r w:rsidRPr="002464BE">
        <w:t>Нарвасадата</w:t>
      </w:r>
      <w:r w:rsidRPr="002464BE">
        <w:rPr>
          <w:lang w:val="en-US"/>
        </w:rPr>
        <w:t xml:space="preserve"> (coitus intra mammae), </w:t>
      </w:r>
      <w:r w:rsidRPr="002464BE">
        <w:t>подмышечный</w:t>
      </w:r>
      <w:r w:rsidRPr="002464BE">
        <w:rPr>
          <w:lang w:val="en-US"/>
        </w:rPr>
        <w:t xml:space="preserve"> </w:t>
      </w:r>
      <w:r w:rsidRPr="002464BE">
        <w:t>коитус</w:t>
      </w:r>
      <w:r w:rsidRPr="002464BE">
        <w:rPr>
          <w:lang w:val="en-US"/>
        </w:rPr>
        <w:t xml:space="preserve"> </w:t>
      </w:r>
      <w:r w:rsidRPr="002464BE">
        <w:t>и</w:t>
      </w:r>
      <w:r w:rsidRPr="002464BE">
        <w:rPr>
          <w:lang w:val="en-US"/>
        </w:rPr>
        <w:t xml:space="preserve"> </w:t>
      </w:r>
      <w:r w:rsidRPr="002464BE">
        <w:t>др</w:t>
      </w:r>
      <w:r w:rsidRPr="002464BE">
        <w:rPr>
          <w:lang w:val="en-US"/>
        </w:rPr>
        <w:t>.</w:t>
      </w:r>
    </w:p>
    <w:p w:rsidR="00EB1353" w:rsidRPr="002464BE" w:rsidRDefault="00EB1353" w:rsidP="00EB1353">
      <w:pPr>
        <w:spacing w:before="120"/>
        <w:ind w:firstLine="567"/>
        <w:jc w:val="both"/>
        <w:rPr>
          <w:lang w:val="en-US"/>
        </w:rPr>
      </w:pPr>
      <w:r w:rsidRPr="002464BE">
        <w:rPr>
          <w:lang w:val="en-US"/>
        </w:rPr>
        <w:t>4. Coitus per anum:</w:t>
      </w:r>
    </w:p>
    <w:p w:rsidR="00EB1353" w:rsidRPr="002464BE" w:rsidRDefault="00EB1353" w:rsidP="00EB1353">
      <w:pPr>
        <w:spacing w:before="120"/>
        <w:ind w:firstLine="567"/>
        <w:jc w:val="both"/>
        <w:rPr>
          <w:lang w:val="en-US"/>
        </w:rPr>
      </w:pPr>
      <w:r w:rsidRPr="002464BE">
        <w:t>а</w:t>
      </w:r>
      <w:r w:rsidRPr="002464BE">
        <w:rPr>
          <w:lang w:val="en-US"/>
        </w:rPr>
        <w:t xml:space="preserve">) </w:t>
      </w:r>
      <w:r w:rsidRPr="002464BE">
        <w:t>гетеросексуальный</w:t>
      </w:r>
      <w:r w:rsidRPr="002464BE">
        <w:rPr>
          <w:lang w:val="en-US"/>
        </w:rPr>
        <w:t xml:space="preserve"> (paedicatio mulierum);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б)</w:t>
      </w:r>
      <w:r>
        <w:t xml:space="preserve"> </w:t>
      </w:r>
      <w:r w:rsidRPr="002464BE">
        <w:t>гомосексуальный.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III. Нормативный гетеросексуальный коитус.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IV. Орогенитальные</w:t>
      </w:r>
      <w:r>
        <w:t xml:space="preserve"> </w:t>
      </w:r>
      <w:r w:rsidRPr="002464BE">
        <w:t>(лабиогенитальные)</w:t>
      </w:r>
      <w:r>
        <w:t xml:space="preserve"> </w:t>
      </w:r>
      <w:r w:rsidRPr="002464BE">
        <w:t>контакты</w:t>
      </w:r>
      <w:r>
        <w:t xml:space="preserve"> </w:t>
      </w:r>
      <w:r w:rsidRPr="002464BE">
        <w:t>(кейра, феллация, куннилингус).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V. Сексуальные действия с животными.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Формирование гармоничной половой жизни — процесс сложный, длительный, неравномерный и противоречивый, на пути к завершению которого, например, могут сочетаться платоническая влюбленность и мастурбация.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Платоническая влюбленность и танцы чаще всего играют роль переходных форм, обеспечивающих знакомство, выбор и первые этапы предварительной адаптации к сексуальному партнеру; однако для определенного круга лиц платоническая влюбленность составляет единственную форму половой активности в течение значительного периода (любовь Петрарки к Лауре), а то и всей жизни, а танец — единственную форму сексуально окрашенного телесного общения.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Этапность формирования полового сознания с акцентуацией на любой из описанных выше четырех стадий, сочетаясь с особенностями темперамента и других компонентов структуры личности, обусловливает естественное многообразие отношений мужчины к женщине. Однако в этом многообразии можно выделить чрезмерную идеализацию («образ мадонны») и «низкий взгляд» («образ вульгарной женщины»), когда мужчину возбуждают только доходящая до вульгаризации подчеркнутость внешних форм и развязность поведения женщины. Уравновешенная сексуальность, которой чужды обе эти крайности, обеспечивает гармоничное сочетание возвышенного, опоэтизированного любовного чувства с сильнейшим телесным влечением к одной единственной женщине. Крайности же психологического отношения служат одним из источников неудовлетворенности. При этом психологическая односторонность второго типа провоцирует такие ситуации, когда мужчина от своей интеллектуальной и эстетически одаренной жены уходит к вульгарной любовнице. При психологической неудовлетворенности другого типа мужчина ищет на стороне женщину — носительницу нежного очарования, эстетизма, грации и изящества. Удовлетворению этой потребности в духовной стороне общения с женщиной в древней Греции служит институт</w:t>
      </w:r>
      <w:r>
        <w:t xml:space="preserve"> </w:t>
      </w:r>
      <w:r w:rsidRPr="002464BE">
        <w:t>гетер, а</w:t>
      </w:r>
      <w:r>
        <w:t xml:space="preserve"> </w:t>
      </w:r>
      <w:r w:rsidRPr="002464BE">
        <w:t>в Японии — институт</w:t>
      </w:r>
      <w:r>
        <w:t xml:space="preserve"> </w:t>
      </w:r>
      <w:r w:rsidRPr="002464BE">
        <w:t>гейш.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Поллюции (от лат. pollutio — марание, пачканье) — непроизвольные эякуляции (условно противопоставляемые произвольным при коитусе, мастурбации и петтинге), происходящие большей частью во сне. Ночные поллюции обычно сопровождаются сновидениями эротического содержания, которые, однако, при глубоком сне могут не сохраняться в памяти. Поллюции служат одним из объективных проявлений полового созревания; вне пубертатного периода они приобретают значение викарного механизма, обеспечивающего периодическую эвакуацию эякулята. Наличие этого «предохранительного клапана сексуальности» облегчает тягостные проявления сексуальной абстиненции (фиксация психики на сексуальной сфере, спонтанные эрекции и др.). По выражению Иноевса (1850), ночная поллюция «производит некоторую бодрость и веселое расположение духа: мысли после нее делаются чище и яснее, а тело как бы облегчается от какой-то тяжести».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 xml:space="preserve">Мастурбация (от лат. manus — рука и stupro — оскверняю), онанизм (от имени библейского персонажа Онана), или рукоблудие,— преднамеренное вызывание оргазма путем искусственного раздражения эрогенных зон, чаще собственных половых органов, хотя практикуется и взаимная мастурбация (например, между гомосексуалами). 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Очень близок феномену взаимной мастурбации петтинг (англ, pet — баловать, ласкать, а также раздражать). В русском языке слово «петтинг» употребляется только как сексологический термин и обозначает преднамеренное получение оргазма искусственным возбуждением эрогенных зон в условиях двустороннего контакта, исключающего непосредственное соприкосновение гениталий. Различают две разновидности петтинга — поверхностный и глубокий, понимая под поверхностным петтингом непосредственное раздражение эрогенных зон, в повседневной жизни обычно обнаженных, другие же эрогенные зоны (в том числе генитальные) раздражаются только через одежду. Наиболее частый случай поверхностного петтинга — сознательное форсирование поцелуев и тесных объятий до получения эякуляции и оргазма. Глубокий петтинг предполагает прямое мануальное раздражение эрогенных зон, обычно прикрытых одеждой. Таким образом, взаимная мастурбация представляет феномен, который может быть расценен как частный случай глубокого петтинга.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Вестибулярный коитус обычно применяется в одном из трех случаев: 1) как средство предотвратить нарушение девственной плевы и наступление беременности; 2) когда ослабленная эрекция не позволяет осуществить интроитус (в подобных случаях производится ритмичное сдавление члена между vestibulum vulvae и лобком мужчины до наступления эякуляции и оргазма); 3) когда оргазм у женщины наступает только при интенсивном воздействии на клитор и малые губы, а вагинальные фрикции не дают ей полного удовлетворения, безразличны или даже неприятны.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Coitus intra femora обычно применяется для достижения целей, идентичных первому случаю использования вестибулярного коитуса.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Кейра является родовым понятием, обозначающим орогенитальные (лабиогенитальные) контакты вне зависимости от разделения ролей между мужчиной и женщиной. Кумбитмака (cunnilingus, cunnilinctus s. cunnilinctio) — вызывание полового возбуждения воздействием на вульварную область (главным образом клитор) губами и языком. Антипод куннилинкции — феллация (fellatio, irrumatio) — вызывание полового возбуждения воздействием ртом и языком на половой член.</w:t>
      </w:r>
    </w:p>
    <w:p w:rsidR="00EB1353" w:rsidRDefault="00EB1353" w:rsidP="00EB1353">
      <w:pPr>
        <w:spacing w:before="120"/>
        <w:ind w:firstLine="567"/>
        <w:jc w:val="both"/>
      </w:pPr>
      <w:r w:rsidRPr="002464BE">
        <w:t>Формы половой жизни определяются как привходящими обстоятельствами (недаром A. Kinsey подчеркивает, что половые действия с животными распространены именно в штатах с развитым скотоводством), так и прежде всего индивидуальными особенностями структуры личности; выделяя некоторые наиболее типичные корреляции, можно сказать, что поллюции — удел робких и боязливых, онанизм — застенчивых, а петтинг — сверхосторожных.</w:t>
      </w:r>
    </w:p>
    <w:p w:rsidR="00EB1353" w:rsidRDefault="00EB1353" w:rsidP="00EB1353">
      <w:pPr>
        <w:spacing w:before="120"/>
        <w:ind w:firstLine="567"/>
        <w:jc w:val="both"/>
      </w:pPr>
      <w:r w:rsidRPr="002464BE">
        <w:t>Сексуальные нарушения при маниакально-депрессивном психозе (МДП)</w:t>
      </w:r>
      <w:r>
        <w:t xml:space="preserve">  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Маниакально-депрессивный психоз (циркулярный психоз, циклофрения) — заболевание, протекающее в виде аффективных фаз (депрессивных, маниакальных, сдвоенных, смешанных), разделенных интермиссиями. В отличие от шизоаффективного типа шизофрении при МДП не наблюдается заметных изменений личности и признаков психического дефекта, даже при многократных рецидивах и многолетнем течении заболевания. К МДП относятся менее выраженная форма — циклотимия, а также особые формы — скрытая депрессия и эндореактивная дистимия.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Различают биполярное течение МДП, характеризующееся наличием как маниакальных, так и депрессивных фаз, и монополярные с одинаковой клинической структурой всех фаз. В течение жизни больные переносят несколько фаз продолжительностью от 2 до 6 мес.; кратковременные фазы продолжительностью от нескольких дней до недель встречаются реже, чем затяжные продолжительностью до года и более. Депрессивные фазы при циклофрении составляют до 60%, а при циклотимии до 90% в структуре всех приступов МДП. Не менее чем у половины больных заболевание начинается после 40 лет, причем среди больных число женщин вдвое превышает число мужчин.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При выраженных формах МДП пациенты практически не обращаются к сексопатологу, хотя обнаруживают заметные изменения полового поведения. В маниакальной фазе на фоне подъема настроения и гиперактивности у больных наблюдается повышение полового влечения, резко возрастает сексуальная активность, их поведение в присутствии лиц противоположного пола приобретает эротический оттенок. Такие больные легко заводят знакомства и вступают в случайные половые связи. У них проявляются девиации полового влечения, развратные действия, в выраженных случаях — возможны попытки изнасилования. В депрессивной фазе на фоне подавленности, идеаторной и моторной заторможенности у больных отмечается резкое снижение либидо, адекватных и спонтанных эрекций, изменяется продолжительность полового акта, тускнеет оргазм. При выраженных депрессивных расстройствах сексопатологические проявления растворяются в клинической картине депрессии, оттесняются на задний план аффектом тоски или тревоги, идеями самообвинения, греховности.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Внешние признаки депрессии при ее циклотимической форме стерты и на первый план выступают переживания личного неблагополучия, соматовегетативного дискомфорта, снижения продуктивности и сокращения объема привычной деятельности. Нередко наблюдаются атипичные депрессивные фазы с преобладанием сенестопатически-ипохондрических расстройств и депрессии с различными навязчивостями, чаще всего навязчивым страхом смерти, заражения неизлечимым заболеванием, остановки сердца. В подобных случаях жалобы на сексуальное расстройство могут фигурировать в клинической картине атипичной депрессии, в диагностике которой в большинстве случаев удается проследить фазный характер расстройств, сезонность рецидивов, суточные колебания симптоматики с послаблением ее к вечеру.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При скрытой (ларвированной, маскированной, соматизированной) депрессии в клинической картине на первый план выступают соматовегетативные расстройства, маскирующие депрессивную симптоматику. Характерны сердечно-сосудистые (тахикардия, пароксизмальные аритмии, кардиалгии, головокружения, головные боли), желудочно-кишечные (дискинезии, поносы, запоры, метеоризм, анорексия), дизурические расстройства, нарушения сна и т. д. В. Ф. Десятников (1976) выделяет вариант скрытой депрессии с преобладанием нарушений в сексуальной сфере, которые чаще сводятся к угнетению всех компонентов сексуальности. Реже наблюдаются варианты с ускоренным наступлением эякуляции, причем в их происхождении не исключена роль сексуальных абстиненций, свойственных депрессивным состояниям.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Диагностика скрытой депрессии основывается на периодичности появления расстройств с их полным исчезновением в интермиссиях, отсутствии органической основы, выявлении стертого депрессивного аффекта, наследственной отягощенности аффективными расстройствами, типичном характерологическом преморбиде (иитравертироваиная сенситивность и тревожная мнительность), суточной динамике симптоматики при высокой эффективности терапии антидепрессантами.</w:t>
      </w:r>
    </w:p>
    <w:p w:rsidR="00EB1353" w:rsidRPr="002464BE" w:rsidRDefault="00EB1353" w:rsidP="00EB1353">
      <w:pPr>
        <w:spacing w:before="120"/>
        <w:ind w:firstLine="567"/>
        <w:jc w:val="both"/>
      </w:pPr>
      <w:r w:rsidRPr="002464BE">
        <w:t>При эндореактивной дистимии вслед за типичным психогенным началом депрессии развивается состояние, сходное с картиной циклотимической депрессии. В развитии эндореактивной дистимии большую роль играют астенизирующие соматогенные факторы; характерологический преморбид содержит радикал эмоциональной лабильности, истощаемости. При локализации исходной психической травмы в сфере семейно-сексуальных отношений часто наблюдается резкое снижение сексуальности, тем более что начало болезни, как правило, приходится на предынволюционный или инволюционный периоды.</w:t>
      </w:r>
    </w:p>
    <w:p w:rsidR="00EB1353" w:rsidRDefault="00EB1353" w:rsidP="00EB1353">
      <w:pPr>
        <w:spacing w:before="120"/>
        <w:ind w:firstLine="567"/>
        <w:jc w:val="both"/>
      </w:pPr>
      <w:r w:rsidRPr="002464BE">
        <w:t>Лечение сексуальных расстройств у больных МДП в основном сводится к купированию депрессивного состояния с помощью антидепрессантов (пиразидол, амитриптилин, мелипрамин, азафен) в дозах до 100—150 мг в сутки при амбулаторном лечении, при наличии сенестопатически-ипохондрических или обсессивных расстройств возможно сочетанное назначение нейролептиков (френолон, сонапакс) и транквилизаторов (седуксен, феназепам).</w:t>
      </w:r>
    </w:p>
    <w:p w:rsidR="00961FDC" w:rsidRDefault="00961FDC">
      <w:bookmarkStart w:id="0" w:name="_GoBack"/>
      <w:bookmarkEnd w:id="0"/>
    </w:p>
    <w:sectPr w:rsidR="00961FDC" w:rsidSect="006259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353"/>
    <w:rsid w:val="002464BE"/>
    <w:rsid w:val="0062593D"/>
    <w:rsid w:val="006E0A4B"/>
    <w:rsid w:val="00945999"/>
    <w:rsid w:val="00961FDC"/>
    <w:rsid w:val="00EB1353"/>
    <w:rsid w:val="00F2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49212-2FDB-421E-81F8-29505D3D3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35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B13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8045</Words>
  <Characters>4586</Characters>
  <Application>Microsoft Office Word</Application>
  <DocSecurity>0</DocSecurity>
  <Lines>38</Lines>
  <Paragraphs>25</Paragraphs>
  <ScaleCrop>false</ScaleCrop>
  <Company>Home</Company>
  <LinksUpToDate>false</LinksUpToDate>
  <CharactersWithSpaces>12606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формы половой жизни человека  </dc:title>
  <dc:subject/>
  <dc:creator>User</dc:creator>
  <cp:keywords/>
  <dc:description/>
  <cp:lastModifiedBy>admin</cp:lastModifiedBy>
  <cp:revision>2</cp:revision>
  <dcterms:created xsi:type="dcterms:W3CDTF">2014-01-25T22:06:00Z</dcterms:created>
  <dcterms:modified xsi:type="dcterms:W3CDTF">2014-01-25T22:06:00Z</dcterms:modified>
</cp:coreProperties>
</file>