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60" w:rsidRDefault="00C608E4">
      <w:pPr>
        <w:pStyle w:val="1"/>
        <w:jc w:val="center"/>
      </w:pPr>
      <w:r>
        <w:t>Исследование эволюции когнитивной структуры значения слова в сознании ребёнка методами психолингвистики</w:t>
      </w:r>
    </w:p>
    <w:p w:rsidR="00EE4660" w:rsidRPr="00C608E4" w:rsidRDefault="00C608E4">
      <w:pPr>
        <w:pStyle w:val="a3"/>
      </w:pPr>
      <w:r>
        <w:t> </w:t>
      </w:r>
    </w:p>
    <w:p w:rsidR="00EE4660" w:rsidRDefault="00C608E4">
      <w:pPr>
        <w:pStyle w:val="a3"/>
      </w:pPr>
      <w:r>
        <w:t>Н.В. Чернова</w:t>
      </w:r>
    </w:p>
    <w:p w:rsidR="00EE4660" w:rsidRDefault="00C608E4">
      <w:pPr>
        <w:pStyle w:val="a3"/>
      </w:pPr>
      <w:r>
        <w:t>Экспериментальное исследование направлено на выявление и описание особенностей формирования когнитивной структуры значения слова в сознании детей дошкольного и младшего школьного возраста.</w:t>
      </w:r>
    </w:p>
    <w:p w:rsidR="00EE4660" w:rsidRDefault="00C608E4">
      <w:pPr>
        <w:pStyle w:val="a3"/>
      </w:pPr>
      <w:r>
        <w:t>Одной из актуальных проблем антропоцентрического направления в гуманитарных науках является проблема становления языковой способности. На протяжении десятилетий исследование онтогенеза представляло собой одно из приоритетных направлений психологии. ^ожившаяся в 1950-е годы психолингвистика в связи с особым вниманием к исследованиям когнитивных оснований речевой деятельности также начинает заниматься вопросами онтогенеза. В отличие от психологического подхода, в рамках которого формирование языковой способности у ребёнка, как правило, изучалось на примере одного испытуемого (Л.С. Выготский, Ж. Пиаже и др.), в психолингвистике принято проводить масштабные эксперименты с участием большого количества испытуемых, что позволяет экстраполировать полученные результаты на всю генеральную совокупность и моделировать общие закономерности формирования языковой способности. Однако подобные исследования проводились, как правило, с опорой только на ассоциативный эксперимент (АЭ). Тем не менее, учитывая особенности проведения АЭ и сложности, возникающие при анализе реакций, результаты такого исследования не могут быть приняты за единственно верные. Таким образом, возникает необходимость верификации результатов АЭ.</w:t>
      </w:r>
    </w:p>
    <w:p w:rsidR="00EE4660" w:rsidRDefault="00C608E4">
      <w:pPr>
        <w:pStyle w:val="a3"/>
      </w:pPr>
      <w:r>
        <w:t>Для того чтобы изучить особенности формирования когнитивной структуры значения слова, было проведено экспериментальное исследование с детьми, обучающимися в дошкольных образовательных учреждениях и средних общеобразовательных школах. Экспериментальное исследование включало в себя два этапа: на первом этапе был проведен свободный АЭ; на втором этапе — эксперимент с опорой на методику дефиниций, направленный на верификацию результатов АЭ. В эксперименте приняло участие 210 детей в возрасте от 4 до 11 лет, обучающихся в детском саду и начальной школе. Выборка испытуемых была разбита на 7 экспериментальных групп (ЭГ) в соответствии с годом обучения детей (табл. 1).</w:t>
      </w:r>
    </w:p>
    <w:p w:rsidR="00EE4660" w:rsidRDefault="00C608E4">
      <w:pPr>
        <w:pStyle w:val="a3"/>
      </w:pPr>
      <w:r>
        <w:t>Таблица 1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EE4660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Экспериментальная группа (ЭГ)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Год обучения в дошкольном образовательном учреждении и средней общеобразовательной школе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Средний</w:t>
            </w:r>
          </w:p>
          <w:p w:rsidR="00EE4660" w:rsidRPr="00C608E4" w:rsidRDefault="00C608E4">
            <w:pPr>
              <w:pStyle w:val="a3"/>
            </w:pPr>
            <w:r w:rsidRPr="00C608E4">
              <w:t>возраст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1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средняя 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4-5 лет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2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старшая 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5-6 лет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3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подготовительная 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6-7 лет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4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7-8 лет</w:t>
            </w:r>
          </w:p>
        </w:tc>
      </w:tr>
      <w:tr w:rsidR="00EE4660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5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8-9 лет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6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9-10 лет</w:t>
            </w:r>
          </w:p>
        </w:tc>
      </w:tr>
      <w:tr w:rsidR="00EE4660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ЭГ 7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10-11 лет</w:t>
            </w:r>
          </w:p>
        </w:tc>
      </w:tr>
    </w:tbl>
    <w:p w:rsidR="00EE4660" w:rsidRPr="00C608E4" w:rsidRDefault="00C608E4">
      <w:pPr>
        <w:pStyle w:val="a3"/>
      </w:pPr>
      <w:r>
        <w:t>В каждую подгруппу вошло по 30 человек. В ходе обработки результатов были сопоставлены данные, полученные при проведении двух этапов эксперимента с участниками из всех ЭГ.</w:t>
      </w:r>
    </w:p>
    <w:p w:rsidR="00EE4660" w:rsidRDefault="00C608E4">
      <w:pPr>
        <w:pStyle w:val="a3"/>
      </w:pPr>
      <w:r>
        <w:t>В качестве экспериментального материала были отобраны 10 частотных русских слов, знакомых детям в возрасте от 4 до 11 лет: карандаш, игра, дерево, подарок, дом, рисование, конфета, семья, природа, кукла. Экспериментальный материал включал в себя пары абстрактных и конкретных существительных (ср.: дом — семья, карандаш — рисование).</w:t>
      </w:r>
    </w:p>
    <w:p w:rsidR="00EE4660" w:rsidRDefault="00C608E4">
      <w:pPr>
        <w:pStyle w:val="a3"/>
      </w:pPr>
      <w:r>
        <w:t>Анализ и интерпретация результатов АЭ</w:t>
      </w:r>
    </w:p>
    <w:p w:rsidR="00EE4660" w:rsidRDefault="00C608E4">
      <w:pPr>
        <w:pStyle w:val="a3"/>
      </w:pPr>
      <w:r>
        <w:t>В ходе обработки результатов АЭ были предложены 6 классификаций, в число которых вошли как традиционные классификации, так и авторские. Рассмотрим классификацию реакций по характеру механизма ассоциирования, так как она, на наш взгляд, в полной мере отражает специфику формирования языковой способности данной группы испытуемых: 1) категоризация реакций: a) предмет; б) объективный признак предмета; в) действие (действие предмета, действие с предметом); 2) по способу ассоциирования: a) контекстуальные реакции: предметы, находящиеся в поле зрения испытуемых; предметы, находящиеся вне поля зрения испытуемых, но часто встречающиеся в данный период; б) повторы; в) шаблоны; г) повторы одного из предыдущих стимулов или реакции на один из предыдущих стимулов (персервативные реакции); д) реакции на основе фонетического сходства (рифма; реакции, основанные на ритмическом сходстве; квазислова); 3) реакции, в которых проявляется синтагматика: моделирование ситуации; 4) неинтерпретируемые реакции; 5) отказы.</w:t>
      </w:r>
    </w:p>
    <w:p w:rsidR="00EE4660" w:rsidRDefault="00C608E4">
      <w:pPr>
        <w:pStyle w:val="a3"/>
      </w:pPr>
      <w:r>
        <w:t>Анализ полученных реакций позволяет сделать следующие выводы:</w:t>
      </w:r>
    </w:p>
    <w:p w:rsidR="00EE4660" w:rsidRDefault="00C608E4">
      <w:pPr>
        <w:pStyle w:val="a3"/>
      </w:pPr>
      <w:r>
        <w:t>С возрастом испытуемых общее количество реакций увеличивается на 77 %. Если испытуемые в возрасте 4-5-ти лет отвечают на заданное слово-стимул 1-2 ассоциатами, как правило, называя окружающие их предметы, то уже в возрасте 8-ми лет испытуемые реагируют на слово-стимул 2-3 ас- социатами, а в возрасте 9-10-ти лет количество продуцируемых ассоциатов может быть более трёх единиц.</w:t>
      </w:r>
    </w:p>
    <w:p w:rsidR="00EE4660" w:rsidRDefault="00C608E4">
      <w:pPr>
        <w:pStyle w:val="a3"/>
      </w:pPr>
      <w:r>
        <w:t>С возрастом испытуемых количество реакций, относящихся к категории предмет, увеличивается на 45%. При этом увеличивается количество ассоциатов, относящихся к категории объективный признак предмета. Вероятно, рост числа этих реакций связан с развитием номинативной способности у детей, поскольку у них формируется умение описать предмет, ситуацию, что, по мнению психологов, тесно связано с появлением и развитием письменной речи.</w:t>
      </w:r>
    </w:p>
    <w:p w:rsidR="00EE4660" w:rsidRDefault="00C608E4">
      <w:pPr>
        <w:pStyle w:val="a3"/>
      </w:pPr>
      <w:r>
        <w:t>Количество реакций, отнесённых к категории контекстуальные реакции, уменьшается в ответах испытуемых из старших возрастных групп. Чем старше испытуемые, тем меньше ассоциатов, относящихся к этой группе, присутствует среди их реакций. Так, наибольшее количество реакций, отнесённых к категории контекстуальные реакции, присутствует в ответах испытуемых в возрасте 4-5-ти лет, что связано с недостаточным развитием языковой способности у детей этого возраста, что, в свою очередь, приводит к поиску опоры в окружающем пространстве. Эта опора, как правило, не отражает действительные параметры объекта и является искусственной. Уменьшение количества таких реакций, а затем и полное их исчезновение в ответах испытуемых говорит о том, что у детей в возрасте от 6-ти лет сформирована способность говорить о предметах, находящихся вне поля их зрения.</w:t>
      </w:r>
    </w:p>
    <w:p w:rsidR="00EE4660" w:rsidRDefault="00C608E4">
      <w:pPr>
        <w:pStyle w:val="a3"/>
      </w:pPr>
      <w:r>
        <w:t>В ответах испытуемых более старшего возраста на 15 % сокращается количество реакций, относящихся к категории повтор стимула, и на 15 % уменьшается количество реакций, отнесённых к категориям реакции по шаблону и персерва- тивныереакции. Такие реакции говорят о несформированности и неустойчивости структур сознания.</w:t>
      </w:r>
    </w:p>
    <w:p w:rsidR="00EE4660" w:rsidRDefault="00C608E4">
      <w:pPr>
        <w:pStyle w:val="a3"/>
      </w:pPr>
      <w:r>
        <w:t>В ответах испытуемых в возрасте от 6-ти лет появляются реакции, относящиеся к категориям действие и моделирование ситуации. Это подкрепляется увеличением количества глаголов среди ассоциатов. При этом сначала формируется когнитивная структура, описывающая действие самого предмета (в возрасте 6-7-ми лет), что проявляется в большем числе глаголов — действий предмета (ср.: карандаш — рисует), а позже появляются реакции, отражающие те действия, которые можно совершить с предметом (ср.: карандаш — рисую).</w:t>
      </w:r>
    </w:p>
    <w:p w:rsidR="00EE4660" w:rsidRDefault="00C608E4">
      <w:pPr>
        <w:pStyle w:val="a3"/>
      </w:pPr>
      <w:r>
        <w:t>Верификация полученных данных с опорой на эксперимент по формулированию дефиниций</w:t>
      </w:r>
    </w:p>
    <w:p w:rsidR="00EE4660" w:rsidRDefault="00C608E4">
      <w:pPr>
        <w:pStyle w:val="a3"/>
      </w:pPr>
      <w:r>
        <w:t>На втором этапе эксперимента испытуемым предлагалось найти определения к предъявленным словам. С испытуемыми из младших возрастных групп эксперимент проводился индивидуально в виде беседы; с учащимися 2-4-х классов — в групповой форме в виде письменного анкетирования.</w:t>
      </w:r>
    </w:p>
    <w:p w:rsidR="00EE4660" w:rsidRDefault="00C608E4">
      <w:pPr>
        <w:pStyle w:val="a3"/>
      </w:pPr>
      <w:r>
        <w:t>Так как в ходе проведения эксперимента по формулированию определения слова испытуемые давали рефлексивные ответы, прибегая к отличным от АЭ стратегиям определения слова, в процессе обработки полученных результатов возникла необходимость уточнить и дополнить классификацию по характеру механизма ассоциирования: 1) категоризация реакций: a) родовидовые отношения; б) метафора; в) объективный признак предмета; г) действие (действие предмета, действие с предметом); д) дробление; 2) по способу ассоциирования: a) контекстуальные реакции: предметы, находящиеся в поле зрения испытуемых; предметы, находящиеся вне поля зрения испытуемых, но часто встречающиеся в данный период); б) повторы: в) шаблоны; г) повторы одного из предыдущих стимулов или реакции на один из предыдущих стимулов (пер- сервативные реакции); д) реакции на основе фонетического сходства (рифма; реакции, основанные на ритмическом сходстве; квазислова); 3) реакции, в которых проявляется синтагматика: моделирование ситуации; 4) неинтерпрети- руемые реакции; 5) отказы.</w:t>
      </w:r>
    </w:p>
    <w:p w:rsidR="00EE4660" w:rsidRDefault="00C608E4">
      <w:pPr>
        <w:pStyle w:val="a3"/>
      </w:pPr>
      <w:r>
        <w:t>На основе анализа дефиниций, полученных в ходе эксперимента по формулированию определения, были сделаны следующие выводы:</w:t>
      </w:r>
    </w:p>
    <w:p w:rsidR="00EE4660" w:rsidRDefault="00C608E4">
      <w:pPr>
        <w:pStyle w:val="a3"/>
      </w:pPr>
      <w:r>
        <w:t>С возрастом испытуемых объём дефиниции увеличивается на 3 %, что также сопровождается уменьшением количества отказов среди испытуемых.</w:t>
      </w:r>
    </w:p>
    <w:p w:rsidR="00EE4660" w:rsidRDefault="00C608E4">
      <w:pPr>
        <w:pStyle w:val="a3"/>
      </w:pPr>
      <w:r>
        <w:t>С возрастом испытуемых количество дефиниций, относящихся к категории родовидовые отношения, увеличивается на 23 %, а количество дефиниций, относящихся к категории объективный признак, — на 12 %. При этом количество дефиниций, относящихся к категории метафора, увеличивается на 1,55 %. Это свидетельствует о том, что у детей развивается номинативная способность, формируется умение описать предмет, ситуацию.</w:t>
      </w:r>
    </w:p>
    <w:p w:rsidR="00EE4660" w:rsidRDefault="00C608E4">
      <w:pPr>
        <w:pStyle w:val="a3"/>
      </w:pPr>
      <w:r>
        <w:t>С возрастом сокращается количество личностно ориентированных дефиниций: в возрасте 4-5-ти лет количество неинтерпретируемых определений составляет 6,3 %, в возрасте 6-7-ми лет наблюдается спад до 1,7 %, в возрасте 8-9-ти лет количество ответов возрастает до 2,9 %. Следует отметить, что личностно ориентированные дефиниции данной возрастной группы логически связаны со словом-стимулом и, вероятно, вызваны желанием детей рассказать о себе. Однако уже в возрасте 10-ти лет дефиниций, относящихся к данной категории, практически нет (0,7 %). Вероятно, это свидетельствует о том, что развитие языковой способности детей в более старшем возрасте позволяет им интерпретировать слово, не прибегая к личному опыту.</w:t>
      </w:r>
    </w:p>
    <w:p w:rsidR="00EE4660" w:rsidRDefault="00C608E4">
      <w:pPr>
        <w:pStyle w:val="a3"/>
      </w:pPr>
      <w:r>
        <w:t>В ответах испытуемых в возрасте от 5-ти лет значительно сокращается количество дефиниций, относящихся к категории повторы, а в ответах учащихся 4-го класса таких определений выявлено не было.</w:t>
      </w:r>
    </w:p>
    <w:p w:rsidR="00EE4660" w:rsidRDefault="00C608E4">
      <w:pPr>
        <w:pStyle w:val="a3"/>
      </w:pPr>
      <w:r>
        <w:t>В ответах испытуемых часть дефиниций была отнесена к категориям действие и действие с предметом. Отметим, что когнитивная структура, описывающая действие самого предмета, формируется ранее, чем когнитивная структура, описывающая выполняемую предметом функцию и те действия, которые можно совершить с предметом.</w:t>
      </w:r>
    </w:p>
    <w:p w:rsidR="00EE4660" w:rsidRDefault="00C608E4">
      <w:pPr>
        <w:pStyle w:val="a3"/>
      </w:pPr>
      <w:r>
        <w:t>В возрасте 8-ми лет количество дефиниций, относящихся к категории моделирование ситуации, сокращается. Вероятно, это связано с тем, что с возрастом дети способны описать предмет, не прибегая к моделированию условной ситуации.</w:t>
      </w:r>
    </w:p>
    <w:p w:rsidR="00EE4660" w:rsidRDefault="00C608E4">
      <w:pPr>
        <w:pStyle w:val="a3"/>
      </w:pPr>
      <w:r>
        <w:t>В отличие от результатов АЭ некоторые ответы испытуемых на этом этапе были отнесены к категории дробление. Появление таких определений можно объяснить тем, что дробление является универсальным механизмом, который позволяет ребёнку компенсировать нехватку абстрактных знаний.</w:t>
      </w:r>
    </w:p>
    <w:p w:rsidR="00EE4660" w:rsidRDefault="00C608E4">
      <w:pPr>
        <w:pStyle w:val="a3"/>
      </w:pPr>
      <w:r>
        <w:t>Сопоставительный анализ проведённых экспериментов</w:t>
      </w:r>
    </w:p>
    <w:p w:rsidR="00EE4660" w:rsidRDefault="00C608E4">
      <w:pPr>
        <w:pStyle w:val="a3"/>
      </w:pPr>
      <w:r>
        <w:t>Полученные ответы были представлены в процентных соотношениях. Результаты АЭ и данные, полученные в ходе эксперимента по формулированию определения, были сопоставлены между собой. Рассмотрим некоторые из выявленных различий.</w:t>
      </w:r>
    </w:p>
    <w:p w:rsidR="00EE4660" w:rsidRDefault="00C608E4">
      <w:pPr>
        <w:pStyle w:val="a3"/>
      </w:pPr>
      <w:r>
        <w:t>Таблица 2</w:t>
      </w:r>
    </w:p>
    <w:p w:rsidR="00EE4660" w:rsidRDefault="00C608E4">
      <w:pPr>
        <w:pStyle w:val="a3"/>
      </w:pPr>
      <w:r>
        <w:t>Дефиниции (категории: «родовидовые отношения», «метафора»)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Средняя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Старшая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Подгот.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</w:tr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предмет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11,84 %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31 %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54,35 %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63,4 %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53,3 %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51,3 %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58,8 %</w:t>
            </w:r>
          </w:p>
        </w:tc>
      </w:tr>
    </w:tbl>
    <w:p w:rsidR="00EE4660" w:rsidRPr="00C608E4" w:rsidRDefault="00C608E4">
      <w:pPr>
        <w:pStyle w:val="a3"/>
      </w:pPr>
      <w:r>
        <w:t> </w:t>
      </w:r>
    </w:p>
    <w:p w:rsidR="00EE4660" w:rsidRDefault="00C608E4">
      <w:pPr>
        <w:pStyle w:val="a3"/>
      </w:pPr>
      <w:r>
        <w:t>Ассоциативный эксперимент (категория «предмет»)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Средняя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Старшая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Подгот.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</w:tr>
      <w:tr w:rsidR="00EE4660">
        <w:trPr>
          <w:trHeight w:val="720"/>
          <w:tblCellSpacing w:w="0" w:type="dxa"/>
        </w:trPr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родови</w:t>
            </w:r>
          </w:p>
          <w:p w:rsidR="00EE4660" w:rsidRPr="00C608E4" w:rsidRDefault="00C608E4">
            <w:pPr>
              <w:pStyle w:val="a3"/>
            </w:pPr>
            <w:r w:rsidRPr="00C608E4">
              <w:t>довые</w:t>
            </w:r>
          </w:p>
          <w:p w:rsidR="00EE4660" w:rsidRPr="00C608E4" w:rsidRDefault="00C608E4">
            <w:pPr>
              <w:pStyle w:val="a3"/>
            </w:pPr>
            <w:r w:rsidRPr="00C608E4">
              <w:t>отношения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9,2 %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11,25 %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13,5 %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17 %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23,5 %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31,8 %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31,8 %</w:t>
            </w:r>
          </w:p>
        </w:tc>
      </w:tr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метафора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2,95 %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2,3 %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3,25 %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2,1 %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5,2 %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4,8 %</w:t>
            </w:r>
          </w:p>
        </w:tc>
      </w:tr>
    </w:tbl>
    <w:p w:rsidR="00EE4660" w:rsidRPr="00C608E4" w:rsidRDefault="00C608E4">
      <w:pPr>
        <w:pStyle w:val="a3"/>
      </w:pPr>
      <w:r>
        <w:t>В ходе обработки данных, полученных в АЭ, значительная часть ассоциа- тов (от 13 % до 58,8 %) была отнесена к категории предмет. Иными словами, реакцией на слово-стимул (предмет или явление, названное существительным) часто оказывалось слово, представляющее собой предметное понятие. В эксперименте по формулированию определения слова-стимула классификация является более дробной: так, категория предмет была далее разбита на категории родовидовые отношения и метафора, поскольку испытуемые при продуцировании определений к предъявленным словам опирались на одну из этих стратегий. Вне всякого сомнения, данные категории соотносимы друг с другом. Сравнительный анализ двух экспериментов продемонстрировал наличие одного и того же тренда. По мере увеличения возраста испытуемые предлагают большее число ответов, относящихся к категории предмет, при этом пропорционально увеличивается количество ответов, основанных на родовидовых и метафорических отношениях.</w:t>
      </w:r>
    </w:p>
    <w:p w:rsidR="00EE4660" w:rsidRDefault="00C608E4">
      <w:pPr>
        <w:pStyle w:val="a3"/>
      </w:pPr>
      <w:r>
        <w:t>Таблица 3</w:t>
      </w:r>
    </w:p>
    <w:p w:rsidR="00EE4660" w:rsidRDefault="00C608E4">
      <w:pPr>
        <w:pStyle w:val="a3"/>
      </w:pPr>
      <w:r>
        <w:t>Дефиниции (категории «неинтерпретируемые дефиниции»)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Средняя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Старшая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Подгот.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</w:tr>
      <w:tr w:rsidR="00EE4660">
        <w:trPr>
          <w:trHeight w:val="1005"/>
          <w:tblCellSpacing w:w="0" w:type="dxa"/>
        </w:trPr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неинтер-</w:t>
            </w:r>
          </w:p>
          <w:p w:rsidR="00EE4660" w:rsidRPr="00C608E4" w:rsidRDefault="00C608E4">
            <w:pPr>
              <w:pStyle w:val="a3"/>
            </w:pPr>
            <w:r w:rsidRPr="00C608E4">
              <w:t>прети-</w:t>
            </w:r>
          </w:p>
          <w:p w:rsidR="00EE4660" w:rsidRPr="00C608E4" w:rsidRDefault="00C608E4">
            <w:pPr>
              <w:pStyle w:val="a3"/>
            </w:pPr>
            <w:r w:rsidRPr="00C608E4">
              <w:t>руемые</w:t>
            </w:r>
          </w:p>
          <w:p w:rsidR="00EE4660" w:rsidRPr="00C608E4" w:rsidRDefault="00C608E4">
            <w:pPr>
              <w:pStyle w:val="a3"/>
            </w:pPr>
            <w:r w:rsidRPr="00C608E4">
              <w:t>реакции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28 %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20,4 %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9,8 %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12,4 %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10,2 %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22,4 %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14,9 %</w:t>
            </w:r>
          </w:p>
        </w:tc>
      </w:tr>
    </w:tbl>
    <w:p w:rsidR="00EE4660" w:rsidRPr="00C608E4" w:rsidRDefault="00C608E4">
      <w:pPr>
        <w:pStyle w:val="a3"/>
      </w:pPr>
      <w:r>
        <w:t> </w:t>
      </w:r>
    </w:p>
    <w:p w:rsidR="00EE4660" w:rsidRDefault="00C608E4">
      <w:pPr>
        <w:pStyle w:val="a3"/>
      </w:pPr>
      <w:r>
        <w:t>Ассоциативный эксперимент (категория «неинтерпретируемые реакции»)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Средняя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Старшая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Подгот.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</w:tr>
      <w:tr w:rsidR="00EE4660">
        <w:trPr>
          <w:trHeight w:val="1005"/>
          <w:tblCellSpacing w:w="0" w:type="dxa"/>
        </w:trPr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неинтер-</w:t>
            </w:r>
          </w:p>
          <w:p w:rsidR="00EE4660" w:rsidRPr="00C608E4" w:rsidRDefault="00C608E4">
            <w:pPr>
              <w:pStyle w:val="a3"/>
            </w:pPr>
            <w:r w:rsidRPr="00C608E4">
              <w:t>прети-</w:t>
            </w:r>
          </w:p>
          <w:p w:rsidR="00EE4660" w:rsidRPr="00C608E4" w:rsidRDefault="00C608E4">
            <w:pPr>
              <w:pStyle w:val="a3"/>
            </w:pPr>
            <w:r w:rsidRPr="00C608E4">
              <w:t>руемые</w:t>
            </w:r>
          </w:p>
          <w:p w:rsidR="00EE4660" w:rsidRPr="00C608E4" w:rsidRDefault="00C608E4">
            <w:pPr>
              <w:pStyle w:val="a3"/>
            </w:pPr>
            <w:r w:rsidRPr="00C608E4">
              <w:t>реакции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6 %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1,7 %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2,5 %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3,35 %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1,1 %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0,7 %</w:t>
            </w:r>
          </w:p>
        </w:tc>
      </w:tr>
    </w:tbl>
    <w:p w:rsidR="00EE4660" w:rsidRPr="00C608E4" w:rsidRDefault="00C608E4">
      <w:pPr>
        <w:pStyle w:val="a3"/>
      </w:pPr>
      <w:r>
        <w:t>К категории неинтерпретируемые реакции относятся реакции, которые могут быть не связаны объективно со словом-стимулом, но иметь какую-либо связь для испытуемых в результате их личного опыта (ср.: семья — волосы). В ходе обработки данных АЭ было выявлено, что количество ассоциатов, относящихся к данной категории, заметно снижается с возрастом испытуемых (30,7 % в ответах испытуемых средней группы и 14,9 % в ответах испытуемых 4-го класса), что подтверждается данными, полученными в ходе проведения второго эксперимента (6 % среди ответов детей средней группы и 0,7 % среди ответов детей 4-го класса).</w:t>
      </w:r>
    </w:p>
    <w:p w:rsidR="00EE4660" w:rsidRDefault="00C608E4">
      <w:pPr>
        <w:pStyle w:val="a3"/>
      </w:pPr>
      <w:r>
        <w:t>Однако следует отметить, что качество неинтерпретируемых реакций, предложенных испытуемыми этой возрастной группы, существенно отличается от качества неинтерпретируемых реакций, продуцируемых испытуемыми из средней и старшей подготовительных групп дошкольного образовательного учреждения. Личностные реакции данной возрастной группы логически связаны со словом-стимулом и, вероятно, вызваны желанием детей рассказать о себе. Это уже не речь ребёнка для себя и не использование жизненного опыта в качестве опоры в процессе ассоциирования или при поиске ответа на поставленную задачу. Следовательно, появление таких реакций, вероятнее всего, не связано с недостаточным языковым знанием испытуемых, что также подтверждается работами психологов [3].</w:t>
      </w:r>
    </w:p>
    <w:p w:rsidR="00EE4660" w:rsidRDefault="00C608E4">
      <w:pPr>
        <w:pStyle w:val="a3"/>
      </w:pPr>
      <w:r>
        <w:t>В ходе обработки эксперимента по формулированию дефиниций возникла необходимость уточнить классификацию и дополнить её категорией дробление.</w:t>
      </w:r>
    </w:p>
    <w:p w:rsidR="00EE4660" w:rsidRDefault="00C608E4">
      <w:pPr>
        <w:pStyle w:val="a3"/>
      </w:pPr>
      <w:r>
        <w:t>Таблица 4</w:t>
      </w:r>
    </w:p>
    <w:p w:rsidR="00EE4660" w:rsidRDefault="00C608E4">
      <w:pPr>
        <w:pStyle w:val="a3"/>
      </w:pPr>
      <w:r>
        <w:t>Дефиниции (категория «дробление»)</w:t>
      </w:r>
    </w:p>
    <w:p w:rsidR="00EE4660" w:rsidRDefault="00C608E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Средняя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Старшая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Pr="00C608E4" w:rsidRDefault="00C608E4">
            <w:pPr>
              <w:pStyle w:val="a3"/>
            </w:pPr>
            <w:r w:rsidRPr="00C608E4">
              <w:t>Подгот.</w:t>
            </w:r>
          </w:p>
          <w:p w:rsidR="00EE4660" w:rsidRPr="00C608E4" w:rsidRDefault="00C608E4">
            <w:pPr>
              <w:pStyle w:val="a3"/>
            </w:pPr>
            <w:r w:rsidRPr="00C608E4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2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3 класс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4 класс</w:t>
            </w:r>
          </w:p>
        </w:tc>
      </w:tr>
      <w:tr w:rsidR="00EE466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EE4660" w:rsidRDefault="00C608E4">
            <w:r>
              <w:t>дробление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9,73 %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8,95 %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8,3 %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12,9 %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15,6 %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12,7 %</w:t>
            </w:r>
          </w:p>
        </w:tc>
        <w:tc>
          <w:tcPr>
            <w:tcW w:w="0" w:type="auto"/>
            <w:vAlign w:val="center"/>
            <w:hideMark/>
          </w:tcPr>
          <w:p w:rsidR="00EE4660" w:rsidRDefault="00C608E4">
            <w:r>
              <w:t>10,5 %</w:t>
            </w:r>
          </w:p>
        </w:tc>
      </w:tr>
    </w:tbl>
    <w:p w:rsidR="00EE4660" w:rsidRPr="00C608E4" w:rsidRDefault="00C608E4">
      <w:pPr>
        <w:pStyle w:val="a3"/>
      </w:pPr>
      <w:r>
        <w:t>Появление определений, относящихся к категории дробление, можно объяснить тем, что дробление является универсальным механизмом, который позволяет ребёнку компенсировать нехватку абстрактных знаний.</w:t>
      </w:r>
    </w:p>
    <w:p w:rsidR="00EE4660" w:rsidRDefault="00C608E4">
      <w:pPr>
        <w:pStyle w:val="a3"/>
      </w:pPr>
      <w:r>
        <w:t>На основе проведённого сопоставительного анализа двух экспериментов были сделаны следующие выводы:</w:t>
      </w:r>
    </w:p>
    <w:p w:rsidR="00EE4660" w:rsidRDefault="00C608E4">
      <w:pPr>
        <w:pStyle w:val="a3"/>
      </w:pPr>
      <w:r>
        <w:t>С возрастом испытуемых увеличивается общее количество реакций и дефиниций, поскольку у более старших детей в когнитивную структуру значения слова входит большее количество компонентов.</w:t>
      </w:r>
    </w:p>
    <w:p w:rsidR="00EE4660" w:rsidRDefault="00C608E4">
      <w:pPr>
        <w:pStyle w:val="a3"/>
      </w:pPr>
      <w:r>
        <w:t>С возрастом испытуемых увеличивается количество понятийных ответов (предмет, объективный признак, действие): в среднем на 45 % в ходе АЭ и на 20 % в ходе проведения эксперимента по формулированию дефиниций. Вместе с тем происходит спад ответов, не имеющих отношения к категоризации (контекстуальные реакции, повторы, шаблоны и т. п.): в среднем на 15 % в ходе АЭ и на 6% в ходе второго эксперимента. Вероятно, такое распределение реакций и дефиниций, предложенных детьми из разных возрастных групп, связано с тем, что основу сознания ребёнка составляет личностный, перцептивный опыт, который постепенно вытесняется абстрактным мышлением по мере взросления ребёнка.</w:t>
      </w:r>
    </w:p>
    <w:p w:rsidR="00EE4660" w:rsidRDefault="00C608E4">
      <w:pPr>
        <w:pStyle w:val="a3"/>
      </w:pPr>
      <w:r>
        <w:t>Список литературы</w:t>
      </w:r>
    </w:p>
    <w:p w:rsidR="00EE4660" w:rsidRDefault="00C608E4">
      <w:pPr>
        <w:pStyle w:val="a3"/>
      </w:pPr>
      <w:r>
        <w:t>ВыготскийЛ.С. Вопросы детской психологии / Л.С. Выготский. - СПб.: Союз, 1997. - 224 с.</w:t>
      </w:r>
    </w:p>
    <w:p w:rsidR="00EE4660" w:rsidRDefault="00C608E4">
      <w:pPr>
        <w:pStyle w:val="a3"/>
      </w:pPr>
      <w:r>
        <w:t>Выготский Л.С. Мышление и речь / Л.С. Выготский. - М.: Лабиринт, 2008. - 352 с.</w:t>
      </w:r>
    </w:p>
    <w:p w:rsidR="00EE4660" w:rsidRDefault="00C608E4">
      <w:pPr>
        <w:pStyle w:val="a3"/>
      </w:pPr>
      <w:r>
        <w:t>Пиаже Ж. Речь и мышление ребёнка / Ж. Пиаже. - М.: Ремис, 2008. - 436 с.</w:t>
      </w:r>
      <w:bookmarkStart w:id="0" w:name="_GoBack"/>
      <w:bookmarkEnd w:id="0"/>
    </w:p>
    <w:sectPr w:rsidR="00EE46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8E4"/>
    <w:rsid w:val="00C608E4"/>
    <w:rsid w:val="00D70710"/>
    <w:rsid w:val="00EE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41987-A697-4A78-920E-ECFACBA1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13281</Characters>
  <Application>Microsoft Office Word</Application>
  <DocSecurity>0</DocSecurity>
  <Lines>110</Lines>
  <Paragraphs>31</Paragraphs>
  <ScaleCrop>false</ScaleCrop>
  <Company>diakov.net</Company>
  <LinksUpToDate>false</LinksUpToDate>
  <CharactersWithSpaces>15580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эволюции когнитивной структуры значения слова в сознании ребёнка методами психолингвистики</dc:title>
  <dc:subject/>
  <dc:creator>Irina</dc:creator>
  <cp:keywords/>
  <dc:description/>
  <cp:lastModifiedBy>Irina</cp:lastModifiedBy>
  <cp:revision>2</cp:revision>
  <dcterms:created xsi:type="dcterms:W3CDTF">2014-08-02T19:39:00Z</dcterms:created>
  <dcterms:modified xsi:type="dcterms:W3CDTF">2014-08-02T19:39:00Z</dcterms:modified>
</cp:coreProperties>
</file>