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54" w:rsidRDefault="00A10354" w:rsidP="00A10354">
      <w:pPr>
        <w:spacing w:line="360" w:lineRule="auto"/>
        <w:ind w:firstLine="397"/>
        <w:jc w:val="center"/>
        <w:rPr>
          <w:sz w:val="28"/>
          <w:szCs w:val="28"/>
        </w:rPr>
      </w:pPr>
      <w:r w:rsidRPr="00491FC9">
        <w:rPr>
          <w:sz w:val="28"/>
          <w:szCs w:val="28"/>
        </w:rPr>
        <w:t>РЕФЕРАТ</w:t>
      </w:r>
    </w:p>
    <w:p w:rsidR="00A10354" w:rsidRDefault="00D04DC8" w:rsidP="00A10354">
      <w:pPr>
        <w:pStyle w:val="100"/>
        <w:tabs>
          <w:tab w:val="left" w:pos="4820"/>
        </w:tabs>
        <w:spacing w:line="360" w:lineRule="auto"/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Карандашева Е.Д.</w:t>
      </w:r>
    </w:p>
    <w:p w:rsidR="00A10354" w:rsidRDefault="00A10354" w:rsidP="00A10354">
      <w:pPr>
        <w:pStyle w:val="100"/>
        <w:tabs>
          <w:tab w:val="left" w:pos="4820"/>
        </w:tabs>
        <w:spacing w:line="360" w:lineRule="auto"/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Учет затрат на автотранспортном             </w:t>
      </w:r>
    </w:p>
    <w:p w:rsidR="00A10354" w:rsidRDefault="00A10354" w:rsidP="00A10354">
      <w:pPr>
        <w:pStyle w:val="100"/>
        <w:tabs>
          <w:tab w:val="left" w:pos="4820"/>
        </w:tabs>
        <w:spacing w:line="360" w:lineRule="auto"/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предприятии.</w:t>
      </w:r>
    </w:p>
    <w:p w:rsidR="00A060A1" w:rsidRDefault="00A10354" w:rsidP="00A060A1">
      <w:pPr>
        <w:pStyle w:val="100"/>
        <w:tabs>
          <w:tab w:val="left" w:pos="4820"/>
          <w:tab w:val="left" w:pos="8100"/>
        </w:tabs>
        <w:spacing w:line="360" w:lineRule="auto"/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Челябинск: ЮУрГУ, Ком-31</w:t>
      </w:r>
      <w:r w:rsidR="00D04DC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 20</w:t>
      </w:r>
      <w:r w:rsidR="00D04DC8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,</w:t>
      </w:r>
      <w:r w:rsidR="00A060A1">
        <w:rPr>
          <w:color w:val="000000"/>
          <w:sz w:val="28"/>
          <w:szCs w:val="28"/>
        </w:rPr>
        <w:t xml:space="preserve">    </w:t>
      </w:r>
    </w:p>
    <w:p w:rsidR="00A10354" w:rsidRDefault="00D04DC8" w:rsidP="00A060A1">
      <w:pPr>
        <w:pStyle w:val="100"/>
        <w:tabs>
          <w:tab w:val="left" w:pos="4820"/>
          <w:tab w:val="left" w:pos="8100"/>
        </w:tabs>
        <w:spacing w:line="360" w:lineRule="auto"/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A060A1">
        <w:rPr>
          <w:color w:val="000000"/>
          <w:sz w:val="28"/>
          <w:szCs w:val="28"/>
        </w:rPr>
        <w:t xml:space="preserve"> с.</w:t>
      </w:r>
    </w:p>
    <w:p w:rsidR="00A10354" w:rsidRDefault="00D04DC8" w:rsidP="00A10354">
      <w:pPr>
        <w:pStyle w:val="Default"/>
        <w:tabs>
          <w:tab w:val="left" w:pos="4820"/>
        </w:tabs>
        <w:spacing w:line="36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Б</w:t>
      </w:r>
      <w:r w:rsidR="00A10354">
        <w:rPr>
          <w:sz w:val="28"/>
          <w:szCs w:val="28"/>
        </w:rPr>
        <w:t xml:space="preserve">иблиографический список – </w:t>
      </w:r>
      <w:r w:rsidR="00A10354">
        <w:rPr>
          <w:color w:val="auto"/>
          <w:sz w:val="28"/>
          <w:szCs w:val="28"/>
        </w:rPr>
        <w:t>14 </w:t>
      </w:r>
      <w:r w:rsidR="00A10354">
        <w:rPr>
          <w:sz w:val="28"/>
          <w:szCs w:val="28"/>
        </w:rPr>
        <w:t>наим.</w:t>
      </w:r>
    </w:p>
    <w:p w:rsidR="00A10354" w:rsidRPr="00491FC9" w:rsidRDefault="00A10354" w:rsidP="00A10354">
      <w:pPr>
        <w:pStyle w:val="100"/>
        <w:tabs>
          <w:tab w:val="left" w:pos="4820"/>
        </w:tabs>
        <w:spacing w:line="360" w:lineRule="auto"/>
        <w:jc w:val="both"/>
        <w:rPr>
          <w:sz w:val="28"/>
          <w:szCs w:val="28"/>
        </w:rPr>
      </w:pPr>
    </w:p>
    <w:p w:rsidR="00A10354" w:rsidRPr="00491FC9" w:rsidRDefault="00A10354" w:rsidP="00A1035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491FC9">
        <w:rPr>
          <w:sz w:val="28"/>
          <w:szCs w:val="28"/>
        </w:rPr>
        <w:t xml:space="preserve">Объектом исследования является порядок учета </w:t>
      </w:r>
      <w:r>
        <w:rPr>
          <w:sz w:val="28"/>
          <w:szCs w:val="28"/>
        </w:rPr>
        <w:t>затрат на автотранспортном предприятии</w:t>
      </w:r>
      <w:r w:rsidRPr="00491FC9">
        <w:rPr>
          <w:sz w:val="28"/>
          <w:szCs w:val="28"/>
        </w:rPr>
        <w:t>.</w:t>
      </w:r>
    </w:p>
    <w:p w:rsidR="00F84F29" w:rsidRPr="00F84F29" w:rsidRDefault="00A10354" w:rsidP="00F84F29">
      <w:pPr>
        <w:spacing w:line="360" w:lineRule="auto"/>
        <w:ind w:firstLine="851"/>
        <w:jc w:val="both"/>
        <w:rPr>
          <w:sz w:val="28"/>
          <w:szCs w:val="28"/>
        </w:rPr>
      </w:pPr>
      <w:r w:rsidRPr="00491FC9">
        <w:rPr>
          <w:sz w:val="28"/>
          <w:szCs w:val="28"/>
        </w:rPr>
        <w:t xml:space="preserve">Цель работы – освоить методику </w:t>
      </w:r>
      <w:r>
        <w:rPr>
          <w:sz w:val="28"/>
          <w:szCs w:val="28"/>
        </w:rPr>
        <w:t>организации учета затрат на специализированном предприятии</w:t>
      </w:r>
      <w:r w:rsidRPr="00491FC9">
        <w:rPr>
          <w:sz w:val="28"/>
          <w:szCs w:val="28"/>
        </w:rPr>
        <w:t>.</w:t>
      </w:r>
      <w:r w:rsidR="00F84F29">
        <w:rPr>
          <w:sz w:val="28"/>
          <w:szCs w:val="28"/>
        </w:rPr>
        <w:t xml:space="preserve"> Рассмотреть основные вопросы данной темы. Главные затраты автотранспортных средств и их учет.</w:t>
      </w:r>
    </w:p>
    <w:p w:rsidR="00A10354" w:rsidRPr="00491FC9" w:rsidRDefault="00F84F29" w:rsidP="00F84F2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            </w:t>
      </w:r>
      <w:r w:rsidR="00A10354" w:rsidRPr="00491FC9">
        <w:rPr>
          <w:sz w:val="28"/>
          <w:szCs w:val="28"/>
        </w:rPr>
        <w:t xml:space="preserve">В работе рассмотрен учет  </w:t>
      </w:r>
      <w:r w:rsidR="00A10354">
        <w:rPr>
          <w:sz w:val="28"/>
          <w:szCs w:val="28"/>
        </w:rPr>
        <w:t xml:space="preserve">затрат на автотранспортном предприятии </w:t>
      </w:r>
      <w:r w:rsidR="00A10354" w:rsidRPr="00491FC9">
        <w:rPr>
          <w:sz w:val="28"/>
          <w:szCs w:val="28"/>
        </w:rPr>
        <w:t xml:space="preserve">в соответствии с действующими законодательно-нормативными документами. </w:t>
      </w: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Pr="00491FC9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A10354" w:rsidRDefault="00A10354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D04DC8" w:rsidRDefault="00D04DC8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54373A" w:rsidRDefault="0054373A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54373A" w:rsidRDefault="0054373A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54373A" w:rsidRPr="00491FC9" w:rsidRDefault="0054373A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D04DC8" w:rsidRPr="00491FC9" w:rsidRDefault="00D04DC8" w:rsidP="00A10354">
      <w:pPr>
        <w:spacing w:line="360" w:lineRule="auto"/>
        <w:ind w:firstLine="851"/>
        <w:jc w:val="both"/>
        <w:rPr>
          <w:sz w:val="28"/>
          <w:szCs w:val="28"/>
        </w:rPr>
      </w:pPr>
    </w:p>
    <w:p w:rsidR="00D04DC8" w:rsidRDefault="00D04DC8" w:rsidP="007F4FCC">
      <w:pPr>
        <w:pStyle w:val="1"/>
        <w:rPr>
          <w:kern w:val="0"/>
        </w:rPr>
      </w:pPr>
      <w:bookmarkStart w:id="0" w:name="_Toc248860187"/>
    </w:p>
    <w:p w:rsidR="00D04DC8" w:rsidRPr="00D04DC8" w:rsidRDefault="00D04DC8" w:rsidP="00D04DC8"/>
    <w:bookmarkEnd w:id="0"/>
    <w:p w:rsidR="00A10354" w:rsidRPr="007F4FCC" w:rsidRDefault="00A10354" w:rsidP="007F4FCC">
      <w:pPr>
        <w:spacing w:line="360" w:lineRule="auto"/>
        <w:ind w:firstLine="397"/>
        <w:jc w:val="center"/>
        <w:rPr>
          <w:sz w:val="28"/>
        </w:rPr>
      </w:pPr>
    </w:p>
    <w:p w:rsidR="007F4FCC" w:rsidRPr="0054373A" w:rsidRDefault="007F4FCC" w:rsidP="007F4FCC">
      <w:pPr>
        <w:pStyle w:val="1"/>
      </w:pPr>
      <w:r w:rsidRPr="0054373A">
        <w:t>СОДЕРЖАНИЕ</w:t>
      </w:r>
    </w:p>
    <w:p w:rsidR="007F4FCC" w:rsidRPr="00CD2497" w:rsidRDefault="007F4FCC" w:rsidP="007F4FCC">
      <w:pPr>
        <w:pStyle w:val="1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248860188" w:history="1">
        <w:r w:rsidRPr="00CD2497">
          <w:rPr>
            <w:rStyle w:val="a6"/>
            <w:noProof/>
            <w:sz w:val="28"/>
            <w:szCs w:val="28"/>
          </w:rPr>
          <w:t>ВВЕДЕНИЕ</w:t>
        </w:r>
        <w:r w:rsidRPr="00CD2497">
          <w:rPr>
            <w:noProof/>
            <w:webHidden/>
            <w:sz w:val="28"/>
            <w:szCs w:val="28"/>
          </w:rPr>
          <w:tab/>
        </w:r>
        <w:r w:rsidR="00806B22">
          <w:rPr>
            <w:noProof/>
            <w:webHidden/>
            <w:sz w:val="28"/>
            <w:szCs w:val="28"/>
          </w:rPr>
          <w:t>7</w:t>
        </w:r>
      </w:hyperlink>
    </w:p>
    <w:p w:rsidR="007F4FCC" w:rsidRPr="00CD2497" w:rsidRDefault="00317A89" w:rsidP="007F4FCC">
      <w:pPr>
        <w:pStyle w:val="1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48860189" w:history="1">
        <w:r w:rsidR="007F4FCC" w:rsidRPr="00CD2497">
          <w:rPr>
            <w:rStyle w:val="a6"/>
            <w:noProof/>
            <w:sz w:val="28"/>
            <w:szCs w:val="28"/>
          </w:rPr>
          <w:t>1. ПРИОБРЕТЕНИЕ</w:t>
        </w:r>
        <w:r w:rsidR="007F4FCC">
          <w:rPr>
            <w:rStyle w:val="a6"/>
            <w:noProof/>
            <w:sz w:val="28"/>
            <w:szCs w:val="28"/>
          </w:rPr>
          <w:t xml:space="preserve">, </w:t>
        </w:r>
        <w:r w:rsidR="007F4FCC" w:rsidRPr="007F4FCC">
          <w:rPr>
            <w:rStyle w:val="a6"/>
            <w:noProof/>
            <w:sz w:val="28"/>
            <w:szCs w:val="28"/>
          </w:rPr>
          <w:t>АМОРТИЗАЦИЯ</w:t>
        </w:r>
        <w:r w:rsidR="007F4FCC" w:rsidRPr="00CD2497">
          <w:rPr>
            <w:rStyle w:val="a6"/>
            <w:noProof/>
            <w:sz w:val="28"/>
            <w:szCs w:val="28"/>
          </w:rPr>
          <w:t xml:space="preserve"> АВТОТРАНСПОРТНЫХ СРЕДСТВ</w:t>
        </w:r>
        <w:r w:rsidR="007F4FCC">
          <w:rPr>
            <w:noProof/>
            <w:webHidden/>
            <w:sz w:val="28"/>
            <w:szCs w:val="28"/>
          </w:rPr>
          <w:t>………………………………………………………………………….</w:t>
        </w:r>
        <w:r w:rsidR="00806B22">
          <w:rPr>
            <w:noProof/>
            <w:webHidden/>
            <w:sz w:val="28"/>
            <w:szCs w:val="28"/>
          </w:rPr>
          <w:t>8</w:t>
        </w:r>
      </w:hyperlink>
    </w:p>
    <w:p w:rsidR="007F4FCC" w:rsidRPr="00CD2497" w:rsidRDefault="00317A89" w:rsidP="007F4FCC">
      <w:pPr>
        <w:pStyle w:val="1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48860191" w:history="1">
        <w:r w:rsidR="007F4FCC">
          <w:rPr>
            <w:rStyle w:val="a6"/>
            <w:noProof/>
            <w:sz w:val="28"/>
            <w:szCs w:val="28"/>
          </w:rPr>
          <w:t>2</w:t>
        </w:r>
        <w:r w:rsidR="007F4FCC" w:rsidRPr="00CD2497">
          <w:rPr>
            <w:rStyle w:val="a6"/>
            <w:noProof/>
            <w:sz w:val="28"/>
            <w:szCs w:val="28"/>
          </w:rPr>
          <w:t>. ОРГАНИЗАЦИЯ УЧЕТА РЕМОНТА АВТОТРАНСПОРТНЫХ СРЕДСТВ</w:t>
        </w:r>
        <w:r w:rsidR="007F4FCC" w:rsidRPr="00CD2497">
          <w:rPr>
            <w:noProof/>
            <w:webHidden/>
            <w:sz w:val="28"/>
            <w:szCs w:val="28"/>
          </w:rPr>
          <w:tab/>
        </w:r>
        <w:r w:rsidR="007F4FCC" w:rsidRPr="00CD2497">
          <w:rPr>
            <w:noProof/>
            <w:webHidden/>
            <w:sz w:val="28"/>
            <w:szCs w:val="28"/>
          </w:rPr>
          <w:fldChar w:fldCharType="begin"/>
        </w:r>
        <w:r w:rsidR="007F4FCC" w:rsidRPr="00CD2497">
          <w:rPr>
            <w:noProof/>
            <w:webHidden/>
            <w:sz w:val="28"/>
            <w:szCs w:val="28"/>
          </w:rPr>
          <w:instrText xml:space="preserve"> PAGEREF _Toc248860191 \h </w:instrText>
        </w:r>
        <w:r w:rsidR="007F4FCC" w:rsidRPr="00CD2497">
          <w:rPr>
            <w:noProof/>
            <w:webHidden/>
            <w:sz w:val="28"/>
            <w:szCs w:val="28"/>
          </w:rPr>
        </w:r>
        <w:r w:rsidR="007F4FCC" w:rsidRPr="00CD2497">
          <w:rPr>
            <w:noProof/>
            <w:webHidden/>
            <w:sz w:val="28"/>
            <w:szCs w:val="28"/>
          </w:rPr>
          <w:fldChar w:fldCharType="separate"/>
        </w:r>
        <w:r w:rsidR="00F84F29">
          <w:rPr>
            <w:noProof/>
            <w:webHidden/>
            <w:sz w:val="28"/>
            <w:szCs w:val="28"/>
          </w:rPr>
          <w:t>6</w:t>
        </w:r>
        <w:r w:rsidR="007F4FCC" w:rsidRPr="00CD2497">
          <w:rPr>
            <w:noProof/>
            <w:webHidden/>
            <w:sz w:val="28"/>
            <w:szCs w:val="28"/>
          </w:rPr>
          <w:fldChar w:fldCharType="end"/>
        </w:r>
      </w:hyperlink>
    </w:p>
    <w:p w:rsidR="007F4FCC" w:rsidRPr="00CD2497" w:rsidRDefault="00317A89" w:rsidP="007F4FCC">
      <w:pPr>
        <w:pStyle w:val="1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48860194" w:history="1">
        <w:r w:rsidR="007F4FCC">
          <w:rPr>
            <w:rStyle w:val="a6"/>
            <w:noProof/>
            <w:sz w:val="28"/>
            <w:szCs w:val="28"/>
          </w:rPr>
          <w:t>3</w:t>
        </w:r>
        <w:r w:rsidR="007F4FCC" w:rsidRPr="00CD2497">
          <w:rPr>
            <w:rStyle w:val="a6"/>
            <w:noProof/>
            <w:sz w:val="28"/>
            <w:szCs w:val="28"/>
          </w:rPr>
          <w:t>. ОРГАНИЗАЦИЯ УЧЕТА ГСМ</w:t>
        </w:r>
        <w:r w:rsidR="007F4FCC" w:rsidRPr="00CD2497">
          <w:rPr>
            <w:noProof/>
            <w:webHidden/>
            <w:sz w:val="28"/>
            <w:szCs w:val="28"/>
          </w:rPr>
          <w:tab/>
        </w:r>
        <w:r w:rsidR="007F4FCC">
          <w:rPr>
            <w:noProof/>
            <w:webHidden/>
            <w:sz w:val="28"/>
            <w:szCs w:val="28"/>
          </w:rPr>
          <w:t>1</w:t>
        </w:r>
        <w:r w:rsidR="00806B22">
          <w:rPr>
            <w:noProof/>
            <w:webHidden/>
            <w:sz w:val="28"/>
            <w:szCs w:val="28"/>
          </w:rPr>
          <w:t>4</w:t>
        </w:r>
      </w:hyperlink>
    </w:p>
    <w:p w:rsidR="007F4FCC" w:rsidRDefault="00317A89" w:rsidP="007F4FCC">
      <w:pPr>
        <w:pStyle w:val="13"/>
        <w:tabs>
          <w:tab w:val="right" w:leader="dot" w:pos="9345"/>
        </w:tabs>
        <w:spacing w:line="360" w:lineRule="auto"/>
        <w:rPr>
          <w:rStyle w:val="a6"/>
          <w:noProof/>
          <w:sz w:val="28"/>
          <w:szCs w:val="28"/>
          <w:lang w:val="en-US"/>
        </w:rPr>
      </w:pPr>
      <w:hyperlink w:anchor="_Toc248860195" w:history="1">
        <w:r w:rsidR="008C5F4B">
          <w:rPr>
            <w:rStyle w:val="a6"/>
            <w:noProof/>
            <w:sz w:val="28"/>
            <w:szCs w:val="28"/>
          </w:rPr>
          <w:t>4</w:t>
        </w:r>
        <w:r w:rsidR="007F4FCC" w:rsidRPr="00CD2497">
          <w:rPr>
            <w:rStyle w:val="a6"/>
            <w:noProof/>
            <w:sz w:val="28"/>
            <w:szCs w:val="28"/>
          </w:rPr>
          <w:t>. ОРГАНИЗАЦИЯ УЧЕТА АВТОМОБИЛЬНЫХ ШИН</w:t>
        </w:r>
        <w:r w:rsidR="007F4FCC" w:rsidRPr="00CD2497">
          <w:rPr>
            <w:noProof/>
            <w:webHidden/>
            <w:sz w:val="28"/>
            <w:szCs w:val="28"/>
          </w:rPr>
          <w:tab/>
        </w:r>
        <w:r w:rsidR="007F4FCC">
          <w:rPr>
            <w:noProof/>
            <w:webHidden/>
            <w:sz w:val="28"/>
            <w:szCs w:val="28"/>
          </w:rPr>
          <w:t>1</w:t>
        </w:r>
        <w:r w:rsidR="00806B22">
          <w:rPr>
            <w:noProof/>
            <w:webHidden/>
            <w:sz w:val="28"/>
            <w:szCs w:val="28"/>
          </w:rPr>
          <w:t>7</w:t>
        </w:r>
      </w:hyperlink>
    </w:p>
    <w:p w:rsidR="008C5F4B" w:rsidRPr="008C5F4B" w:rsidRDefault="008C5F4B" w:rsidP="008C5F4B">
      <w:pPr>
        <w:pStyle w:val="2125"/>
        <w:spacing w:line="360" w:lineRule="auto"/>
        <w:jc w:val="both"/>
      </w:pPr>
      <w:r>
        <w:t>5</w:t>
      </w:r>
      <w:r w:rsidRPr="0075238A">
        <w:t xml:space="preserve">. </w:t>
      </w:r>
      <w:r>
        <w:t>РАСХОДЫ НА СТРАХОВАНИЕ АВТОТРАНСПОРТА………………….19</w:t>
      </w:r>
    </w:p>
    <w:p w:rsidR="007F4FCC" w:rsidRPr="00CD2497" w:rsidRDefault="00317A89" w:rsidP="007F4FCC">
      <w:pPr>
        <w:pStyle w:val="1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48860197" w:history="1">
        <w:r w:rsidR="007F4FCC" w:rsidRPr="00CD2497">
          <w:rPr>
            <w:rStyle w:val="a6"/>
            <w:noProof/>
            <w:sz w:val="28"/>
            <w:szCs w:val="28"/>
          </w:rPr>
          <w:t>ЗАКЛЮЧЕНИЕ</w:t>
        </w:r>
        <w:r w:rsidR="007F4FCC" w:rsidRPr="00CD2497">
          <w:rPr>
            <w:noProof/>
            <w:webHidden/>
            <w:sz w:val="28"/>
            <w:szCs w:val="28"/>
          </w:rPr>
          <w:tab/>
        </w:r>
        <w:r w:rsidR="007F4FCC">
          <w:rPr>
            <w:noProof/>
            <w:webHidden/>
            <w:sz w:val="28"/>
            <w:szCs w:val="28"/>
          </w:rPr>
          <w:t>2</w:t>
        </w:r>
        <w:r w:rsidR="00806B22">
          <w:rPr>
            <w:noProof/>
            <w:webHidden/>
            <w:sz w:val="28"/>
            <w:szCs w:val="28"/>
          </w:rPr>
          <w:t>2</w:t>
        </w:r>
      </w:hyperlink>
    </w:p>
    <w:p w:rsidR="007F4FCC" w:rsidRDefault="00317A89" w:rsidP="007F4FCC">
      <w:pPr>
        <w:pStyle w:val="13"/>
        <w:tabs>
          <w:tab w:val="right" w:leader="dot" w:pos="9345"/>
        </w:tabs>
        <w:spacing w:line="360" w:lineRule="auto"/>
        <w:rPr>
          <w:noProof/>
        </w:rPr>
      </w:pPr>
      <w:hyperlink w:anchor="_Toc248860198" w:history="1">
        <w:r w:rsidR="007F4FCC" w:rsidRPr="00CD2497">
          <w:rPr>
            <w:rStyle w:val="a6"/>
            <w:noProof/>
            <w:sz w:val="28"/>
            <w:szCs w:val="28"/>
          </w:rPr>
          <w:t>СПИСОК ИСПОЛЬЗОВАННОЙ ЛИТЕРАТУРЫ</w:t>
        </w:r>
        <w:r w:rsidR="007F4FCC" w:rsidRPr="00CD2497">
          <w:rPr>
            <w:noProof/>
            <w:webHidden/>
            <w:sz w:val="28"/>
            <w:szCs w:val="28"/>
          </w:rPr>
          <w:tab/>
        </w:r>
        <w:r w:rsidR="007F4FCC">
          <w:rPr>
            <w:noProof/>
            <w:webHidden/>
            <w:sz w:val="28"/>
            <w:szCs w:val="28"/>
          </w:rPr>
          <w:t>2</w:t>
        </w:r>
        <w:r w:rsidR="00806B22">
          <w:rPr>
            <w:noProof/>
            <w:webHidden/>
            <w:sz w:val="28"/>
            <w:szCs w:val="28"/>
          </w:rPr>
          <w:t>3</w:t>
        </w:r>
      </w:hyperlink>
    </w:p>
    <w:p w:rsidR="00A10354" w:rsidRDefault="007F4FCC" w:rsidP="007F4FCC">
      <w:pPr>
        <w:pStyle w:val="1"/>
      </w:pPr>
      <w:r>
        <w:fldChar w:fldCharType="end"/>
      </w:r>
    </w:p>
    <w:p w:rsidR="00A10354" w:rsidRDefault="00A10354" w:rsidP="007F4FCC">
      <w:pPr>
        <w:pStyle w:val="1"/>
      </w:pPr>
    </w:p>
    <w:p w:rsidR="00A10354" w:rsidRDefault="00A10354" w:rsidP="007F4FCC">
      <w:pPr>
        <w:pStyle w:val="1"/>
      </w:pPr>
    </w:p>
    <w:p w:rsidR="0054373A" w:rsidRDefault="0054373A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>
      <w:pPr>
        <w:rPr>
          <w:kern w:val="32"/>
          <w:sz w:val="28"/>
          <w:szCs w:val="28"/>
        </w:rPr>
      </w:pPr>
    </w:p>
    <w:p w:rsidR="00CD2497" w:rsidRDefault="00CD2497" w:rsidP="0054373A"/>
    <w:p w:rsidR="0054373A" w:rsidRDefault="0054373A" w:rsidP="0054373A"/>
    <w:p w:rsidR="0054373A" w:rsidRDefault="0054373A" w:rsidP="0054373A"/>
    <w:p w:rsidR="00D92DDE" w:rsidRDefault="00D92DDE" w:rsidP="007F4FCC">
      <w:pPr>
        <w:pStyle w:val="1"/>
      </w:pPr>
      <w:bookmarkStart w:id="1" w:name="_Toc248860188"/>
    </w:p>
    <w:p w:rsidR="00D92DDE" w:rsidRDefault="00D92DDE" w:rsidP="00D92DDE"/>
    <w:p w:rsidR="007F4FCC" w:rsidRDefault="007F4FCC" w:rsidP="00D92DDE"/>
    <w:p w:rsidR="007F4FCC" w:rsidRDefault="007F4FCC" w:rsidP="00D92DDE"/>
    <w:p w:rsidR="007F4FCC" w:rsidRDefault="007F4FCC" w:rsidP="00D92DDE"/>
    <w:p w:rsidR="007F4FCC" w:rsidRPr="00D92DDE" w:rsidRDefault="007F4FCC" w:rsidP="00D92DDE"/>
    <w:p w:rsidR="0054373A" w:rsidRDefault="0054373A" w:rsidP="007F4FCC">
      <w:pPr>
        <w:pStyle w:val="1"/>
      </w:pPr>
      <w:r>
        <w:t>ВВЕДЕНИЕ</w:t>
      </w:r>
      <w:bookmarkEnd w:id="1"/>
    </w:p>
    <w:p w:rsidR="0054373A" w:rsidRDefault="0054373A" w:rsidP="00CD2497">
      <w:pPr>
        <w:pStyle w:val="2125"/>
        <w:spacing w:line="360" w:lineRule="auto"/>
        <w:ind w:firstLine="708"/>
        <w:jc w:val="both"/>
      </w:pPr>
      <w:r>
        <w:t xml:space="preserve">Деятельность любого хозяйствующего субъекта невозможна без использования автомобильного транспорта, вне зависимости от того, </w:t>
      </w:r>
      <w:r w:rsidR="00023CB1">
        <w:t>располагает</w:t>
      </w:r>
      <w:r>
        <w:t xml:space="preserve"> субъект</w:t>
      </w:r>
      <w:r w:rsidR="00023CB1">
        <w:t xml:space="preserve"> значительным парком автотранспортных средств или нет.</w:t>
      </w:r>
    </w:p>
    <w:p w:rsidR="00023CB1" w:rsidRDefault="00023CB1" w:rsidP="00CD2497">
      <w:pPr>
        <w:pStyle w:val="2125"/>
        <w:spacing w:line="360" w:lineRule="auto"/>
        <w:ind w:firstLine="708"/>
        <w:jc w:val="both"/>
      </w:pPr>
      <w:r>
        <w:t>Использование автотранспортных средств предполагается в разных сферах обслуживания населения и производства. Увеличение потребности населения в использовании автомобилей привело к расширению сети специализированных организаций, оказывающих услуги по подготовке и переподготовке водителей автотранспортных средств. Также в последнее время растет популярность услуг по перевозке пассажиров на маршрутных такси.</w:t>
      </w:r>
    </w:p>
    <w:p w:rsidR="00023CB1" w:rsidRPr="0054373A" w:rsidRDefault="00023CB1" w:rsidP="00CD2497">
      <w:pPr>
        <w:pStyle w:val="2125"/>
        <w:spacing w:line="360" w:lineRule="auto"/>
        <w:ind w:firstLine="708"/>
        <w:jc w:val="both"/>
      </w:pPr>
      <w:r>
        <w:t xml:space="preserve">Эти виды деятельности обладают рядом особенностей, оказывающих влияние на порядок доходов и расходов, как в бухгалтерском, так и в налогом учете. В </w:t>
      </w:r>
      <w:r w:rsidR="00D04DC8">
        <w:t>данной работе будет рассмотрена</w:t>
      </w:r>
      <w:r>
        <w:t xml:space="preserve"> организаци</w:t>
      </w:r>
      <w:r w:rsidR="00D04DC8">
        <w:t>я</w:t>
      </w:r>
      <w:r>
        <w:t xml:space="preserve"> учета затрат на автотранспортном предприятии.</w:t>
      </w:r>
    </w:p>
    <w:p w:rsidR="0054373A" w:rsidRDefault="0054373A" w:rsidP="00CD2497">
      <w:pPr>
        <w:pStyle w:val="2125"/>
        <w:spacing w:line="360" w:lineRule="auto"/>
        <w:ind w:firstLine="708"/>
        <w:jc w:val="both"/>
      </w:pPr>
    </w:p>
    <w:p w:rsidR="0054373A" w:rsidRDefault="0054373A" w:rsidP="00CD2497">
      <w:pPr>
        <w:pStyle w:val="2125"/>
        <w:spacing w:line="360" w:lineRule="auto"/>
        <w:ind w:firstLine="708"/>
        <w:jc w:val="both"/>
      </w:pPr>
    </w:p>
    <w:p w:rsidR="0054373A" w:rsidRDefault="0054373A" w:rsidP="00CD2497">
      <w:pPr>
        <w:pStyle w:val="2125"/>
        <w:spacing w:line="360" w:lineRule="auto"/>
        <w:ind w:firstLine="708"/>
        <w:jc w:val="both"/>
      </w:pPr>
    </w:p>
    <w:p w:rsidR="0054373A" w:rsidRDefault="0054373A" w:rsidP="00CD2497">
      <w:pPr>
        <w:pStyle w:val="2125"/>
        <w:spacing w:line="360" w:lineRule="auto"/>
        <w:ind w:firstLine="708"/>
        <w:jc w:val="both"/>
      </w:pPr>
    </w:p>
    <w:p w:rsidR="0054373A" w:rsidRDefault="0054373A" w:rsidP="00CD2497">
      <w:pPr>
        <w:pStyle w:val="2125"/>
        <w:spacing w:line="360" w:lineRule="auto"/>
        <w:ind w:firstLine="708"/>
        <w:jc w:val="both"/>
      </w:pPr>
    </w:p>
    <w:p w:rsidR="0054373A" w:rsidRDefault="0054373A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023CB1" w:rsidRDefault="00023CB1" w:rsidP="0054373A"/>
    <w:p w:rsidR="0054373A" w:rsidRDefault="0054373A" w:rsidP="0054373A"/>
    <w:p w:rsidR="0054373A" w:rsidRPr="0054373A" w:rsidRDefault="0054373A" w:rsidP="0054373A"/>
    <w:p w:rsidR="0075238A" w:rsidRDefault="0054373A" w:rsidP="007F4FCC">
      <w:pPr>
        <w:pStyle w:val="1"/>
      </w:pPr>
      <w:bookmarkStart w:id="2" w:name="_Toc248860189"/>
      <w:r>
        <w:t>1. ПРИОБРЕТЕНИЕ</w:t>
      </w:r>
      <w:r w:rsidR="00D92DDE">
        <w:t xml:space="preserve">, АМОРТИЗАЦИЯ </w:t>
      </w:r>
      <w:r>
        <w:t>АВТОТРАНСПОРТНЫХ СРЕДСТВ</w:t>
      </w:r>
      <w:bookmarkEnd w:id="2"/>
      <w:r w:rsidR="0075238A" w:rsidRPr="0075238A">
        <w:t xml:space="preserve"> 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При приобретении автотранспортного средства по договору купли-продажи необходимо получить от продавца счет-фактуру и накладную, подтверждающую количество, стоимость и факт передачи приобретенного транспортного средства</w:t>
      </w:r>
      <w:r>
        <w:t xml:space="preserve"> от поставщика. </w:t>
      </w:r>
      <w:r w:rsidRPr="0075238A">
        <w:t>Объекты основных средств принимаются к бухгалтерскому учету на основании Акта о приеме-передаче объекта основных средств (кроме зданий, сооружений) (унифицированная форма N ОС-1, утвержденная постановлением Госкомстата России от 21.01.2003 N 7), утвержденного руководителем организации. На основании этого документа бухгалтерия организации открывает на автотранспортное средство инвентарную карточку (у</w:t>
      </w:r>
      <w:r>
        <w:t xml:space="preserve">нифицированная форма N ОС-6). </w:t>
      </w:r>
      <w:r w:rsidRPr="0075238A">
        <w:t>В соответствии с ПБУ 6/01, транспортные средства относятся к основным средствам</w:t>
      </w:r>
      <w:r>
        <w:t xml:space="preserve">. </w:t>
      </w:r>
      <w:r w:rsidRPr="0075238A">
        <w:t>Для целей бухгалтерского учета основные средства учитываются по первоначальной стоимости, которой признается сумма фактических затрат организации на их приобретение, за исключением НДС и иных возмещаемых налогов (кроме случаев, предусмотренных законодател</w:t>
      </w:r>
      <w:r w:rsidR="006C3F8E">
        <w:t>ьством Российской Федерации), и</w:t>
      </w:r>
      <w:r w:rsidR="006C3F8E" w:rsidRPr="006C3F8E">
        <w:t xml:space="preserve"> </w:t>
      </w:r>
      <w:r w:rsidR="006C3F8E">
        <w:t>о</w:t>
      </w:r>
      <w:r w:rsidR="006C3F8E" w:rsidRPr="0075238A">
        <w:t>тражаются по дебету счета учета капитальных вложений</w:t>
      </w:r>
      <w:r w:rsidR="006C3F8E">
        <w:t xml:space="preserve"> </w:t>
      </w:r>
      <w:r w:rsidR="006C3F8E" w:rsidRPr="0075238A">
        <w:t>в корреспонденции со счетами учета</w:t>
      </w:r>
      <w:r w:rsidR="006C3F8E">
        <w:t xml:space="preserve"> расчетов: Д-т08</w:t>
      </w:r>
      <w:r w:rsidR="006C3F8E" w:rsidRPr="0075238A">
        <w:t>"Вложе</w:t>
      </w:r>
      <w:r w:rsidR="006C3F8E">
        <w:t>ния во внеоборотные активы" К-т60</w:t>
      </w:r>
      <w:r w:rsidR="006C3F8E" w:rsidRPr="0075238A">
        <w:t>"Расчеты с поставщиками и подрядчиками"</w:t>
      </w:r>
      <w:r w:rsidR="008E012D">
        <w:t>.</w:t>
      </w:r>
      <w:r w:rsidR="006C3F8E">
        <w:t xml:space="preserve"> </w:t>
      </w:r>
      <w:r w:rsidR="008E012D">
        <w:t>Сумма НДС отражается отдельной записью Д-т19</w:t>
      </w:r>
      <w:r w:rsidR="008E012D" w:rsidRPr="0075238A">
        <w:t>"</w:t>
      </w:r>
      <w:r w:rsidR="008E012D">
        <w:t xml:space="preserve">НДС по приобретенным ценностям" К-т60. </w:t>
      </w:r>
      <w:r w:rsidR="006C3F8E">
        <w:t>В</w:t>
      </w:r>
      <w:r w:rsidR="006C3F8E" w:rsidRPr="006C3F8E">
        <w:t xml:space="preserve"> </w:t>
      </w:r>
      <w:r w:rsidRPr="0075238A">
        <w:t>первоначальную стоимость приобретенного автотранспортного средства включается стоимость автомобильных шин, находящихся на колесах и в запасе при автотранспортном средстве</w:t>
      </w:r>
      <w:r>
        <w:t xml:space="preserve">. </w:t>
      </w:r>
      <w:r w:rsidRPr="0075238A">
        <w:t>Фактическими затратами на приобретение автотранспортного средства является сумма, уплачиваемая в соответствии с договором, заключенным с поставщиком, а также регистрационный сбор, государственные пошлины и другие платежи, произведенные в связи с регистрацией автомобиля в порядке, установленном законодате</w:t>
      </w:r>
      <w:r>
        <w:t xml:space="preserve">льством Российской Федерации. 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Кроме того, в первоначальную стоимость автотранспортных средств включаются затраты организации по их приведению в пригодн</w:t>
      </w:r>
      <w:r w:rsidR="00D42DEF">
        <w:t xml:space="preserve">ое для использования состояние. </w:t>
      </w:r>
      <w:r w:rsidRPr="0075238A">
        <w:t>Это могут быть расходы, связанные с установкой дополнительного оборудования, автосигнализации, проведением ан</w:t>
      </w:r>
      <w:r>
        <w:t>тикоррозийной обработки и др</w:t>
      </w:r>
      <w:r w:rsidR="006C3F8E">
        <w:t>.</w:t>
      </w:r>
      <w:r w:rsidRPr="0075238A">
        <w:t xml:space="preserve">ПБУ 6/01 фактические затраты на приобретение основных средств определяются (уменьшаются или увеличиваются) с учетом суммовых разниц, возникающих в случаях, если оплата производится в рублях в сумме, эквивалентной сумме в иностранной валюте (в условных </w:t>
      </w:r>
      <w:r>
        <w:t xml:space="preserve">денежных единицах). </w:t>
      </w:r>
      <w:r w:rsidRPr="0075238A">
        <w:t>Принятие объектов основных средств к бухгалтерскому учету в соответствии с п. 38 Методических указаний по бухгалтерскому учету основных средств, утвержденных приказом Минфина России от 13.10.2003 N 91н, осуществляется на основании утвержденного руководителем организации акта (накладной) приемки-передачи основных средств, который составляется на каждый отдельный инвентарный объект, и иных документов, в частности подтверждающих их государственную регистрацию в установленных законодательством случаях. Таким образом, до тех пор пока автомобиль не прошел государственную регистрацию в ГИБДД, он числится в бухгалтерском учете организации на счете 08 "Вложе</w:t>
      </w:r>
      <w:r w:rsidR="004818E9">
        <w:t xml:space="preserve">ния во внеоборотные активы". </w:t>
      </w:r>
    </w:p>
    <w:p w:rsidR="0030185B" w:rsidRDefault="0075238A" w:rsidP="00CD2497">
      <w:pPr>
        <w:pStyle w:val="2125"/>
        <w:spacing w:line="360" w:lineRule="auto"/>
        <w:ind w:firstLine="708"/>
        <w:jc w:val="both"/>
      </w:pPr>
      <w:r w:rsidRPr="0030185B">
        <w:t xml:space="preserve">При принятии объекта основных средств к бухгалтерскому учету фактические затраты, учтенные на счете учета капитальных вложений, относятся в дебет счета учета основных средств </w:t>
      </w:r>
      <w:r w:rsidR="0030185B">
        <w:t>Д-т</w:t>
      </w:r>
      <w:r w:rsidRPr="0075238A">
        <w:t xml:space="preserve">01 "Основные </w:t>
      </w:r>
      <w:r w:rsidR="0030185B">
        <w:t>средства"; К-т</w:t>
      </w:r>
      <w:r w:rsidRPr="0075238A">
        <w:t>08 - отражена передача автотранспортных средств</w:t>
      </w:r>
      <w:r w:rsidR="0030185B">
        <w:t xml:space="preserve"> в эксплуатацию.</w:t>
      </w:r>
    </w:p>
    <w:p w:rsidR="00A50DF1" w:rsidRPr="00A50DF1" w:rsidRDefault="0075238A" w:rsidP="00D04DC8">
      <w:pPr>
        <w:pStyle w:val="2125"/>
        <w:spacing w:line="360" w:lineRule="auto"/>
        <w:ind w:firstLine="708"/>
        <w:jc w:val="both"/>
      </w:pPr>
      <w:r w:rsidRPr="0075238A">
        <w:t xml:space="preserve">В соответствии со ст. 223 Гражданского кодекса Российской Федерации (ГК РФ) принятие к учету приобретаемого транспортного средства должно осуществляться на момент </w:t>
      </w:r>
      <w:r>
        <w:t xml:space="preserve">перехода права собственности. </w:t>
      </w:r>
      <w:r>
        <w:br/>
      </w:r>
      <w:r w:rsidR="00D04DC8">
        <w:t xml:space="preserve">          </w:t>
      </w:r>
      <w:r w:rsidRPr="00A50DF1">
        <w:t>В бухгалтерском учете амортизация автотранспортных средств начисляется в общеустановленном порядке в соответствии с требованиями ПБУ 6/01. При принятии автотранспортного средства к бухгалтерскому учету определяется срок его полезного использования и способ начисления амортизации. Для установления срока полезного использования автотранспортного средства, приобретенного после 1 января 2002 года, может использоваться Классификация основных средств, включаемых в амортизационные группы</w:t>
      </w:r>
      <w:r w:rsidR="000E4782">
        <w:t xml:space="preserve">. </w:t>
      </w:r>
      <w:r w:rsidRPr="00A50DF1">
        <w:t xml:space="preserve">Срок полезного использования, установленный в момент принятия автотранспортного средства к учету, в общем случае изменению не подлежит. </w:t>
      </w:r>
      <w:r w:rsidR="000E4782">
        <w:t>С</w:t>
      </w:r>
      <w:r w:rsidRPr="00A50DF1">
        <w:t xml:space="preserve">рок полезного использования может быть пересмотрен (увеличен) по окончании реконструкции или модернизации автотранспортного средства, если в результате проведенных работ выявлено улучшение первоначально принятых нормативных показателей его </w:t>
      </w:r>
      <w:r w:rsidR="00A50DF1">
        <w:t xml:space="preserve">функционирования. </w:t>
      </w:r>
      <w:r w:rsidRPr="00A50DF1">
        <w:t>Для целей бухгалтерского учета амортизация автотранспортного средства может начислять</w:t>
      </w:r>
      <w:r w:rsidR="00A50DF1" w:rsidRPr="00A50DF1">
        <w:t>ся одним из четырех способов:</w:t>
      </w:r>
    </w:p>
    <w:p w:rsidR="00A50DF1" w:rsidRDefault="0075238A" w:rsidP="00887072">
      <w:pPr>
        <w:pStyle w:val="2125"/>
        <w:numPr>
          <w:ilvl w:val="0"/>
          <w:numId w:val="14"/>
        </w:numPr>
        <w:spacing w:line="360" w:lineRule="auto"/>
        <w:jc w:val="both"/>
      </w:pPr>
      <w:r>
        <w:t>линейным;</w:t>
      </w:r>
    </w:p>
    <w:p w:rsidR="00A50DF1" w:rsidRDefault="0075238A" w:rsidP="00CD2497">
      <w:pPr>
        <w:pStyle w:val="2125"/>
        <w:numPr>
          <w:ilvl w:val="0"/>
          <w:numId w:val="14"/>
        </w:numPr>
        <w:spacing w:line="360" w:lineRule="auto"/>
        <w:jc w:val="both"/>
      </w:pPr>
      <w:r w:rsidRPr="0075238A">
        <w:t>способом уменьшаемог</w:t>
      </w:r>
      <w:r>
        <w:t>о остатка;</w:t>
      </w:r>
    </w:p>
    <w:p w:rsidR="00A50DF1" w:rsidRDefault="0075238A" w:rsidP="00CD2497">
      <w:pPr>
        <w:pStyle w:val="2125"/>
        <w:numPr>
          <w:ilvl w:val="0"/>
          <w:numId w:val="14"/>
        </w:numPr>
        <w:spacing w:line="360" w:lineRule="auto"/>
        <w:jc w:val="both"/>
      </w:pPr>
      <w:r w:rsidRPr="0075238A">
        <w:t xml:space="preserve">способом списания стоимости по сумме чисел лет срока полезного </w:t>
      </w:r>
      <w:r>
        <w:t>использования;</w:t>
      </w:r>
    </w:p>
    <w:p w:rsidR="00A50DF1" w:rsidRDefault="0075238A" w:rsidP="00CD2497">
      <w:pPr>
        <w:pStyle w:val="2125"/>
        <w:numPr>
          <w:ilvl w:val="0"/>
          <w:numId w:val="14"/>
        </w:numPr>
        <w:spacing w:line="360" w:lineRule="auto"/>
        <w:jc w:val="both"/>
      </w:pPr>
      <w:r w:rsidRPr="0075238A">
        <w:t>способом списания стоимости пропорцион</w:t>
      </w:r>
      <w:r>
        <w:t>ально объему продукции (работ).</w:t>
      </w:r>
    </w:p>
    <w:p w:rsidR="00A50DF1" w:rsidRDefault="0075238A" w:rsidP="00CD2497">
      <w:pPr>
        <w:pStyle w:val="2125"/>
        <w:spacing w:line="360" w:lineRule="auto"/>
        <w:ind w:firstLine="708"/>
        <w:jc w:val="both"/>
      </w:pPr>
      <w:r w:rsidRPr="00A50DF1">
        <w:t>Никаких ограничений по выбору того или иного способа начисления</w:t>
      </w:r>
      <w:r w:rsidRPr="0075238A">
        <w:t xml:space="preserve"> амортизации бухгалтерским зак</w:t>
      </w:r>
      <w:r>
        <w:t xml:space="preserve">онодательством не установлено. </w:t>
      </w:r>
      <w:r w:rsidR="000E4782">
        <w:t>П</w:t>
      </w:r>
      <w:r w:rsidRPr="0075238A">
        <w:t>о группе однородных объектов амортизация дол</w:t>
      </w:r>
      <w:r>
        <w:t xml:space="preserve">жна начисляться одним способом. </w:t>
      </w:r>
      <w:r w:rsidRPr="0075238A">
        <w:t>Это значит, что если в организации есть два легковых автомобиля, то амортизироваться они должны одним способом</w:t>
      </w:r>
      <w:r w:rsidR="000E4782">
        <w:t>.</w:t>
      </w:r>
      <w:r>
        <w:t xml:space="preserve"> </w:t>
      </w:r>
      <w:r w:rsidRPr="0075238A">
        <w:t>Если организация приобрела не новое автотранспортное средство, то она может определять норму амортизации с учетом срока полезного использования, уменьшенного на количество месяцев эксплуатации объекта предыдущими собств</w:t>
      </w:r>
      <w:r>
        <w:t xml:space="preserve">енниками </w:t>
      </w:r>
      <w:r w:rsidRPr="0075238A">
        <w:t>Иными словами, амортизационные отчисления могут рассчитываться исходя из оставшегося срока служ</w:t>
      </w:r>
      <w:r>
        <w:t xml:space="preserve">бы автотранспортного средства. </w:t>
      </w:r>
      <w:r w:rsidRPr="0075238A">
        <w:t>Если срок фактического использования у предыдущих собственников окажется равным или превышающим срок полезного использования, определяемый согласно Классификации, организация вправе самостоятельно определить срок полезного использования автотранспортного средства с учетом требований техники б</w:t>
      </w:r>
      <w:r w:rsidR="00A50DF1">
        <w:t>езопасности и других факторов.</w:t>
      </w:r>
    </w:p>
    <w:p w:rsidR="00D42DEF" w:rsidRDefault="0075238A" w:rsidP="00CD2497">
      <w:pPr>
        <w:pStyle w:val="2125"/>
        <w:spacing w:line="360" w:lineRule="auto"/>
        <w:ind w:firstLine="708"/>
        <w:jc w:val="both"/>
        <w:rPr>
          <w:szCs w:val="28"/>
        </w:rPr>
      </w:pPr>
      <w:r w:rsidRPr="0075238A">
        <w:t>Начиная с месяца, следующего за месяцем ввода автомобиля в эксплуатацию, и до полного списания его стоимости или выбытия бухгалтер б</w:t>
      </w:r>
      <w:r w:rsidR="00A50DF1">
        <w:t>удет делать следующую проводку:</w:t>
      </w:r>
    </w:p>
    <w:p w:rsidR="00A50DF1" w:rsidRPr="00D42DEF" w:rsidRDefault="00A50DF1" w:rsidP="00CD2497">
      <w:pPr>
        <w:pStyle w:val="2125"/>
        <w:spacing w:line="360" w:lineRule="auto"/>
        <w:ind w:firstLine="708"/>
        <w:jc w:val="both"/>
        <w:rPr>
          <w:szCs w:val="28"/>
        </w:rPr>
      </w:pPr>
      <w:r>
        <w:t>Д-т20"Основное производство" К-т02</w:t>
      </w:r>
      <w:r w:rsidR="0075238A" w:rsidRPr="0075238A">
        <w:t xml:space="preserve">"Амортизация основных средств" - начислена амортизация по </w:t>
      </w:r>
      <w:r>
        <w:t>автомобилю за текущий месяц.</w:t>
      </w:r>
    </w:p>
    <w:p w:rsidR="00A50DF1" w:rsidRDefault="0075238A" w:rsidP="00CD2497">
      <w:pPr>
        <w:pStyle w:val="2125"/>
        <w:spacing w:line="360" w:lineRule="auto"/>
        <w:ind w:firstLine="708"/>
        <w:jc w:val="both"/>
      </w:pPr>
      <w:r w:rsidRPr="0075238A">
        <w:t>Налоговое законодательство, так же как и бухгалтерское, предусматривает возможность увеличения срока полезного использования объекта основных средств, введенного в эксплуатацию, если после реконструкции, модернизации или технического перевооружения произошло увеличение срока по</w:t>
      </w:r>
      <w:r>
        <w:t xml:space="preserve">лезного использования объекта. </w:t>
      </w:r>
      <w:r w:rsidRPr="0075238A">
        <w:t>Для целей налогообложения срок полезного использования объекта можно увеличить только в пределах, установленных для той амортизационной группы, в которую включен</w:t>
      </w:r>
      <w:r>
        <w:t xml:space="preserve"> этот объект основных средств. </w:t>
      </w:r>
      <w:r w:rsidRPr="0075238A">
        <w:t>Несовпадение правил налогового и бухгалтерского учета основных средств становится причиной расхождения данных бухгалтерско</w:t>
      </w:r>
      <w:r>
        <w:t xml:space="preserve">го и налогового учета. </w:t>
      </w:r>
      <w:r w:rsidRPr="0075238A">
        <w:t>Это, в свою очередь, требует от организации отражения в бухгалтерской отчетности суммы постоянных и временных разниц в соответствии с требованиями ПБУ 18</w:t>
      </w:r>
      <w:r w:rsidR="00A50DF1">
        <w:t>/02.</w:t>
      </w:r>
    </w:p>
    <w:p w:rsidR="00A50DF1" w:rsidRPr="00A50DF1" w:rsidRDefault="00D04DC8" w:rsidP="007F4FCC">
      <w:pPr>
        <w:pStyle w:val="1"/>
      </w:pPr>
      <w:bookmarkStart w:id="3" w:name="_Toc248860191"/>
      <w:r>
        <w:t>2</w:t>
      </w:r>
      <w:r w:rsidR="00A50DF1">
        <w:t xml:space="preserve">. </w:t>
      </w:r>
      <w:r w:rsidR="0054373A">
        <w:t>ОРГАНИЗАЦИЯ</w:t>
      </w:r>
      <w:r w:rsidR="00A50DF1">
        <w:t xml:space="preserve"> </w:t>
      </w:r>
      <w:r w:rsidR="0054373A">
        <w:t>УЧЕТА</w:t>
      </w:r>
      <w:r w:rsidR="00A50DF1">
        <w:t xml:space="preserve"> </w:t>
      </w:r>
      <w:r w:rsidR="0054373A">
        <w:t>РЕМОНТА</w:t>
      </w:r>
      <w:r w:rsidR="00A50DF1">
        <w:t xml:space="preserve"> </w:t>
      </w:r>
      <w:r w:rsidR="0054373A">
        <w:t>АВТОТРАНСПОРТНЫХ</w:t>
      </w:r>
      <w:r w:rsidR="00A50DF1">
        <w:t xml:space="preserve"> </w:t>
      </w:r>
      <w:r w:rsidR="0054373A">
        <w:t>СРЕДСТВ</w:t>
      </w:r>
      <w:bookmarkEnd w:id="3"/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Восстановление свойств основных средств производится посредством ремонта (текущего и капитального), а также посредством р</w:t>
      </w:r>
      <w:r>
        <w:t xml:space="preserve">еконструкции или модернизации. </w:t>
      </w:r>
      <w:r w:rsidRPr="0075238A">
        <w:t>В соответствии с действующим законодательством капитальным ремонтом автотранспортных средств считается такой вид ремонта, при котором производится разборка тех или иных агрегатов, ремонт базовых и корпусных деталей и узлов, замена или восстановление всех изношенных деталей и узлов на новые, сборка, регулировка и испытание агрегатов.</w:t>
      </w:r>
      <w:r>
        <w:t xml:space="preserve"> </w:t>
      </w:r>
      <w:r w:rsidRPr="0075238A">
        <w:t>Отметим, что при текущем ремонте не происходит улучшения техниче</w:t>
      </w:r>
      <w:r w:rsidR="00D42DEF">
        <w:t>ских характеристик автомобиля.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Затраты на восстановление объектов основных средств отражаются в бухгалтерском учете отчетного пери</w:t>
      </w:r>
      <w:r>
        <w:t xml:space="preserve">ода, к которому они относятся. </w:t>
      </w:r>
      <w:r w:rsidRPr="0075238A">
        <w:t>В бухгалтерском и налоговом учете организации расходы на ремонт автотранспортных средств, являющихся основными средствами, отражаются в общеустановленном порядке по статье "Расход</w:t>
      </w:r>
      <w:r>
        <w:t xml:space="preserve">ы на ремонт основных средств". </w:t>
      </w:r>
      <w:r w:rsidRPr="0075238A">
        <w:t>Запасные части, приобретаемые организацией для ремонта автотранспортных средств, учитываются на счете 10 "Материалы", субсчет "Запасные части". На этом же субсчете учитываются автомоби</w:t>
      </w:r>
      <w:r>
        <w:t xml:space="preserve">льные шины в запасе и обороте. </w:t>
      </w:r>
      <w:r w:rsidRPr="0075238A">
        <w:t>Автомобильные шины, находящиеся на колесах и в запасе при транспортном средстве, включаемые в его первоначальную стоимость, учитываются в соста</w:t>
      </w:r>
      <w:r w:rsidR="000E4782">
        <w:t xml:space="preserve">ве основных средств. </w:t>
      </w:r>
      <w:r w:rsidRPr="0075238A">
        <w:t xml:space="preserve">В бухгалтерском учете расходы на ремонт автотранспортных средств являются расходами по обычным </w:t>
      </w:r>
      <w:r w:rsidR="00D42DEF">
        <w:t xml:space="preserve">видам деятельности. </w:t>
      </w:r>
      <w:r w:rsidRPr="0075238A">
        <w:t xml:space="preserve">При этом нормативные документы, регулирующие порядок бухгалтерского учета основных средств, позволяют организациям выбирать один из </w:t>
      </w:r>
      <w:r w:rsidR="0080604A">
        <w:t>2</w:t>
      </w:r>
      <w:r w:rsidRPr="0075238A">
        <w:t xml:space="preserve"> возможных вариантов учета расход</w:t>
      </w:r>
      <w:r w:rsidR="00D42DEF">
        <w:t>ов на ремонт основных средств:</w:t>
      </w:r>
    </w:p>
    <w:p w:rsidR="0075238A" w:rsidRDefault="0075238A" w:rsidP="00CD2497">
      <w:pPr>
        <w:pStyle w:val="2125"/>
        <w:spacing w:line="360" w:lineRule="auto"/>
        <w:ind w:firstLine="708"/>
        <w:jc w:val="both"/>
      </w:pPr>
      <w:r w:rsidRPr="0075238A">
        <w:t>1) сумму фактических затрат на ремонт можно в полном объеме относить в состав текущих расходов (как правило, расходов по обычным видам деятельности) того периода, в котором они были произведены;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2) организация может создавать резерв на провед</w:t>
      </w:r>
      <w:r w:rsidR="00D42DEF">
        <w:t>ение ремонта основных средств;</w:t>
      </w:r>
    </w:p>
    <w:p w:rsidR="00D42DEF" w:rsidRDefault="0075238A" w:rsidP="0080604A">
      <w:pPr>
        <w:pStyle w:val="2125"/>
        <w:spacing w:line="360" w:lineRule="auto"/>
        <w:ind w:firstLine="708"/>
        <w:jc w:val="both"/>
      </w:pPr>
      <w:r w:rsidRPr="0075238A">
        <w:t>Организация может выбрать для целей бухгалтерского учета любой из вышеприведенных способов учета расходов на ремонт основных средств исходя из специфики своей деятельности, структуры и количества объектов основных средств, пер</w:t>
      </w:r>
      <w:r>
        <w:t xml:space="preserve">иодичности проведения ремонта. </w:t>
      </w:r>
      <w:r w:rsidRPr="0075238A">
        <w:t>Выбранный способ учета расходов на ремонт должен быть зафиксирован в учетной политике, регулирующей порядок ведения бухгалтерского учета в данной организации.</w:t>
      </w:r>
      <w:r w:rsidRPr="0075238A">
        <w:br/>
      </w:r>
      <w:r w:rsidR="0080604A">
        <w:t xml:space="preserve">          </w:t>
      </w:r>
      <w:r w:rsidRPr="0075238A">
        <w:t>Если у автомобиля, требующего ремонта либо попавшего в дорожно-транспортное происшествие, необходимо произвести замену кабины, шасси, двигателя, являющихся номерными запасными частями, нео</w:t>
      </w:r>
      <w:r>
        <w:t>бходимо учитывать следующее:</w:t>
      </w:r>
    </w:p>
    <w:p w:rsidR="00D42DEF" w:rsidRPr="00D42DEF" w:rsidRDefault="0075238A" w:rsidP="00CD2497">
      <w:pPr>
        <w:pStyle w:val="2125"/>
        <w:spacing w:line="360" w:lineRule="auto"/>
        <w:ind w:firstLine="708"/>
        <w:jc w:val="both"/>
        <w:rPr>
          <w:szCs w:val="28"/>
        </w:rPr>
      </w:pPr>
      <w:r w:rsidRPr="0075238A">
        <w:t>номерные запасные части должны быть отражены в бухгалтерском учете в составе основных сред</w:t>
      </w:r>
      <w:r>
        <w:t>ств независимо от их стоимости;</w:t>
      </w:r>
    </w:p>
    <w:p w:rsidR="00D42DEF" w:rsidRPr="00D42DEF" w:rsidRDefault="0075238A" w:rsidP="00CD2497">
      <w:pPr>
        <w:pStyle w:val="2125"/>
        <w:spacing w:line="360" w:lineRule="auto"/>
        <w:ind w:firstLine="708"/>
        <w:jc w:val="both"/>
        <w:rPr>
          <w:szCs w:val="28"/>
        </w:rPr>
      </w:pPr>
      <w:r w:rsidRPr="0075238A">
        <w:t>если в карточке учета основного средства не указана стоимость вышеуказанных номерных частей в общей стоимости автомобиля, то при их замене по истечении срока эксплуатации необходимо получение экспертного заключения об их рыночной стоимости для правильного отражения в бухгалтерском учете и налоговой отчетности процесса зам</w:t>
      </w:r>
      <w:r>
        <w:t>ены изношенных номерных частей;</w:t>
      </w:r>
    </w:p>
    <w:p w:rsidR="00D42DEF" w:rsidRPr="00D42DEF" w:rsidRDefault="0075238A" w:rsidP="00CD2497">
      <w:pPr>
        <w:pStyle w:val="2125"/>
        <w:spacing w:line="360" w:lineRule="auto"/>
        <w:ind w:firstLine="708"/>
        <w:jc w:val="both"/>
        <w:rPr>
          <w:szCs w:val="28"/>
        </w:rPr>
      </w:pPr>
      <w:r w:rsidRPr="0075238A">
        <w:t>при получении экспертного заключения в учете производятся записи по выбытию номерных частей с одновременным принятием к учету вновь устанавливаемых новых номерных частей.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Глава 25 НК РФ предусматривает два варианта учета расходов на ремонт основных средств для целей налог</w:t>
      </w:r>
      <w:r>
        <w:t>ообложения (см. ст. 260 НК РФ):</w:t>
      </w:r>
    </w:p>
    <w:p w:rsidR="00D42DEF" w:rsidRDefault="0075238A" w:rsidP="00CD2497">
      <w:pPr>
        <w:pStyle w:val="2125"/>
        <w:spacing w:line="360" w:lineRule="auto"/>
        <w:ind w:firstLine="708"/>
        <w:jc w:val="both"/>
      </w:pPr>
      <w:r w:rsidRPr="0075238A">
        <w:t>расходы на ремонт основных средств можно включать в состав прочих расходов в том отчетном (налоговом) периоде, в котором они были осуществлены</w:t>
      </w:r>
      <w:r>
        <w:t>, в размере фактических затрат;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под предстоящие ремонты основных средств может формироваться резерв для обеспечения в течение двух и более налоговых периодов равномерного включения расходов на провед</w:t>
      </w:r>
      <w:r>
        <w:t>ение ремонта основных средств.</w:t>
      </w:r>
    </w:p>
    <w:p w:rsidR="00D04DC8" w:rsidRDefault="0075238A" w:rsidP="00D04DC8">
      <w:pPr>
        <w:pStyle w:val="2125"/>
        <w:spacing w:line="360" w:lineRule="auto"/>
        <w:ind w:firstLine="708"/>
        <w:jc w:val="both"/>
      </w:pPr>
      <w:r w:rsidRPr="0075238A">
        <w:t>Выбранный организацией способ учета расходов на ремонт основных средств должен быть зафиксирован в приказе об учетной поли</w:t>
      </w:r>
      <w:r w:rsidR="00387A92">
        <w:t xml:space="preserve">тике для целей налогообложения. </w:t>
      </w:r>
      <w:r w:rsidRPr="0075238A">
        <w:t>Величина расходов на ремонт основных средств формируется в налоговом учете посредством суммирования всех расходов, связанных с ремонтом (стоимость запасных частей, расходных материалов, расходы на оплату труда, стоимость работ, выполненн</w:t>
      </w:r>
      <w:r>
        <w:t xml:space="preserve">ых сторонними силами, и т.д.). </w:t>
      </w:r>
      <w:r w:rsidRPr="0075238A">
        <w:t>Если налогоплательщик не образует резерв на ремонт основных средств, то сумма расходов на ремонт, сформированная в течение текущего месяца, включается в состав прочих расходов текущего о</w:t>
      </w:r>
      <w:r w:rsidR="00387A92">
        <w:t>тчетного (налогового) периода.</w:t>
      </w:r>
    </w:p>
    <w:p w:rsidR="007F4FCC" w:rsidRDefault="0075238A" w:rsidP="00D04DC8">
      <w:pPr>
        <w:pStyle w:val="2125"/>
        <w:spacing w:line="360" w:lineRule="auto"/>
        <w:ind w:firstLine="708"/>
        <w:jc w:val="center"/>
      </w:pPr>
      <w:r>
        <w:br/>
      </w:r>
      <w:bookmarkStart w:id="4" w:name="_Toc248860194"/>
    </w:p>
    <w:p w:rsidR="007F4FCC" w:rsidRDefault="007F4FCC" w:rsidP="00D04DC8">
      <w:pPr>
        <w:pStyle w:val="2125"/>
        <w:spacing w:line="360" w:lineRule="auto"/>
        <w:ind w:firstLine="708"/>
        <w:jc w:val="center"/>
      </w:pPr>
    </w:p>
    <w:p w:rsidR="00387A92" w:rsidRDefault="00D04DC8" w:rsidP="00D04DC8">
      <w:pPr>
        <w:pStyle w:val="2125"/>
        <w:spacing w:line="360" w:lineRule="auto"/>
        <w:ind w:firstLine="708"/>
        <w:jc w:val="center"/>
      </w:pPr>
      <w:r>
        <w:t>3</w:t>
      </w:r>
      <w:r w:rsidR="00387A92">
        <w:t xml:space="preserve">. </w:t>
      </w:r>
      <w:r w:rsidR="0054373A">
        <w:t>ОРГАНИЗАЦИЯ УЧЕТА ГСМ</w:t>
      </w:r>
      <w:bookmarkEnd w:id="4"/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Учет ГСМ осуществляется на счете 10 "Материалы", субсчет "Топливо", только в случае, если они изначально предназначены для использования внутри организации, то есть для заправк</w:t>
      </w:r>
      <w:r>
        <w:t xml:space="preserve">и собственного автотранспорта. </w:t>
      </w:r>
      <w:r w:rsidRPr="0075238A">
        <w:t>Для учета ГСМ возникает необходимость открытия к счету 10 субсчетов второго, третьего и</w:t>
      </w:r>
      <w:r>
        <w:t xml:space="preserve"> четвертого порядков, например:</w:t>
      </w:r>
      <w:r w:rsidRPr="0075238A">
        <w:br/>
        <w:t>счет 10, субсчет "Топливо", субсчет "ГСМ на складе", субсчет "</w:t>
      </w:r>
      <w:r w:rsidR="00387A92">
        <w:t xml:space="preserve">Бензин", субсчет "Бензин АИ-96" </w:t>
      </w:r>
      <w:r>
        <w:t>или</w:t>
      </w:r>
      <w:r w:rsidR="00387A92">
        <w:t xml:space="preserve"> </w:t>
      </w:r>
      <w:r w:rsidRPr="0075238A">
        <w:t>счет 10, субсчет "Топливо", субсчет "Бензи</w:t>
      </w:r>
      <w:r w:rsidR="00387A92">
        <w:t xml:space="preserve">н АИ-96", субсчет "На складе". 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Организации приобретают ГСМ за наличный</w:t>
      </w:r>
      <w:r>
        <w:t xml:space="preserve"> расчет или безналичным путем. </w:t>
      </w:r>
      <w:r w:rsidRPr="0075238A">
        <w:t xml:space="preserve">При безналичном расчете оправдательными документами являются платежное поручение и приходный ордер (типовая форма N М-4, утвержденная постановлением Госкомстата России от 30.10.1997 N 71а) на оприходование оплаченных ГСМ, талонов </w:t>
      </w:r>
      <w:r>
        <w:t>на топливо или лимитной карты.</w:t>
      </w:r>
      <w:r>
        <w:br/>
      </w:r>
      <w:r w:rsidRPr="0075238A">
        <w:t>Кроме того, получение ГСМ возможно на автозаправочных станциях, с которыми у организаций имеются соглашения о заправке автомобилей на условиях безналичной оплаты (как с выдачей талонов на право запр</w:t>
      </w:r>
      <w:r>
        <w:t xml:space="preserve">авки, так и без них). </w:t>
      </w:r>
      <w:r w:rsidRPr="0075238A">
        <w:t>В бухгалтерском учете организации оплата ГСМ безналичным путе</w:t>
      </w:r>
      <w:r>
        <w:t>м отражается следующим образом:</w:t>
      </w:r>
    </w:p>
    <w:p w:rsidR="00387A92" w:rsidRDefault="00387A92" w:rsidP="00CD2497">
      <w:pPr>
        <w:pStyle w:val="2125"/>
        <w:spacing w:line="360" w:lineRule="auto"/>
        <w:ind w:firstLine="708"/>
        <w:jc w:val="both"/>
      </w:pPr>
      <w:r>
        <w:t>Д-т10 субсчет "Топливо" К-т</w:t>
      </w:r>
      <w:r w:rsidR="0075238A" w:rsidRPr="0075238A">
        <w:t xml:space="preserve">60, 76 - оприходована стоимость ГСМ (отражение затрат на доставку ГСМ сторонней организацией; начисление комиссионного вознаграждения; прочие затраты, включаемые в соответствии с п. 6 Положения по бухгалтерскому учету "Учет материально-производственных запасов" ПБУ 5/01, утвержденного приказом Минфина России от 09.06.2001 N 44н, в </w:t>
      </w:r>
      <w:r w:rsidR="0075238A">
        <w:t>фактическую себестоимость ГСМ);</w:t>
      </w:r>
    </w:p>
    <w:p w:rsidR="00387A92" w:rsidRDefault="00387A92" w:rsidP="00CD2497">
      <w:pPr>
        <w:pStyle w:val="2125"/>
        <w:spacing w:line="360" w:lineRule="auto"/>
        <w:ind w:firstLine="708"/>
        <w:jc w:val="both"/>
      </w:pPr>
      <w:r>
        <w:t>Д-т19 К-т60,</w:t>
      </w:r>
      <w:r w:rsidR="0075238A" w:rsidRPr="0075238A">
        <w:t>76 - отражена</w:t>
      </w:r>
      <w:r w:rsidR="0075238A">
        <w:t xml:space="preserve"> сумма НДС по закупленным ГСМ</w:t>
      </w:r>
      <w:r>
        <w:t>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При использовании счетов 15 "Заготовление и приобретение материальных ценностей" и 16 "Отклонение в стоимости материальных ценностей", что должно быть закреплено в учетной политике организации, операции по приобретению ГСМ отражаются следующим образ</w:t>
      </w:r>
      <w:r>
        <w:t xml:space="preserve">ом: </w:t>
      </w:r>
      <w:r w:rsidRPr="0075238A">
        <w:t>При закупке в безналичном порядке талонов на право заправки ГСМ, либо лимитных карт оформляются следующие проводки: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</w:t>
      </w:r>
      <w:r w:rsidR="003C5A12">
        <w:t>-т</w:t>
      </w:r>
      <w:r w:rsidRPr="0075238A">
        <w:t>10  К</w:t>
      </w:r>
      <w:r w:rsidR="003C5A12">
        <w:t>-т</w:t>
      </w:r>
      <w:r w:rsidRPr="0075238A">
        <w:t>60 – оприходованы талоны на бензин;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</w:t>
      </w:r>
      <w:r w:rsidR="003C5A12">
        <w:t>-т</w:t>
      </w:r>
      <w:r w:rsidRPr="0075238A">
        <w:t>19  К</w:t>
      </w:r>
      <w:r w:rsidR="003C5A12">
        <w:t>-т</w:t>
      </w:r>
      <w:r w:rsidRPr="0075238A">
        <w:t>60 – отражен НДС по приобретенным талонам на бензин;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</w:t>
      </w:r>
      <w:r w:rsidR="003C5A12">
        <w:t>-т</w:t>
      </w:r>
      <w:r w:rsidRPr="0075238A">
        <w:t>60  К</w:t>
      </w:r>
      <w:r w:rsidR="003C5A12">
        <w:t>-т</w:t>
      </w:r>
      <w:r w:rsidRPr="0075238A">
        <w:t>51 – произведены безналичные расчеты за приобретенные талоны;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</w:t>
      </w:r>
      <w:r w:rsidR="003C5A12">
        <w:t>-т</w:t>
      </w:r>
      <w:r w:rsidRPr="0075238A">
        <w:t>68  К</w:t>
      </w:r>
      <w:r w:rsidR="003C5A12">
        <w:t>-т</w:t>
      </w:r>
      <w:r w:rsidRPr="0075238A">
        <w:t>60 – приняты к вычету НДС, уплаченный поставщику;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</w:t>
      </w:r>
      <w:r w:rsidR="003C5A12">
        <w:t>-т</w:t>
      </w:r>
      <w:r w:rsidR="00387A92">
        <w:t xml:space="preserve">10  </w:t>
      </w:r>
      <w:r w:rsidRPr="0075238A">
        <w:t>К</w:t>
      </w:r>
      <w:r w:rsidR="003C5A12">
        <w:t>-т</w:t>
      </w:r>
      <w:r w:rsidRPr="0075238A">
        <w:t>10 – выд</w:t>
      </w:r>
      <w:r w:rsidR="00387A92">
        <w:t>аны талоны водителям под отчет.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Чаще всего закупка ГСМ все же осу</w:t>
      </w:r>
      <w:r w:rsidR="00387A92">
        <w:t xml:space="preserve">ществляется за наличный расчет. </w:t>
      </w:r>
      <w:r w:rsidRPr="0075238A">
        <w:t>Для этого водителям выдаются под отчет соответствующие дене</w:t>
      </w:r>
      <w:r w:rsidR="003C5A12">
        <w:t xml:space="preserve">жные средства. </w:t>
      </w:r>
      <w:r w:rsidRPr="0075238A">
        <w:t>При выдаче средств под отчет необходимо учитывать следующие требования</w:t>
      </w:r>
      <w:r w:rsidR="003C5A12">
        <w:t xml:space="preserve"> действующего законодательства: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при наличии остатка по лицевому счету подотчетного лица новый аванс может быть выдан только при представлении отчета по предыдущему (пр</w:t>
      </w:r>
      <w:r w:rsidR="00387A92">
        <w:t>едыдущим) авансу (авансам);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не допускается выдача средств лицу, с которым организацией не заключе</w:t>
      </w:r>
      <w:r w:rsidR="00387A92">
        <w:t>н трудовой договор (контракт);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в организации должны быть установлены сроки и порядо</w:t>
      </w:r>
      <w:r w:rsidR="003C5A12">
        <w:t>к отчетности подотчетных сумм.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Общепринято, что величина сумм наличных денежных средств для приобретения топлива, подлежащих выдаче под отчет, обычно устанавливается исходя из величины стоимости средненедельного расхода топлива, а при работе в междугородном или межобластном сообщении - исходя из величины стоимости расхода топлива на выполне</w:t>
      </w:r>
      <w:r w:rsidR="003C5A12">
        <w:t xml:space="preserve">ние производственного задания. </w:t>
      </w:r>
      <w:r w:rsidRPr="0075238A">
        <w:t>При исчислении средненедельного расхода топлива используются величины планового пробега, утвержденных в организации линейных норм расхода топлива, действующих цен на топливо в данной местности и на территориях маршрута следования, количество рабочих дней в неделе, величины заправок непосредственно на предприятии (при наличии хранилищ, других условий</w:t>
      </w:r>
      <w:r w:rsidR="003C5A12">
        <w:t xml:space="preserve"> и возможностей для заправки). </w:t>
      </w:r>
      <w:r w:rsidRPr="0075238A">
        <w:t>Стоимость расхода топлива при работе на дальних маршрутах исчисляется, кроме того, с учетом предполагаемого дополнительного пробега, связанного с загрузкой в обратном направлении или поиском груза, переадресацией груза, возможного увеличения пробега, связанного с непредвиденными обстоятельствами, в размере до 15 % общего пробега по ма</w:t>
      </w:r>
      <w:r w:rsidR="003C5A12">
        <w:t>ршруту и т.п.</w:t>
      </w:r>
      <w:r w:rsidR="003C5A12">
        <w:br/>
      </w:r>
      <w:r w:rsidRPr="0075238A">
        <w:t>В бухгалтерском учете операции по выдаче наличных денежных средств под отчет для закупки ГС</w:t>
      </w:r>
      <w:r w:rsidR="003C5A12">
        <w:t>М отражаются следующим образом:</w:t>
      </w:r>
    </w:p>
    <w:p w:rsidR="00387A92" w:rsidRDefault="004818E9" w:rsidP="00CD2497">
      <w:pPr>
        <w:pStyle w:val="2125"/>
        <w:spacing w:line="360" w:lineRule="auto"/>
        <w:ind w:firstLine="708"/>
        <w:jc w:val="both"/>
      </w:pPr>
      <w:r>
        <w:t>Д-т71 К-т</w:t>
      </w:r>
      <w:r w:rsidR="0075238A" w:rsidRPr="0075238A">
        <w:t>50 - вы</w:t>
      </w:r>
      <w:r w:rsidR="003C5A12">
        <w:t>даны наличные деньги под отчет;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Д-</w:t>
      </w:r>
      <w:r w:rsidR="004818E9">
        <w:t>т10 К-т</w:t>
      </w:r>
      <w:r w:rsidR="003C5A12">
        <w:t>71 - оприходованы ГСМ;</w:t>
      </w:r>
    </w:p>
    <w:p w:rsidR="00387A92" w:rsidRDefault="004818E9" w:rsidP="00CD2497">
      <w:pPr>
        <w:pStyle w:val="2125"/>
        <w:spacing w:line="360" w:lineRule="auto"/>
        <w:ind w:firstLine="708"/>
        <w:jc w:val="both"/>
      </w:pPr>
      <w:r>
        <w:t>Д-т50 К-т</w:t>
      </w:r>
      <w:r w:rsidR="0075238A" w:rsidRPr="0075238A">
        <w:t>71 - оприходован ост</w:t>
      </w:r>
      <w:r w:rsidR="00387A92">
        <w:t>аток подотчетных сумм</w:t>
      </w:r>
    </w:p>
    <w:p w:rsidR="00387A92" w:rsidRDefault="003C5A12" w:rsidP="00CD2497">
      <w:pPr>
        <w:pStyle w:val="2125"/>
        <w:spacing w:line="360" w:lineRule="auto"/>
        <w:ind w:firstLine="708"/>
        <w:jc w:val="both"/>
      </w:pPr>
      <w:r>
        <w:t>или</w:t>
      </w:r>
    </w:p>
    <w:p w:rsidR="00387A92" w:rsidRDefault="004818E9" w:rsidP="00CD2497">
      <w:pPr>
        <w:pStyle w:val="2125"/>
        <w:spacing w:line="360" w:lineRule="auto"/>
        <w:ind w:firstLine="708"/>
        <w:jc w:val="both"/>
      </w:pPr>
      <w:r>
        <w:t>Д-т71 К-т</w:t>
      </w:r>
      <w:r w:rsidR="0075238A" w:rsidRPr="0075238A">
        <w:t>50 - выд</w:t>
      </w:r>
      <w:r w:rsidR="003C5A12">
        <w:t>ана из кассы сумма перерасхода.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 xml:space="preserve">Понятие "норма расхода топлива или смазочного материала" применительно к автомобильному транспорту подразумевает установленное значение меры потребления данного расходного материала при </w:t>
      </w:r>
      <w:r w:rsidR="003C5A12">
        <w:t xml:space="preserve">работе конкретного автомобиля. </w:t>
      </w:r>
      <w:r w:rsidRPr="0075238A">
        <w:t xml:space="preserve">При установлении норм расхода топлива на автотранспортные средства предприятия в основном пользуются нормативно-методическими материалами, приведенными в "Нормах расхода топлива и смазочных материалов на автомобильном транспорте" (утв. распоряжением Минтранса России от 14 марта </w:t>
      </w:r>
      <w:smartTag w:uri="urn:schemas-microsoft-com:office:smarttags" w:element="metricconverter">
        <w:smartTagPr>
          <w:attr w:name="ProductID" w:val="2008 г"/>
        </w:smartTagPr>
        <w:r w:rsidRPr="0075238A">
          <w:t>2008 г</w:t>
        </w:r>
      </w:smartTag>
      <w:r w:rsidRPr="0075238A">
        <w:t>. № АМ-23-р):</w:t>
      </w:r>
      <w:r w:rsidR="003C5A12">
        <w:t xml:space="preserve"> в</w:t>
      </w:r>
      <w:r w:rsidRPr="0075238A">
        <w:t xml:space="preserve"> организации должны быть утверждены внутренним приказом нормы расхода топлива на зимний и летний периоды, рассчитанные с учетом необходимости служебных разъездов (в силу специфики деятельности организации) на основе утвер</w:t>
      </w:r>
      <w:r w:rsidR="003C5A12">
        <w:t xml:space="preserve">жденных норм Минтранса России. </w:t>
      </w:r>
      <w:r w:rsidRPr="0075238A">
        <w:t>Базовая норма расхода топлива и ГСМ устанавливается согласно техничес</w:t>
      </w:r>
      <w:r w:rsidR="00387A92">
        <w:t>кой документации на автомобиль.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Дорожно-транспортные, климатические и другие эксплуатационные факторы учитываются с помощью ряда поправочных коэффициентов, регламентированных в форме процентов повышения или пониж</w:t>
      </w:r>
      <w:r w:rsidR="003C5A12">
        <w:t xml:space="preserve">ения исходного значения нормы. </w:t>
      </w:r>
      <w:r w:rsidRPr="0075238A">
        <w:t>Нормы включают расход топлива, необходимый для осуществления транспортного процесса. Расход топлива на гаражные и прочие хозяйственные нужды, не связанные непосредственно с технологическим процессом перевозок пассажиров и грузов, в состав норм не включаетс</w:t>
      </w:r>
      <w:r w:rsidR="003C5A12">
        <w:t xml:space="preserve">я и устанавливается отдельно. </w:t>
      </w:r>
      <w:r w:rsidRPr="0075238A">
        <w:t>Во всех случаях нормы расходы топлива корректируются в зависимости от условий эксплуатации автомобилей посредством применения повышающих коэффициентов (их суммарного выражения), учитывающих работу в зимнее и летнее время, в местностях над уровнем моря, в карьерах, при учебной езде, в городах с населением свыше 0,5 млн. человек и т.д., или понижающих коэффициентов (их суммарного выражения), учитывающих</w:t>
      </w:r>
      <w:r w:rsidR="003C5A12">
        <w:t xml:space="preserve"> характер автомобильных трасс. </w:t>
      </w:r>
      <w:r w:rsidRPr="0075238A">
        <w:t>Израсходованные ГСМ включаются в расходы при исчислении налога на прибыль в соответств</w:t>
      </w:r>
      <w:r w:rsidR="003C5A12">
        <w:t xml:space="preserve">ии с правилами главы 25 НК РФ. </w:t>
      </w:r>
      <w:r w:rsidRPr="0075238A">
        <w:t>Расходы на приобретение ГСМ для автомобилей, использующихся в основной деятельности организации, относятся к материальным расходам организации (подпункт 5 п. 1 ст. 254 НК РФ), а для служебных автомобилей, использующихся в управлении организацией, - к прочим расходам, связанным с производством и (или) реализацией (подп</w:t>
      </w:r>
      <w:r w:rsidR="003C5A12">
        <w:t xml:space="preserve">ункт 11 п. 1 ст. 264 Кодекса). </w:t>
      </w:r>
      <w:r w:rsidRPr="0075238A">
        <w:t>Необходимым условием для отнесения расходов на ГСМ в уменьшение налоговой базы по налогу на прибыль является наличие правильно оформленных первичных документов, подтверждающих фактические суммы на приобретение ГСМ и производственные цели эксплуатации автомобиля (оформленные в установленном порядке режим работы авто</w:t>
      </w:r>
      <w:r w:rsidR="00387A92">
        <w:t>мобиля, путевые листы и т.д.).</w:t>
      </w:r>
    </w:p>
    <w:p w:rsidR="00387A92" w:rsidRDefault="00D04DC8" w:rsidP="007F4FCC">
      <w:pPr>
        <w:pStyle w:val="1"/>
      </w:pPr>
      <w:bookmarkStart w:id="5" w:name="_Toc248860195"/>
      <w:r>
        <w:t>4</w:t>
      </w:r>
      <w:r w:rsidR="00387A92">
        <w:t xml:space="preserve">. </w:t>
      </w:r>
      <w:r w:rsidR="0054373A">
        <w:t>ОРГАНИЗАЦИЯ УЧЕТА АВТОМОБИЛЬНЫХ ШИН</w:t>
      </w:r>
      <w:bookmarkEnd w:id="5"/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 xml:space="preserve">В настоящее время порядок списания автомобильных шин регламентируется Инструкцией по учету доходов и расходов по обычным видам деятельности на автомобильном транспорте, утвержденной приказом Минтранса России от 14 марта </w:t>
      </w:r>
      <w:smartTag w:uri="urn:schemas-microsoft-com:office:smarttags" w:element="metricconverter">
        <w:smartTagPr>
          <w:attr w:name="ProductID" w:val="2008 г"/>
        </w:smartTagPr>
        <w:r w:rsidRPr="0075238A">
          <w:t>2008 г</w:t>
        </w:r>
      </w:smartTag>
      <w:r w:rsidRPr="0075238A">
        <w:t>. № АМ-23-р. В соответствии с п. 42, 43 вышеуказанной Инструкции в составе расходов на материалы отражается стоимость всех расходуемых при техническом обслуживании подвижного состава и других технических средств и устройств покупных материалов (обтирочных, смазочных, лакокрасочных, изоляционных, электротехнических, крепежных материалов, различных минеральных и органических масел), запасных частей для ремонта подвижного состава и других техничес</w:t>
      </w:r>
      <w:r w:rsidR="00387A92">
        <w:t>ких средств, автомобильных шин.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Расходы на восстановление износа и ремонт автомобильных шин включаются в состав материальных затрат в расходах по обычным видам деятельности в пределах норм, утверждаемых Минтрансом России, что указывается в</w:t>
      </w:r>
      <w:r w:rsidR="003C5A12">
        <w:t xml:space="preserve"> учетной политике организации. </w:t>
      </w:r>
      <w:r w:rsidRPr="0075238A">
        <w:t>Для правильной организации бухгалтерского учета шин необходимо иметь в виду, что автомобильные шины, камеры и ободные ленты в зависимости от того, каким образом они поступают в организацию, относятся к различным статьям баланса. Так, автомобильные шины, поступающие вместе с новым автомобилем или прицепом (на колесах и один запасной комплект), входят в стоимость автомобиля и учитываются в составе основных средств (на счете 01). Шины, поступающие на предприятия для замены изношенных, учитываются на счете 10 "Материа</w:t>
      </w:r>
      <w:r w:rsidR="003C5A12">
        <w:t xml:space="preserve">лы", субсчет "Запасные части". </w:t>
      </w:r>
      <w:r w:rsidRPr="0075238A">
        <w:t>Для определения основания передачи автомобильных шин в эксплуатацию необходимо установить, с какой целью они будут использ</w:t>
      </w:r>
      <w:r w:rsidR="00387A92">
        <w:t xml:space="preserve">ованы. </w:t>
      </w:r>
      <w:r w:rsidR="003C5A12">
        <w:t>Шины могут быть переданы: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для замены изношенных или пришедших в</w:t>
      </w:r>
      <w:r w:rsidR="003C5A12">
        <w:t xml:space="preserve"> негодность по другим причинам;</w:t>
      </w:r>
    </w:p>
    <w:p w:rsidR="00387A92" w:rsidRDefault="0075238A" w:rsidP="00CD2497">
      <w:pPr>
        <w:pStyle w:val="2125"/>
        <w:spacing w:line="360" w:lineRule="auto"/>
        <w:ind w:firstLine="708"/>
        <w:jc w:val="both"/>
      </w:pPr>
      <w:r w:rsidRPr="0075238A">
        <w:t>для сезонной смены ("летн</w:t>
      </w:r>
      <w:r w:rsidR="003C5A12">
        <w:t>ие", "зимние", "демисезонные");</w:t>
      </w:r>
    </w:p>
    <w:p w:rsidR="00387A92" w:rsidRDefault="003C5A12" w:rsidP="00CD2497">
      <w:pPr>
        <w:pStyle w:val="2125"/>
        <w:spacing w:line="360" w:lineRule="auto"/>
        <w:ind w:firstLine="708"/>
        <w:jc w:val="both"/>
      </w:pPr>
      <w:r>
        <w:t>для замены изношенных сезонных.</w:t>
      </w:r>
    </w:p>
    <w:p w:rsidR="00A10354" w:rsidRDefault="0075238A" w:rsidP="00CD2497">
      <w:pPr>
        <w:pStyle w:val="2125"/>
        <w:spacing w:line="360" w:lineRule="auto"/>
        <w:ind w:firstLine="708"/>
        <w:jc w:val="both"/>
      </w:pPr>
      <w:r w:rsidRPr="0075238A">
        <w:t>Замену изношенных или пришедших в негодность по другим причинам шин можно рассматривать как проведение текущего ремонта (замену изношенных частей) автомобиля, который относится к основным средствам. В связи с этим в данном случае можно руководствоваться общими правилами, регламентирующими порядок списания на издержки производства и обращения затрат на проведение рем</w:t>
      </w:r>
      <w:r w:rsidR="003C5A12">
        <w:t xml:space="preserve">онта объекта основных средств. </w:t>
      </w:r>
      <w:r w:rsidRPr="0075238A">
        <w:t>Если выдаются сезонные шины, то их стоимость должна учитываться на счете 10, раздел аналитического учета "Автомобильные шины в эксплуатации". Стоимость сезонных шин, изношенных или пришедших в негодность по другим причинам, можно отнести на счета учета изд</w:t>
      </w:r>
      <w:r w:rsidR="00A10354">
        <w:t>ержек производства и обращения.</w:t>
      </w:r>
    </w:p>
    <w:p w:rsidR="00D92DDE" w:rsidRDefault="00D92DDE" w:rsidP="00CD2497">
      <w:pPr>
        <w:pStyle w:val="2125"/>
        <w:spacing w:line="360" w:lineRule="auto"/>
        <w:ind w:firstLine="708"/>
        <w:jc w:val="both"/>
      </w:pPr>
    </w:p>
    <w:p w:rsidR="00A10354" w:rsidRDefault="00D04DC8" w:rsidP="00CD2497">
      <w:pPr>
        <w:pStyle w:val="2125"/>
        <w:spacing w:line="360" w:lineRule="auto"/>
        <w:ind w:firstLine="708"/>
        <w:jc w:val="both"/>
      </w:pPr>
      <w:r>
        <w:t>5</w:t>
      </w:r>
      <w:r w:rsidR="0075238A" w:rsidRPr="0075238A">
        <w:t xml:space="preserve">. </w:t>
      </w:r>
      <w:r w:rsidR="0054373A">
        <w:t>РАСХОДЫ НА СТРАХОВАНИЕ АВТОТРАНСПОРТА</w:t>
      </w:r>
    </w:p>
    <w:p w:rsidR="00A10354" w:rsidRDefault="0075238A" w:rsidP="00CD2497">
      <w:pPr>
        <w:pStyle w:val="2125"/>
        <w:spacing w:line="360" w:lineRule="auto"/>
        <w:ind w:firstLine="708"/>
        <w:jc w:val="both"/>
      </w:pPr>
      <w:r w:rsidRPr="0075238A">
        <w:t>Страхование транспортных средств в Российской Федерации осуществляется на основании договоров имущественного страхования, заключаемых в соответствии с требованиями ГК РФ, Закона РФ от 27.11.1992 N 4015-1 "Об организации страхового дела в Российской Федерации", Федерального закона от 25.04.2002 N 40-ФЗ "Об обязательном страховании гражданской ответственности владельцев транспортных средств" (далее - Закон N 40-ФЗ), иных федеральных законов, а также подзакон</w:t>
      </w:r>
      <w:r w:rsidR="003C5A12">
        <w:t xml:space="preserve">ных нормативно-правовых актов. </w:t>
      </w:r>
      <w:r w:rsidRPr="0075238A">
        <w:t>Расходы юридических лиц - владельцев транспортных средств, заключивших договор страхования транспортного средства, в силу п. 11 Положения по бухгалтерскому учету "Расходы организации" ПБУ 10/99, утвержденного приказом Минфина России от 06.05.1999 N 33н, для целей бухгалтерского учета призн</w:t>
      </w:r>
      <w:r w:rsidR="003C5A12">
        <w:t xml:space="preserve">аются операционными расходами. </w:t>
      </w:r>
      <w:r w:rsidRPr="0075238A">
        <w:t>В бухгалтерском учете произведенные расходы</w:t>
      </w:r>
      <w:r w:rsidR="00A10354">
        <w:t xml:space="preserve"> отражаются следующим образом:</w:t>
      </w:r>
    </w:p>
    <w:p w:rsidR="00A10354" w:rsidRDefault="004818E9" w:rsidP="00CD2497">
      <w:pPr>
        <w:pStyle w:val="2125"/>
        <w:spacing w:line="360" w:lineRule="auto"/>
        <w:ind w:firstLine="708"/>
        <w:jc w:val="both"/>
      </w:pPr>
      <w:r>
        <w:t>Д-т97 К-т</w:t>
      </w:r>
      <w:r w:rsidR="0075238A" w:rsidRPr="0075238A">
        <w:t>51 - отражена сумма страховой премии, уплаченной по заключенному договору ст</w:t>
      </w:r>
      <w:r w:rsidR="003C5A12">
        <w:t>рахования транспортных средств;</w:t>
      </w:r>
    </w:p>
    <w:p w:rsidR="00A10354" w:rsidRDefault="004818E9" w:rsidP="00CD2497">
      <w:pPr>
        <w:pStyle w:val="2125"/>
        <w:spacing w:line="360" w:lineRule="auto"/>
        <w:ind w:firstLine="708"/>
        <w:jc w:val="both"/>
      </w:pPr>
      <w:r>
        <w:t>Д-т20(25, 26, 44) К-т</w:t>
      </w:r>
      <w:r w:rsidR="0075238A" w:rsidRPr="0075238A">
        <w:t>97 - отнесена на расходы сумма страховых платежей за с</w:t>
      </w:r>
      <w:r w:rsidR="003C5A12">
        <w:t>оответствующий отчетный период.</w:t>
      </w:r>
    </w:p>
    <w:p w:rsidR="00A10354" w:rsidRDefault="0075238A" w:rsidP="00CD2497">
      <w:pPr>
        <w:pStyle w:val="2125"/>
        <w:spacing w:line="360" w:lineRule="auto"/>
        <w:ind w:firstLine="708"/>
        <w:jc w:val="both"/>
      </w:pPr>
      <w:r w:rsidRPr="0075238A">
        <w:t>Согласно п. 2 ст. 263 НК РФ расходы по добровольным видам страхования включаются для целей налогообложения прибыли в состав прочих расходо</w:t>
      </w:r>
      <w:r w:rsidR="003C5A12">
        <w:t xml:space="preserve">в в размере фактических затрат. </w:t>
      </w:r>
      <w:r w:rsidRPr="0075238A">
        <w:t xml:space="preserve">При использовании метода начисления расходы на страхование транспортных средств признаются в качестве расхода в том отчетном (налоговом) периоде, в котором по условиям договора налогоплательщиком были перечислены (выданы из кассы) денежные средства на оплату страховых взносов (п. </w:t>
      </w:r>
      <w:r w:rsidR="003C5A12">
        <w:t xml:space="preserve">2 ст. 318, п. 6 ст. 272 НК РФ). </w:t>
      </w:r>
      <w:r w:rsidRPr="0075238A">
        <w:t>Если же уплата страхового взноса осуществляется разовым платежом, то по договорам, заключенным на срок более одного отчетного периода, расходы признаются равномерно в те</w:t>
      </w:r>
      <w:r w:rsidR="003C5A12">
        <w:t xml:space="preserve">чение срока действия договора. </w:t>
      </w:r>
      <w:r w:rsidRPr="0075238A">
        <w:t>При использовании кассового метода признание расходов осуществляется в момен</w:t>
      </w:r>
      <w:r w:rsidR="003C5A12">
        <w:t xml:space="preserve">т оплаты (п. 3 ст. 273 НК РФ). </w:t>
      </w:r>
      <w:r w:rsidRPr="0075238A">
        <w:t>Страховое возмещение, получаемое организацией - владельцем транспортного средства при наступлении страхового случая, в силу п. 9 Положения по бухгалтерскому учету "Доходы организации" ПБУ 9/99, утвержденного приказом Минфина России от 06.05.1999 N 32н, признается в сост</w:t>
      </w:r>
      <w:r w:rsidR="003C5A12">
        <w:t>аве чрезв</w:t>
      </w:r>
      <w:r w:rsidR="00A10354">
        <w:t xml:space="preserve">ычайных доходов: </w:t>
      </w:r>
      <w:r w:rsidR="004818E9">
        <w:t>Д-т51 К-т</w:t>
      </w:r>
      <w:r w:rsidRPr="0075238A">
        <w:t>91 - отражена сумма страхового возмещ</w:t>
      </w:r>
      <w:r w:rsidR="00A10354">
        <w:t>ения, уплаченная страховщиком.</w:t>
      </w:r>
    </w:p>
    <w:p w:rsidR="00A10354" w:rsidRDefault="0075238A" w:rsidP="00CD2497">
      <w:pPr>
        <w:pStyle w:val="2125"/>
        <w:spacing w:line="360" w:lineRule="auto"/>
        <w:ind w:firstLine="708"/>
        <w:jc w:val="both"/>
      </w:pPr>
      <w:r w:rsidRPr="0075238A">
        <w:t>Для целей налогообложения прибыли сумма поступившего страхового возмещения признается внереализационными доходо</w:t>
      </w:r>
      <w:r w:rsidR="003C5A12">
        <w:t xml:space="preserve">м организации (ст. 250 НК РФ). </w:t>
      </w:r>
      <w:r w:rsidRPr="0075238A">
        <w:t>С 1 июля 2003 года</w:t>
      </w:r>
      <w:r w:rsidR="003C5A12">
        <w:t xml:space="preserve"> вступил в силу Закон N 40-ФЗ. </w:t>
      </w:r>
      <w:r w:rsidRPr="0075238A">
        <w:t>Бухгалтерский учет расходов по обязательному страхованию ведется в том же порядке, что и при добровольном ст</w:t>
      </w:r>
      <w:r w:rsidR="003C5A12">
        <w:t xml:space="preserve">раховании транспортных средств. </w:t>
      </w:r>
      <w:r w:rsidRPr="0075238A">
        <w:t>На основании п. 2 ст. 263 НК РФ расходы по обязательным видам страхования (установленные законодательством Российской Федерации) включаются в состав прочих расходов в пределах страховых тарифов, утвержденных в соответствии с законодательством Российской Федерации и требова</w:t>
      </w:r>
      <w:r w:rsidR="003C5A12">
        <w:t xml:space="preserve">ниями международных конвенций. </w:t>
      </w:r>
      <w:r w:rsidRPr="0075238A">
        <w:t>Поскольку рассматриваемые страховые тарифы носят обязательный характер и утверждены постановлением Правительства РФ, вся сумма, уплаченная по договору обязательного страхования, признается расходом при исчислении налога на прибыль. Так как срок данного договора составляет один год, то согласно п. 2 ст. 318, п. 6 ст. 272 НК РФ признание расходов по нему производится равномерно в течение срока действия догов</w:t>
      </w:r>
      <w:r w:rsidR="003C5A12">
        <w:t xml:space="preserve">ора обязательного страхования. </w:t>
      </w:r>
      <w:r w:rsidRPr="0075238A">
        <w:t>Если же организация использует кассовый метод, то признание расходов осуществляется в момент оплаты (п. 2 ст. 318, п. 3 ст. 273 НК РФ).</w:t>
      </w:r>
    </w:p>
    <w:p w:rsidR="00D92DDE" w:rsidRDefault="00D92DDE" w:rsidP="007F4FCC">
      <w:pPr>
        <w:pStyle w:val="1"/>
      </w:pPr>
      <w:bookmarkStart w:id="6" w:name="_Toc248860197"/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04DC8" w:rsidRDefault="00D04DC8" w:rsidP="00D04DC8">
      <w:pPr>
        <w:rPr>
          <w:kern w:val="32"/>
          <w:sz w:val="28"/>
          <w:szCs w:val="28"/>
        </w:rPr>
      </w:pPr>
    </w:p>
    <w:p w:rsidR="00D04DC8" w:rsidRDefault="00D04DC8" w:rsidP="00D04DC8">
      <w:pPr>
        <w:rPr>
          <w:kern w:val="32"/>
          <w:sz w:val="28"/>
          <w:szCs w:val="28"/>
        </w:rPr>
      </w:pPr>
    </w:p>
    <w:p w:rsidR="00D04DC8" w:rsidRPr="00D04DC8" w:rsidRDefault="00D04DC8" w:rsidP="00D04DC8"/>
    <w:p w:rsidR="00D92DDE" w:rsidRDefault="00D92DDE" w:rsidP="007F4FCC">
      <w:pPr>
        <w:pStyle w:val="1"/>
      </w:pPr>
    </w:p>
    <w:p w:rsidR="00D92DDE" w:rsidRDefault="00D92DDE" w:rsidP="007F4FCC">
      <w:pPr>
        <w:pStyle w:val="1"/>
      </w:pPr>
    </w:p>
    <w:p w:rsidR="00D04DC8" w:rsidRDefault="00D04DC8" w:rsidP="007F4FCC">
      <w:pPr>
        <w:pStyle w:val="1"/>
      </w:pPr>
    </w:p>
    <w:p w:rsidR="00D04DC8" w:rsidRDefault="00D04DC8" w:rsidP="007F4FCC">
      <w:pPr>
        <w:pStyle w:val="1"/>
      </w:pPr>
    </w:p>
    <w:p w:rsidR="00D04DC8" w:rsidRDefault="00D04DC8" w:rsidP="007F4FCC">
      <w:pPr>
        <w:pStyle w:val="1"/>
      </w:pPr>
    </w:p>
    <w:p w:rsidR="00D04DC8" w:rsidRDefault="00D04DC8" w:rsidP="007F4FCC">
      <w:pPr>
        <w:pStyle w:val="1"/>
      </w:pPr>
    </w:p>
    <w:p w:rsidR="00D04DC8" w:rsidRDefault="00D04DC8" w:rsidP="007F4FCC">
      <w:pPr>
        <w:pStyle w:val="1"/>
        <w:rPr>
          <w:lang w:val="en-US"/>
        </w:rPr>
      </w:pPr>
    </w:p>
    <w:p w:rsidR="008C5F4B" w:rsidRPr="008C5F4B" w:rsidRDefault="008C5F4B" w:rsidP="008C5F4B">
      <w:pPr>
        <w:rPr>
          <w:lang w:val="en-US"/>
        </w:rPr>
      </w:pPr>
    </w:p>
    <w:p w:rsidR="00D04DC8" w:rsidRDefault="00D04DC8" w:rsidP="00D04DC8"/>
    <w:p w:rsidR="00D04DC8" w:rsidRDefault="00D04DC8" w:rsidP="00D04DC8">
      <w:pPr>
        <w:rPr>
          <w:lang w:val="en-US"/>
        </w:rPr>
      </w:pPr>
    </w:p>
    <w:p w:rsidR="008C5F4B" w:rsidRPr="008C5F4B" w:rsidRDefault="008C5F4B" w:rsidP="00D04DC8">
      <w:pPr>
        <w:rPr>
          <w:lang w:val="en-US"/>
        </w:rPr>
      </w:pPr>
    </w:p>
    <w:p w:rsidR="00D04DC8" w:rsidRDefault="00D04DC8" w:rsidP="00D04DC8"/>
    <w:p w:rsidR="00D04DC8" w:rsidRPr="00D04DC8" w:rsidRDefault="00D04DC8" w:rsidP="00D04DC8"/>
    <w:p w:rsidR="008C5F4B" w:rsidRDefault="008C5F4B" w:rsidP="007F4FCC">
      <w:pPr>
        <w:pStyle w:val="1"/>
        <w:rPr>
          <w:lang w:val="en-US"/>
        </w:rPr>
      </w:pPr>
    </w:p>
    <w:p w:rsidR="00023CB1" w:rsidRDefault="00023CB1" w:rsidP="007F4FCC">
      <w:pPr>
        <w:pStyle w:val="1"/>
      </w:pPr>
      <w:r>
        <w:t>ЗАКЛЮЧЕНИЕ</w:t>
      </w:r>
      <w:bookmarkEnd w:id="6"/>
    </w:p>
    <w:p w:rsidR="004D1C77" w:rsidRDefault="004D1C77" w:rsidP="00CD2497">
      <w:pPr>
        <w:pStyle w:val="21"/>
        <w:ind w:firstLine="708"/>
      </w:pPr>
      <w:r>
        <w:t>Объекты основных средств составляют основу для осуществления большинства видов деятельности, в процессе которых создается продукция, выполняются работы и оказываются услуги. Для автотранспортного предприятия такую основу составляют транспортные средства, остальные внеоборотные средства, равно как и материалы предназначены лишь для их обслуживания.</w:t>
      </w:r>
    </w:p>
    <w:p w:rsidR="00023CB1" w:rsidRDefault="004D1C77" w:rsidP="00CD2497">
      <w:pPr>
        <w:pStyle w:val="21"/>
        <w:ind w:firstLine="708"/>
      </w:pPr>
      <w:r>
        <w:t xml:space="preserve">Таким образом для планомерного ведения хозяйства предприятием организовывается учет затрат для правильного определения финансового результата и получения прибыли, и для дальнейшего развития бизнес-процесса. </w:t>
      </w:r>
    </w:p>
    <w:p w:rsidR="004D1C77" w:rsidRDefault="004D1C77" w:rsidP="00CD2497">
      <w:pPr>
        <w:pStyle w:val="21"/>
        <w:ind w:firstLine="708"/>
      </w:pPr>
    </w:p>
    <w:p w:rsidR="00CD0C08" w:rsidRDefault="00CD0C08" w:rsidP="00CD2497">
      <w:pPr>
        <w:pStyle w:val="21"/>
        <w:ind w:firstLine="708"/>
      </w:pPr>
    </w:p>
    <w:p w:rsidR="00CD0C08" w:rsidRDefault="00CD0C08" w:rsidP="00023CB1"/>
    <w:p w:rsidR="00CD0C08" w:rsidRDefault="00CD0C08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4D1C77" w:rsidRDefault="004D1C77" w:rsidP="00023CB1"/>
    <w:p w:rsidR="00CD2497" w:rsidRDefault="00CD2497" w:rsidP="007F4FCC">
      <w:pPr>
        <w:pStyle w:val="1"/>
        <w:rPr>
          <w:kern w:val="0"/>
        </w:rPr>
      </w:pPr>
    </w:p>
    <w:p w:rsidR="00CD2497" w:rsidRDefault="00CD2497" w:rsidP="00CD2497"/>
    <w:p w:rsidR="00CD2497" w:rsidRDefault="00CD2497" w:rsidP="00CD2497"/>
    <w:p w:rsidR="00CD2497" w:rsidRPr="00CD2497" w:rsidRDefault="00CD2497" w:rsidP="00CD2497"/>
    <w:p w:rsidR="00CD0C08" w:rsidRDefault="00CD0C08" w:rsidP="007F4FCC">
      <w:pPr>
        <w:pStyle w:val="1"/>
      </w:pPr>
      <w:bookmarkStart w:id="7" w:name="_Toc248860198"/>
      <w:r>
        <w:t>СПИСОК ИСПОЛЬЗОВАННОЙ ЛИТЕРАТУРЫ</w:t>
      </w:r>
      <w:bookmarkEnd w:id="7"/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 xml:space="preserve">План счетов бухгалтерского учета финансово - хозяйственной деятельности организаций (утв. приказом Минфина РФ от 31 октября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N 94н)</w:t>
      </w:r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 xml:space="preserve">Инструкция по применению плана счетов бухгалтерского учета финансово-хозяйственной деятельности организаций. (в редакции приказа Минфина РФ от 7 мая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N 38н)</w:t>
      </w:r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>Кондраков Н. П. Бухгалтерский учет: учебное пособие. - 3-е изд., перераб. и доп. - М.: ИНФРА-М, 2001 - 635 с. - (Серия «Высшее образование»).</w:t>
      </w:r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>Паркшеян Х.Р. Практикум по бухгалтерскому учету на новом плане счетов // Аудит и финансовый анализ №3 2001</w:t>
      </w:r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>Щадилова С.Н. Бухгалтерский учет для всех, 2003.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Бакаев А.С. и др. Бухгалтерский учет - М.: Бухгалтерский учет, 2002. – 452 с.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Безруких П.С. и др. Бухгалтерский учет: – М., 2001. – 576 с.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Вахрушина М.А. Бухгалтерский управленческий учет - М.: Омега-Х, 2003. – 393 с.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Гришина О.В. Управленческий учет: Затраты по обычным видам деятельности //Аудиторские ведомости - 2003 - №8 – С.40-47.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Карпова Т.П. Управленческий учет - М.: ЮНИТИ, 2003. – 482 с.</w:t>
      </w:r>
    </w:p>
    <w:p w:rsidR="00CD0C08" w:rsidRPr="00BA39AE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BA39AE">
        <w:t>Керимов В.Э. Управленческий учет - М.: Маркетинг, 2003. – 295 с.</w:t>
      </w:r>
    </w:p>
    <w:p w:rsidR="00CD0C08" w:rsidRPr="00E83AD2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E83AD2">
        <w:t>Шишкин А.Н. Учет, анализ, аудит на предприятии: Учебное пособие для вузов / А.Н. Шишкин, В.А. Микрюхов, И.Д. Дашкаит. - М.: Аудит, ЮНИТИ, 1996. - 496 с.</w:t>
      </w:r>
    </w:p>
    <w:p w:rsidR="00CD0C08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 w:rsidRPr="00E83AD2">
        <w:t>Шутикова Ж.Ф. Бухгалтерский учет на автотранспортном предприятии / Ж.Ф. Шутикова. - М.: Финансы и статистика, 1999. - 128 с.</w:t>
      </w:r>
    </w:p>
    <w:p w:rsidR="00CD0C08" w:rsidRPr="00E83AD2" w:rsidRDefault="00CD0C08" w:rsidP="00CD2497">
      <w:pPr>
        <w:pStyle w:val="21"/>
        <w:numPr>
          <w:ilvl w:val="0"/>
          <w:numId w:val="13"/>
        </w:numPr>
        <w:tabs>
          <w:tab w:val="clear" w:pos="1428"/>
          <w:tab w:val="num" w:pos="540"/>
        </w:tabs>
        <w:ind w:left="540" w:hanging="540"/>
      </w:pPr>
      <w:r>
        <w:t>«Особенности бухгалтерского учета и налогообложения автотранспортных предприятий», Выпуск №5 – Челябинск,2005.- 262 с.</w:t>
      </w:r>
    </w:p>
    <w:p w:rsidR="00CD0C08" w:rsidRDefault="00CD0C08" w:rsidP="00023CB1"/>
    <w:p w:rsidR="00411E7B" w:rsidRDefault="00411E7B" w:rsidP="00023CB1"/>
    <w:p w:rsidR="00411E7B" w:rsidRPr="00CE40AC" w:rsidRDefault="00411E7B" w:rsidP="00411E7B">
      <w:pPr>
        <w:pStyle w:val="3"/>
        <w:spacing w:line="360" w:lineRule="auto"/>
        <w:ind w:firstLine="28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ПРАКТИЧЕСКАЯ ЧАСТЬ</w:t>
      </w: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Предприятие производит строительный кирпич. Производство кирпича осуществляется в четырех производственных цехах - переделах (основное производство):</w:t>
      </w:r>
    </w:p>
    <w:p w:rsidR="00411E7B" w:rsidRDefault="00411E7B" w:rsidP="00411E7B">
      <w:pPr>
        <w:widowControl w:val="0"/>
        <w:numPr>
          <w:ilvl w:val="0"/>
          <w:numId w:val="15"/>
        </w:numPr>
        <w:spacing w:line="360" w:lineRule="auto"/>
        <w:ind w:left="0" w:firstLine="284"/>
        <w:jc w:val="both"/>
        <w:rPr>
          <w:kern w:val="2"/>
          <w:sz w:val="28"/>
        </w:rPr>
      </w:pPr>
      <w:r>
        <w:rPr>
          <w:kern w:val="2"/>
          <w:sz w:val="28"/>
        </w:rPr>
        <w:t>1-ый передел производит добычу глины;</w:t>
      </w:r>
    </w:p>
    <w:p w:rsidR="00411E7B" w:rsidRDefault="00411E7B" w:rsidP="00411E7B">
      <w:pPr>
        <w:widowControl w:val="0"/>
        <w:numPr>
          <w:ilvl w:val="0"/>
          <w:numId w:val="15"/>
        </w:numPr>
        <w:spacing w:line="360" w:lineRule="auto"/>
        <w:ind w:left="0" w:firstLine="284"/>
        <w:jc w:val="both"/>
        <w:rPr>
          <w:kern w:val="2"/>
          <w:sz w:val="28"/>
        </w:rPr>
      </w:pPr>
      <w:r>
        <w:rPr>
          <w:kern w:val="2"/>
          <w:sz w:val="28"/>
        </w:rPr>
        <w:t>2-ой передел осуществляет формовку кирпича-сырца;</w:t>
      </w:r>
    </w:p>
    <w:p w:rsidR="00411E7B" w:rsidRDefault="00411E7B" w:rsidP="00411E7B">
      <w:pPr>
        <w:widowControl w:val="0"/>
        <w:numPr>
          <w:ilvl w:val="0"/>
          <w:numId w:val="15"/>
        </w:numPr>
        <w:spacing w:line="360" w:lineRule="auto"/>
        <w:ind w:left="0" w:firstLine="284"/>
        <w:jc w:val="both"/>
        <w:rPr>
          <w:kern w:val="2"/>
          <w:sz w:val="28"/>
        </w:rPr>
      </w:pPr>
      <w:r>
        <w:rPr>
          <w:kern w:val="2"/>
          <w:sz w:val="28"/>
        </w:rPr>
        <w:t>3-ий передел - сушка кирпича;</w:t>
      </w:r>
    </w:p>
    <w:p w:rsidR="00411E7B" w:rsidRDefault="00411E7B" w:rsidP="00411E7B">
      <w:pPr>
        <w:widowControl w:val="0"/>
        <w:numPr>
          <w:ilvl w:val="0"/>
          <w:numId w:val="15"/>
        </w:numPr>
        <w:spacing w:line="360" w:lineRule="auto"/>
        <w:ind w:left="0" w:firstLine="284"/>
        <w:jc w:val="both"/>
        <w:rPr>
          <w:kern w:val="2"/>
          <w:sz w:val="28"/>
        </w:rPr>
      </w:pPr>
      <w:r>
        <w:rPr>
          <w:kern w:val="2"/>
          <w:sz w:val="28"/>
        </w:rPr>
        <w:t>4-ый передел - обжиг кирпича.</w:t>
      </w: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На заводе имеется вспомогательное производство, которое состоит из трех цехов.</w:t>
      </w: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Ремонтный цех производит ремонт оборудования основного и вспомогательных производств и имеет участок по ремонту заводских зданий и помещений.</w:t>
      </w: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Автотранспортный цех оказывает автотранспортные услуги внутри предприятия;</w:t>
      </w:r>
    </w:p>
    <w:p w:rsidR="00411E7B" w:rsidRPr="005F3A43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Котельный цех производит горячую воду для обслуживания всех подразделений предприятия.</w:t>
      </w:r>
    </w:p>
    <w:p w:rsidR="00411E7B" w:rsidRPr="00CE40AC" w:rsidRDefault="00411E7B" w:rsidP="00411E7B">
      <w:pPr>
        <w:widowControl w:val="0"/>
        <w:spacing w:line="360" w:lineRule="auto"/>
        <w:ind w:firstLine="284"/>
        <w:jc w:val="center"/>
        <w:rPr>
          <w:kern w:val="2"/>
          <w:sz w:val="28"/>
        </w:rPr>
      </w:pPr>
      <w:r w:rsidRPr="0010797E">
        <w:rPr>
          <w:kern w:val="2"/>
          <w:sz w:val="28"/>
        </w:rPr>
        <w:t>Задание 1</w:t>
      </w: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>На основании данных для выполнения задания составить ведомости учета затрат по вспомогательным цехам и исчислить себестоимость горячей воды, транспортных работ, заказов по ремонту.</w:t>
      </w:r>
    </w:p>
    <w:p w:rsidR="00411E7B" w:rsidRDefault="00411E7B" w:rsidP="00411E7B">
      <w:pPr>
        <w:widowControl w:val="0"/>
        <w:ind w:left="142" w:firstLine="709"/>
        <w:rPr>
          <w:kern w:val="2"/>
          <w:sz w:val="28"/>
        </w:rPr>
      </w:pPr>
    </w:p>
    <w:p w:rsidR="00411E7B" w:rsidRDefault="00411E7B" w:rsidP="00411E7B">
      <w:pPr>
        <w:widowControl w:val="0"/>
        <w:rPr>
          <w:kern w:val="2"/>
          <w:sz w:val="28"/>
        </w:rPr>
      </w:pPr>
      <w:r>
        <w:rPr>
          <w:kern w:val="2"/>
          <w:sz w:val="28"/>
        </w:rPr>
        <w:t>1. Хозяйственные операции</w:t>
      </w:r>
    </w:p>
    <w:p w:rsidR="00411E7B" w:rsidRDefault="00411E7B" w:rsidP="00411E7B">
      <w:pPr>
        <w:widowControl w:val="0"/>
        <w:ind w:left="142"/>
        <w:jc w:val="right"/>
        <w:rPr>
          <w:kern w:val="2"/>
          <w:sz w:val="28"/>
        </w:rPr>
      </w:pPr>
      <w:r>
        <w:rPr>
          <w:kern w:val="2"/>
          <w:sz w:val="28"/>
        </w:rPr>
        <w:t>Таблица 1</w:t>
      </w:r>
    </w:p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15"/>
        <w:gridCol w:w="1650"/>
      </w:tblGrid>
      <w:tr w:rsidR="00411E7B" w:rsidTr="00203CFE">
        <w:trPr>
          <w:cantSplit/>
          <w:trHeight w:val="659"/>
        </w:trPr>
        <w:tc>
          <w:tcPr>
            <w:tcW w:w="8415" w:type="dxa"/>
            <w:tcBorders>
              <w:bottom w:val="nil"/>
            </w:tcBorders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Содержание хозяйственной операции</w:t>
            </w:r>
          </w:p>
        </w:tc>
        <w:tc>
          <w:tcPr>
            <w:tcW w:w="1650" w:type="dxa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Сумма, руб.</w:t>
            </w:r>
          </w:p>
        </w:tc>
      </w:tr>
      <w:tr w:rsidR="00411E7B" w:rsidTr="00203CFE">
        <w:tc>
          <w:tcPr>
            <w:tcW w:w="8415" w:type="dxa"/>
            <w:tcBorders>
              <w:bottom w:val="nil"/>
            </w:tcBorders>
          </w:tcPr>
          <w:p w:rsidR="00411E7B" w:rsidRPr="0010797E" w:rsidRDefault="00411E7B" w:rsidP="00203CFE">
            <w:pPr>
              <w:widowControl w:val="0"/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Отпущены материалы на содержание помещения: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котельного цеха;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гаража;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ремонтного цеха.</w:t>
            </w:r>
          </w:p>
        </w:tc>
        <w:tc>
          <w:tcPr>
            <w:tcW w:w="1650" w:type="dxa"/>
            <w:tcBorders>
              <w:bottom w:val="nil"/>
            </w:tcBorders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10600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3200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6400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1000</w:t>
            </w:r>
          </w:p>
        </w:tc>
      </w:tr>
      <w:tr w:rsidR="00411E7B" w:rsidTr="00203CFE">
        <w:tc>
          <w:tcPr>
            <w:tcW w:w="8415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Израсходовано: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угля в котельной;</w:t>
            </w:r>
          </w:p>
          <w:p w:rsidR="00411E7B" w:rsidRPr="0010797E" w:rsidRDefault="00411E7B" w:rsidP="00203CFE">
            <w:pPr>
              <w:widowControl w:val="0"/>
              <w:ind w:left="-142"/>
              <w:rPr>
                <w:kern w:val="2"/>
              </w:rPr>
            </w:pPr>
            <w:r w:rsidRPr="0010797E">
              <w:rPr>
                <w:kern w:val="2"/>
              </w:rPr>
              <w:t xml:space="preserve">   –  бензина.</w:t>
            </w:r>
          </w:p>
        </w:tc>
        <w:tc>
          <w:tcPr>
            <w:tcW w:w="1650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163000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99000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64000</w:t>
            </w:r>
          </w:p>
        </w:tc>
      </w:tr>
      <w:tr w:rsidR="00411E7B" w:rsidTr="00203CFE">
        <w:tc>
          <w:tcPr>
            <w:tcW w:w="8415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Начислена з/плата: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 w:hanging="284"/>
              <w:rPr>
                <w:kern w:val="2"/>
              </w:rPr>
            </w:pPr>
            <w:r w:rsidRPr="0010797E">
              <w:rPr>
                <w:kern w:val="2"/>
              </w:rPr>
              <w:t>операторам котельной;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 w:hanging="284"/>
              <w:rPr>
                <w:kern w:val="2"/>
              </w:rPr>
            </w:pPr>
            <w:r w:rsidRPr="0010797E">
              <w:rPr>
                <w:kern w:val="2"/>
              </w:rPr>
              <w:t>шоферам;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 w:hanging="284"/>
              <w:rPr>
                <w:kern w:val="2"/>
              </w:rPr>
            </w:pPr>
            <w:r w:rsidRPr="0010797E">
              <w:rPr>
                <w:kern w:val="2"/>
              </w:rPr>
              <w:t>аппарату управления котельного цеха;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 w:hanging="284"/>
              <w:rPr>
                <w:kern w:val="2"/>
              </w:rPr>
            </w:pPr>
            <w:r w:rsidRPr="0010797E">
              <w:rPr>
                <w:kern w:val="2"/>
              </w:rPr>
              <w:t>аппарату управления автотранспортного цеха;</w:t>
            </w:r>
          </w:p>
          <w:p w:rsidR="00411E7B" w:rsidRPr="0010797E" w:rsidRDefault="00411E7B" w:rsidP="00203CFE">
            <w:pPr>
              <w:widowControl w:val="0"/>
              <w:ind w:left="-142"/>
              <w:rPr>
                <w:kern w:val="2"/>
              </w:rPr>
            </w:pPr>
            <w:r w:rsidRPr="0010797E">
              <w:rPr>
                <w:kern w:val="2"/>
              </w:rPr>
              <w:t xml:space="preserve">  –   аппарату управления ремонтного цеха.</w:t>
            </w:r>
          </w:p>
        </w:tc>
        <w:tc>
          <w:tcPr>
            <w:tcW w:w="1650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74200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34300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24000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6400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5000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4500</w:t>
            </w:r>
          </w:p>
        </w:tc>
      </w:tr>
      <w:tr w:rsidR="00411E7B" w:rsidTr="00203CFE">
        <w:tc>
          <w:tcPr>
            <w:tcW w:w="8415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Начислен износ основных средств: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по котельному цеху;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по автотранспортному цеху;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по ремонтному цеху.</w:t>
            </w:r>
          </w:p>
        </w:tc>
        <w:tc>
          <w:tcPr>
            <w:tcW w:w="1650" w:type="dxa"/>
            <w:tcBorders>
              <w:top w:val="nil"/>
              <w:bottom w:val="nil"/>
            </w:tcBorders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10250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2350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4400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3500</w:t>
            </w:r>
          </w:p>
        </w:tc>
      </w:tr>
      <w:tr w:rsidR="00411E7B" w:rsidTr="00203CFE">
        <w:tc>
          <w:tcPr>
            <w:tcW w:w="8415" w:type="dxa"/>
            <w:tcBorders>
              <w:top w:val="nil"/>
            </w:tcBorders>
          </w:tcPr>
          <w:p w:rsidR="00411E7B" w:rsidRPr="0010797E" w:rsidRDefault="00411E7B" w:rsidP="00203CFE">
            <w:pPr>
              <w:widowControl w:val="0"/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Получено энергии: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котельной;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гаражом;</w:t>
            </w:r>
          </w:p>
          <w:p w:rsidR="00411E7B" w:rsidRPr="0010797E" w:rsidRDefault="00411E7B" w:rsidP="00411E7B">
            <w:pPr>
              <w:widowControl w:val="0"/>
              <w:numPr>
                <w:ilvl w:val="0"/>
                <w:numId w:val="16"/>
              </w:numPr>
              <w:ind w:left="318"/>
              <w:rPr>
                <w:kern w:val="2"/>
              </w:rPr>
            </w:pPr>
            <w:r w:rsidRPr="0010797E">
              <w:rPr>
                <w:kern w:val="2"/>
              </w:rPr>
              <w:t>ремонтным цехом.</w:t>
            </w:r>
          </w:p>
        </w:tc>
        <w:tc>
          <w:tcPr>
            <w:tcW w:w="1650" w:type="dxa"/>
            <w:tcBorders>
              <w:top w:val="nil"/>
            </w:tcBorders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18400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4600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8300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5500</w:t>
            </w:r>
          </w:p>
        </w:tc>
      </w:tr>
    </w:tbl>
    <w:p w:rsidR="00411E7B" w:rsidRDefault="00411E7B" w:rsidP="00411E7B">
      <w:pPr>
        <w:widowControl w:val="0"/>
        <w:ind w:left="142" w:firstLine="709"/>
        <w:rPr>
          <w:kern w:val="2"/>
          <w:sz w:val="28"/>
          <w:lang w:val="en-US"/>
        </w:rPr>
      </w:pPr>
    </w:p>
    <w:p w:rsidR="00411E7B" w:rsidRDefault="00411E7B" w:rsidP="00411E7B">
      <w:pPr>
        <w:widowControl w:val="0"/>
        <w:ind w:firstLine="284"/>
        <w:rPr>
          <w:kern w:val="2"/>
          <w:sz w:val="28"/>
        </w:rPr>
      </w:pPr>
      <w:r>
        <w:rPr>
          <w:kern w:val="2"/>
          <w:sz w:val="28"/>
        </w:rPr>
        <w:t xml:space="preserve">2. Отчет цехов об оказанных услугах: </w:t>
      </w:r>
    </w:p>
    <w:p w:rsidR="00411E7B" w:rsidRDefault="00411E7B" w:rsidP="00411E7B">
      <w:pPr>
        <w:widowControl w:val="0"/>
        <w:ind w:left="142"/>
        <w:jc w:val="right"/>
        <w:rPr>
          <w:kern w:val="2"/>
          <w:sz w:val="28"/>
        </w:rPr>
      </w:pPr>
      <w:r>
        <w:rPr>
          <w:kern w:val="2"/>
          <w:sz w:val="28"/>
        </w:rPr>
        <w:t>Таблица 2</w:t>
      </w:r>
    </w:p>
    <w:tbl>
      <w:tblPr>
        <w:tblW w:w="10207" w:type="dxa"/>
        <w:tblInd w:w="-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7144"/>
        <w:gridCol w:w="1503"/>
        <w:gridCol w:w="1560"/>
      </w:tblGrid>
      <w:tr w:rsidR="00411E7B" w:rsidRPr="005F3A43" w:rsidTr="00203CFE">
        <w:trPr>
          <w:cantSplit/>
          <w:trHeight w:val="1083"/>
        </w:trPr>
        <w:tc>
          <w:tcPr>
            <w:tcW w:w="7144" w:type="dxa"/>
            <w:tcBorders>
              <w:bottom w:val="nil"/>
            </w:tcBorders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</w:p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Цехи потребители</w:t>
            </w:r>
          </w:p>
        </w:tc>
        <w:tc>
          <w:tcPr>
            <w:tcW w:w="1503" w:type="dxa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Горячая вода</w:t>
            </w:r>
          </w:p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тыс. м</w:t>
            </w:r>
            <w:r>
              <w:rPr>
                <w:kern w:val="2"/>
                <w:sz w:val="28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Услуги а/тр-а</w:t>
            </w:r>
          </w:p>
          <w:p w:rsidR="00411E7B" w:rsidRPr="005F3A43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 xml:space="preserve"> т</w:t>
            </w:r>
            <w:r w:rsidRPr="005F3A43">
              <w:rPr>
                <w:kern w:val="2"/>
                <w:sz w:val="28"/>
              </w:rPr>
              <w:t>-</w:t>
            </w:r>
            <w:r>
              <w:rPr>
                <w:kern w:val="2"/>
                <w:sz w:val="28"/>
              </w:rPr>
              <w:t>км</w:t>
            </w:r>
          </w:p>
        </w:tc>
      </w:tr>
      <w:tr w:rsidR="00411E7B" w:rsidTr="00203CFE">
        <w:trPr>
          <w:cantSplit/>
        </w:trPr>
        <w:tc>
          <w:tcPr>
            <w:tcW w:w="7144" w:type="dxa"/>
          </w:tcPr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1-ый передел;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2-ой передел;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3-ий передел;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4-ый передел.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Ремонтный цех;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Котельная;</w:t>
            </w:r>
          </w:p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Гараж.</w:t>
            </w:r>
          </w:p>
          <w:p w:rsidR="00411E7B" w:rsidRDefault="00411E7B" w:rsidP="00203CFE">
            <w:pPr>
              <w:widowControl w:val="0"/>
              <w:ind w:left="142"/>
              <w:jc w:val="both"/>
              <w:rPr>
                <w:kern w:val="2"/>
                <w:sz w:val="28"/>
              </w:rPr>
            </w:pPr>
            <w:r w:rsidRPr="0010797E">
              <w:rPr>
                <w:kern w:val="2"/>
              </w:rPr>
              <w:t>Заводоуправление</w:t>
            </w:r>
          </w:p>
        </w:tc>
        <w:tc>
          <w:tcPr>
            <w:tcW w:w="1503" w:type="dxa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19,0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13,0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9,0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6,0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-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4,0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5,0</w:t>
            </w:r>
          </w:p>
        </w:tc>
        <w:tc>
          <w:tcPr>
            <w:tcW w:w="1560" w:type="dxa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2850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1620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1320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1840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270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270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-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100</w:t>
            </w:r>
          </w:p>
        </w:tc>
      </w:tr>
      <w:tr w:rsidR="00411E7B" w:rsidTr="00203CFE">
        <w:trPr>
          <w:cantSplit/>
          <w:trHeight w:val="373"/>
        </w:trPr>
        <w:tc>
          <w:tcPr>
            <w:tcW w:w="7144" w:type="dxa"/>
            <w:vAlign w:val="center"/>
          </w:tcPr>
          <w:p w:rsidR="00411E7B" w:rsidRPr="0010797E" w:rsidRDefault="00411E7B" w:rsidP="00203CFE">
            <w:pPr>
              <w:widowControl w:val="0"/>
              <w:ind w:left="142"/>
              <w:jc w:val="both"/>
              <w:rPr>
                <w:kern w:val="2"/>
              </w:rPr>
            </w:pPr>
            <w:r w:rsidRPr="0010797E">
              <w:rPr>
                <w:kern w:val="2"/>
              </w:rPr>
              <w:t>Итого:</w:t>
            </w:r>
          </w:p>
        </w:tc>
        <w:tc>
          <w:tcPr>
            <w:tcW w:w="1503" w:type="dxa"/>
            <w:vAlign w:val="center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60,0</w:t>
            </w:r>
          </w:p>
        </w:tc>
        <w:tc>
          <w:tcPr>
            <w:tcW w:w="1560" w:type="dxa"/>
            <w:vAlign w:val="center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8270</w:t>
            </w:r>
          </w:p>
        </w:tc>
      </w:tr>
    </w:tbl>
    <w:p w:rsidR="00411E7B" w:rsidRDefault="00411E7B" w:rsidP="00411E7B">
      <w:pPr>
        <w:widowControl w:val="0"/>
        <w:ind w:left="142"/>
        <w:jc w:val="both"/>
        <w:rPr>
          <w:kern w:val="2"/>
          <w:sz w:val="28"/>
        </w:rPr>
      </w:pPr>
    </w:p>
    <w:p w:rsidR="00411E7B" w:rsidRDefault="00411E7B" w:rsidP="00411E7B">
      <w:pPr>
        <w:widowControl w:val="0"/>
        <w:spacing w:line="360" w:lineRule="auto"/>
        <w:ind w:firstLine="284"/>
        <w:jc w:val="both"/>
        <w:rPr>
          <w:kern w:val="2"/>
          <w:sz w:val="28"/>
        </w:rPr>
      </w:pPr>
      <w:r>
        <w:rPr>
          <w:kern w:val="2"/>
          <w:sz w:val="28"/>
        </w:rPr>
        <w:t xml:space="preserve">3. Плановая себестоимость услуг котельной – 4,4 руб. за </w:t>
      </w:r>
      <w:smartTag w:uri="urn:schemas-microsoft-com:office:smarttags" w:element="metricconverter">
        <w:smartTagPr>
          <w:attr w:name="ProductID" w:val="1 м3"/>
        </w:smartTagPr>
        <w:r>
          <w:rPr>
            <w:kern w:val="2"/>
            <w:sz w:val="28"/>
          </w:rPr>
          <w:t>1 м</w:t>
        </w:r>
        <w:r>
          <w:rPr>
            <w:kern w:val="2"/>
            <w:sz w:val="28"/>
            <w:vertAlign w:val="superscript"/>
          </w:rPr>
          <w:t>3</w:t>
        </w:r>
      </w:smartTag>
    </w:p>
    <w:p w:rsidR="00411E7B" w:rsidRDefault="00411E7B" w:rsidP="00411E7B">
      <w:pPr>
        <w:widowControl w:val="0"/>
        <w:spacing w:line="360" w:lineRule="auto"/>
        <w:ind w:firstLine="284"/>
        <w:rPr>
          <w:kern w:val="2"/>
          <w:sz w:val="28"/>
        </w:rPr>
      </w:pPr>
      <w:r>
        <w:rPr>
          <w:kern w:val="2"/>
          <w:sz w:val="28"/>
        </w:rPr>
        <w:t>Плановая себестоимость услуг гаража –15 руб. за 1  т-км.</w:t>
      </w:r>
    </w:p>
    <w:p w:rsidR="00411E7B" w:rsidRPr="005F3A43" w:rsidRDefault="00411E7B" w:rsidP="00411E7B">
      <w:pPr>
        <w:widowControl w:val="0"/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4. Остатки незавершенного производства на начало месяца по ремонтному цеху, руб.:</w:t>
      </w:r>
    </w:p>
    <w:p w:rsidR="00411E7B" w:rsidRDefault="00411E7B" w:rsidP="00411E7B">
      <w:pPr>
        <w:widowControl w:val="0"/>
        <w:ind w:left="142"/>
        <w:jc w:val="right"/>
        <w:rPr>
          <w:kern w:val="2"/>
          <w:sz w:val="28"/>
        </w:rPr>
      </w:pPr>
      <w:r>
        <w:rPr>
          <w:kern w:val="2"/>
          <w:sz w:val="28"/>
        </w:rPr>
        <w:t>Таблица 3</w:t>
      </w:r>
    </w:p>
    <w:p w:rsidR="00411E7B" w:rsidRDefault="00411E7B" w:rsidP="00411E7B">
      <w:pPr>
        <w:widowControl w:val="0"/>
        <w:spacing w:line="120" w:lineRule="auto"/>
        <w:ind w:left="142"/>
        <w:jc w:val="right"/>
        <w:rPr>
          <w:kern w:val="2"/>
          <w:sz w:val="28"/>
        </w:rPr>
      </w:pPr>
    </w:p>
    <w:tbl>
      <w:tblPr>
        <w:tblW w:w="9369" w:type="dxa"/>
        <w:tblInd w:w="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5955"/>
        <w:gridCol w:w="1695"/>
        <w:gridCol w:w="6"/>
        <w:gridCol w:w="1713"/>
      </w:tblGrid>
      <w:tr w:rsidR="00411E7B" w:rsidTr="00203CFE">
        <w:trPr>
          <w:cantSplit/>
        </w:trPr>
        <w:tc>
          <w:tcPr>
            <w:tcW w:w="5955" w:type="dxa"/>
            <w:vMerge w:val="restart"/>
            <w:tcBorders>
              <w:bottom w:val="nil"/>
            </w:tcBorders>
            <w:vAlign w:val="center"/>
          </w:tcPr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Статья расходов</w:t>
            </w:r>
          </w:p>
        </w:tc>
        <w:tc>
          <w:tcPr>
            <w:tcW w:w="1695" w:type="dxa"/>
            <w:tcBorders>
              <w:bottom w:val="nil"/>
              <w:right w:val="single" w:sz="4" w:space="0" w:color="auto"/>
            </w:tcBorders>
            <w:vAlign w:val="center"/>
          </w:tcPr>
          <w:p w:rsidR="00411E7B" w:rsidRPr="00FB4960" w:rsidRDefault="00411E7B" w:rsidP="00203CFE">
            <w:pPr>
              <w:widowControl w:val="0"/>
              <w:ind w:left="142"/>
              <w:jc w:val="center"/>
              <w:rPr>
                <w:color w:val="FF0000"/>
                <w:kern w:val="2"/>
                <w:sz w:val="28"/>
              </w:rPr>
            </w:pPr>
          </w:p>
        </w:tc>
        <w:tc>
          <w:tcPr>
            <w:tcW w:w="1719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</w:p>
        </w:tc>
      </w:tr>
      <w:tr w:rsidR="00411E7B" w:rsidTr="00203CFE">
        <w:trPr>
          <w:cantSplit/>
        </w:trPr>
        <w:tc>
          <w:tcPr>
            <w:tcW w:w="5955" w:type="dxa"/>
            <w:vMerge/>
            <w:tcBorders>
              <w:top w:val="nil"/>
            </w:tcBorders>
            <w:vAlign w:val="center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 w:rsidRPr="006C512A">
              <w:rPr>
                <w:kern w:val="2"/>
                <w:sz w:val="28"/>
              </w:rPr>
              <w:t>Заказ</w:t>
            </w:r>
            <w:r>
              <w:rPr>
                <w:kern w:val="2"/>
                <w:sz w:val="28"/>
              </w:rPr>
              <w:t xml:space="preserve"> 101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</w:tcBorders>
            <w:vAlign w:val="center"/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Заказ 103</w:t>
            </w:r>
          </w:p>
        </w:tc>
      </w:tr>
      <w:tr w:rsidR="00411E7B" w:rsidTr="00203CFE">
        <w:trPr>
          <w:cantSplit/>
        </w:trPr>
        <w:tc>
          <w:tcPr>
            <w:tcW w:w="5955" w:type="dxa"/>
            <w:tcBorders>
              <w:bottom w:val="nil"/>
            </w:tcBorders>
            <w:vAlign w:val="center"/>
          </w:tcPr>
          <w:p w:rsidR="00411E7B" w:rsidRPr="0010797E" w:rsidRDefault="00411E7B" w:rsidP="00203CFE">
            <w:pPr>
              <w:widowControl w:val="0"/>
              <w:spacing w:line="120" w:lineRule="auto"/>
              <w:ind w:left="142"/>
              <w:rPr>
                <w:kern w:val="2"/>
              </w:rPr>
            </w:pPr>
          </w:p>
          <w:p w:rsidR="00411E7B" w:rsidRPr="0010797E" w:rsidRDefault="00411E7B" w:rsidP="00203CFE">
            <w:pPr>
              <w:widowControl w:val="0"/>
              <w:ind w:firstLine="100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  <w:r w:rsidRPr="0010797E">
              <w:rPr>
                <w:kern w:val="2"/>
              </w:rPr>
              <w:t>Сырье и материалы</w:t>
            </w:r>
          </w:p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Возвратные отходы</w:t>
            </w:r>
          </w:p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Основная з/плата производственных рабочих</w:t>
            </w:r>
          </w:p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Дополнительная з/плата производственных рабочих</w:t>
            </w:r>
          </w:p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Отчисления на социальное страхование и обеспечение</w:t>
            </w:r>
          </w:p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Общепроизводственные расходы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411E7B" w:rsidRPr="0010797E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</w:rPr>
            </w:pP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9500</w:t>
            </w: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-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5840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470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2430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9200</w:t>
            </w:r>
          </w:p>
          <w:p w:rsidR="00411E7B" w:rsidRPr="0010797E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</w:rPr>
            </w:pPr>
          </w:p>
        </w:tc>
        <w:tc>
          <w:tcPr>
            <w:tcW w:w="1713" w:type="dxa"/>
            <w:tcBorders>
              <w:bottom w:val="nil"/>
            </w:tcBorders>
            <w:vAlign w:val="center"/>
          </w:tcPr>
          <w:p w:rsidR="00411E7B" w:rsidRPr="0010797E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</w:rPr>
            </w:pP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1150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100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50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230</w:t>
            </w:r>
          </w:p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920</w:t>
            </w:r>
          </w:p>
        </w:tc>
      </w:tr>
      <w:tr w:rsidR="00411E7B" w:rsidTr="00203CFE">
        <w:trPr>
          <w:cantSplit/>
        </w:trPr>
        <w:tc>
          <w:tcPr>
            <w:tcW w:w="5955" w:type="dxa"/>
            <w:vAlign w:val="center"/>
          </w:tcPr>
          <w:p w:rsidR="00411E7B" w:rsidRPr="0010797E" w:rsidRDefault="00411E7B" w:rsidP="00203CFE">
            <w:pPr>
              <w:widowControl w:val="0"/>
              <w:ind w:left="142"/>
              <w:rPr>
                <w:kern w:val="2"/>
              </w:rPr>
            </w:pPr>
            <w:r w:rsidRPr="0010797E">
              <w:rPr>
                <w:kern w:val="2"/>
              </w:rPr>
              <w:t>Итого:</w:t>
            </w:r>
          </w:p>
          <w:p w:rsidR="00411E7B" w:rsidRPr="0010797E" w:rsidRDefault="00411E7B" w:rsidP="00203CFE">
            <w:pPr>
              <w:widowControl w:val="0"/>
              <w:spacing w:line="72" w:lineRule="auto"/>
              <w:ind w:left="142"/>
              <w:rPr>
                <w:kern w:val="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27440</w:t>
            </w:r>
          </w:p>
        </w:tc>
        <w:tc>
          <w:tcPr>
            <w:tcW w:w="1713" w:type="dxa"/>
            <w:vAlign w:val="center"/>
          </w:tcPr>
          <w:p w:rsidR="00411E7B" w:rsidRPr="0010797E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10797E">
              <w:rPr>
                <w:kern w:val="2"/>
              </w:rPr>
              <w:t>2800</w:t>
            </w:r>
          </w:p>
        </w:tc>
      </w:tr>
    </w:tbl>
    <w:p w:rsidR="00411E7B" w:rsidRDefault="00411E7B" w:rsidP="00411E7B">
      <w:pPr>
        <w:widowControl w:val="0"/>
        <w:ind w:left="142"/>
        <w:jc w:val="both"/>
        <w:rPr>
          <w:kern w:val="2"/>
          <w:sz w:val="28"/>
        </w:rPr>
      </w:pPr>
    </w:p>
    <w:p w:rsidR="00411E7B" w:rsidRDefault="00411E7B" w:rsidP="00411E7B">
      <w:pPr>
        <w:widowControl w:val="0"/>
        <w:ind w:left="142" w:firstLine="709"/>
        <w:jc w:val="both"/>
        <w:rPr>
          <w:kern w:val="2"/>
          <w:sz w:val="28"/>
        </w:rPr>
      </w:pPr>
      <w:r>
        <w:rPr>
          <w:kern w:val="2"/>
          <w:sz w:val="28"/>
        </w:rPr>
        <w:t>5. Выписка из ведомости распределения расхода основных материалов и заработной платы по ремонтному цеху, руб.:</w:t>
      </w:r>
    </w:p>
    <w:p w:rsidR="00516F75" w:rsidRDefault="00516F75" w:rsidP="00411E7B">
      <w:pPr>
        <w:widowControl w:val="0"/>
        <w:ind w:left="142"/>
        <w:jc w:val="right"/>
        <w:rPr>
          <w:kern w:val="2"/>
          <w:sz w:val="28"/>
          <w:lang w:val="en-US"/>
        </w:rPr>
      </w:pPr>
    </w:p>
    <w:p w:rsidR="00411E7B" w:rsidRDefault="00411E7B" w:rsidP="00411E7B">
      <w:pPr>
        <w:widowControl w:val="0"/>
        <w:ind w:left="142"/>
        <w:jc w:val="right"/>
        <w:rPr>
          <w:kern w:val="2"/>
          <w:sz w:val="28"/>
        </w:rPr>
      </w:pPr>
      <w:r>
        <w:rPr>
          <w:kern w:val="2"/>
          <w:sz w:val="28"/>
        </w:rPr>
        <w:t>Таблица 4</w:t>
      </w:r>
    </w:p>
    <w:p w:rsidR="00411E7B" w:rsidRDefault="00411E7B" w:rsidP="00411E7B">
      <w:pPr>
        <w:widowControl w:val="0"/>
        <w:spacing w:line="120" w:lineRule="auto"/>
        <w:ind w:left="142"/>
        <w:jc w:val="right"/>
        <w:rPr>
          <w:kern w:val="2"/>
          <w:sz w:val="28"/>
        </w:rPr>
      </w:pPr>
    </w:p>
    <w:tbl>
      <w:tblPr>
        <w:tblW w:w="0" w:type="auto"/>
        <w:tblInd w:w="3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095"/>
        <w:gridCol w:w="1701"/>
        <w:gridCol w:w="1559"/>
      </w:tblGrid>
      <w:tr w:rsidR="00411E7B" w:rsidTr="00203CFE">
        <w:trPr>
          <w:cantSplit/>
          <w:trHeight w:val="224"/>
        </w:trPr>
        <w:tc>
          <w:tcPr>
            <w:tcW w:w="6095" w:type="dxa"/>
            <w:vMerge w:val="restart"/>
          </w:tcPr>
          <w:p w:rsidR="00411E7B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  <w:sz w:val="28"/>
              </w:rPr>
            </w:pPr>
          </w:p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Вид затрат</w:t>
            </w: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</w:p>
        </w:tc>
      </w:tr>
      <w:tr w:rsidR="00411E7B" w:rsidTr="00203CFE">
        <w:trPr>
          <w:cantSplit/>
          <w:trHeight w:val="460"/>
        </w:trPr>
        <w:tc>
          <w:tcPr>
            <w:tcW w:w="6095" w:type="dxa"/>
            <w:vMerge/>
          </w:tcPr>
          <w:p w:rsidR="00411E7B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  <w:sz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Заказ 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E7B" w:rsidRDefault="00411E7B" w:rsidP="00203CFE">
            <w:pPr>
              <w:widowControl w:val="0"/>
              <w:ind w:left="142"/>
              <w:jc w:val="center"/>
              <w:rPr>
                <w:kern w:val="2"/>
                <w:sz w:val="28"/>
              </w:rPr>
            </w:pPr>
            <w:r>
              <w:rPr>
                <w:kern w:val="2"/>
                <w:sz w:val="28"/>
              </w:rPr>
              <w:t>Заказ 103</w:t>
            </w:r>
          </w:p>
        </w:tc>
      </w:tr>
      <w:tr w:rsidR="00411E7B" w:rsidTr="00203CFE">
        <w:tc>
          <w:tcPr>
            <w:tcW w:w="6095" w:type="dxa"/>
          </w:tcPr>
          <w:p w:rsidR="00411E7B" w:rsidRPr="00FB4960" w:rsidRDefault="00411E7B" w:rsidP="00203CFE">
            <w:pPr>
              <w:widowControl w:val="0"/>
              <w:ind w:left="142"/>
              <w:rPr>
                <w:kern w:val="2"/>
              </w:rPr>
            </w:pPr>
            <w:r w:rsidRPr="00FB4960">
              <w:rPr>
                <w:kern w:val="2"/>
              </w:rPr>
              <w:t>Материалы</w:t>
            </w:r>
          </w:p>
          <w:p w:rsidR="00411E7B" w:rsidRPr="00FB4960" w:rsidRDefault="00411E7B" w:rsidP="00203CFE">
            <w:pPr>
              <w:widowControl w:val="0"/>
              <w:ind w:left="142"/>
              <w:rPr>
                <w:kern w:val="2"/>
              </w:rPr>
            </w:pPr>
            <w:r w:rsidRPr="00FB4960">
              <w:rPr>
                <w:kern w:val="2"/>
              </w:rPr>
              <w:t>Возвратные отходы</w:t>
            </w:r>
          </w:p>
          <w:p w:rsidR="00411E7B" w:rsidRPr="00FB4960" w:rsidRDefault="00411E7B" w:rsidP="00203CFE">
            <w:pPr>
              <w:widowControl w:val="0"/>
              <w:ind w:left="142"/>
              <w:rPr>
                <w:kern w:val="2"/>
              </w:rPr>
            </w:pPr>
            <w:r w:rsidRPr="00FB4960">
              <w:rPr>
                <w:kern w:val="2"/>
              </w:rPr>
              <w:t>Основная заработная плата производственных рабочих</w:t>
            </w:r>
          </w:p>
          <w:p w:rsidR="00411E7B" w:rsidRPr="00FB4960" w:rsidRDefault="00411E7B" w:rsidP="00203CFE">
            <w:pPr>
              <w:widowControl w:val="0"/>
              <w:spacing w:line="120" w:lineRule="auto"/>
              <w:ind w:left="142"/>
              <w:rPr>
                <w:kern w:val="2"/>
              </w:rPr>
            </w:pPr>
          </w:p>
        </w:tc>
        <w:tc>
          <w:tcPr>
            <w:tcW w:w="1701" w:type="dxa"/>
          </w:tcPr>
          <w:p w:rsidR="00411E7B" w:rsidRPr="00FB4960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</w:rPr>
            </w:pP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10500</w:t>
            </w: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800</w:t>
            </w: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6510</w:t>
            </w:r>
          </w:p>
        </w:tc>
        <w:tc>
          <w:tcPr>
            <w:tcW w:w="1559" w:type="dxa"/>
          </w:tcPr>
          <w:p w:rsidR="00411E7B" w:rsidRPr="00FB4960" w:rsidRDefault="00411E7B" w:rsidP="00203CFE">
            <w:pPr>
              <w:widowControl w:val="0"/>
              <w:spacing w:line="120" w:lineRule="auto"/>
              <w:ind w:left="142"/>
              <w:jc w:val="center"/>
              <w:rPr>
                <w:kern w:val="2"/>
              </w:rPr>
            </w:pP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-</w:t>
            </w: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-</w:t>
            </w:r>
          </w:p>
          <w:p w:rsidR="00411E7B" w:rsidRPr="00FB4960" w:rsidRDefault="00411E7B" w:rsidP="00203CFE">
            <w:pPr>
              <w:widowControl w:val="0"/>
              <w:ind w:left="142"/>
              <w:jc w:val="center"/>
              <w:rPr>
                <w:kern w:val="2"/>
              </w:rPr>
            </w:pPr>
            <w:r w:rsidRPr="00FB4960">
              <w:rPr>
                <w:kern w:val="2"/>
              </w:rPr>
              <w:t>4000</w:t>
            </w:r>
          </w:p>
        </w:tc>
      </w:tr>
    </w:tbl>
    <w:p w:rsidR="00411E7B" w:rsidRDefault="00411E7B" w:rsidP="00411E7B">
      <w:pPr>
        <w:widowControl w:val="0"/>
        <w:spacing w:line="360" w:lineRule="auto"/>
        <w:ind w:left="142" w:firstLine="709"/>
        <w:jc w:val="both"/>
        <w:rPr>
          <w:kern w:val="2"/>
          <w:sz w:val="28"/>
        </w:rPr>
      </w:pPr>
    </w:p>
    <w:p w:rsidR="00411E7B" w:rsidRDefault="00411E7B" w:rsidP="00411E7B">
      <w:pPr>
        <w:widowControl w:val="0"/>
        <w:spacing w:line="360" w:lineRule="auto"/>
        <w:ind w:left="142" w:firstLine="709"/>
        <w:jc w:val="both"/>
        <w:rPr>
          <w:kern w:val="2"/>
          <w:sz w:val="28"/>
        </w:rPr>
      </w:pPr>
      <w:r>
        <w:rPr>
          <w:kern w:val="2"/>
          <w:sz w:val="28"/>
        </w:rPr>
        <w:t>6. Дополнительная зарплата производственных рабочих ремонтного цеха в текущем месяце составляет 8 % от основной зарплаты производственных рабочих.</w:t>
      </w:r>
    </w:p>
    <w:p w:rsidR="00411E7B" w:rsidRDefault="00411E7B" w:rsidP="00411E7B">
      <w:pPr>
        <w:widowControl w:val="0"/>
        <w:spacing w:line="360" w:lineRule="auto"/>
        <w:ind w:left="142" w:firstLine="709"/>
        <w:jc w:val="both"/>
        <w:rPr>
          <w:kern w:val="2"/>
          <w:sz w:val="28"/>
        </w:rPr>
      </w:pPr>
      <w:r>
        <w:rPr>
          <w:kern w:val="2"/>
          <w:sz w:val="28"/>
        </w:rPr>
        <w:t>7. На начало текущего месяца в ремонтном цехе были открыты заказы №101 - наладка оборудования в цехе 3 (сушка кирпича) и №103 - ремонт помещения автотранспортного цеха. В отчетном месяце выполнен заказ № 103, заказ № 101 переходит на следующий месяц.</w:t>
      </w:r>
    </w:p>
    <w:p w:rsidR="00411E7B" w:rsidRDefault="00411E7B" w:rsidP="00411E7B">
      <w:pPr>
        <w:widowControl w:val="0"/>
        <w:tabs>
          <w:tab w:val="left" w:pos="-2694"/>
        </w:tabs>
        <w:ind w:left="142"/>
        <w:jc w:val="both"/>
        <w:rPr>
          <w:kern w:val="2"/>
          <w:sz w:val="28"/>
        </w:rPr>
      </w:pPr>
      <w:r>
        <w:rPr>
          <w:b/>
          <w:kern w:val="2"/>
          <w:sz w:val="28"/>
        </w:rPr>
        <w:tab/>
      </w:r>
      <w:r>
        <w:rPr>
          <w:b/>
          <w:kern w:val="2"/>
          <w:sz w:val="28"/>
        </w:rPr>
        <w:tab/>
      </w:r>
      <w:r>
        <w:rPr>
          <w:b/>
          <w:kern w:val="2"/>
          <w:sz w:val="28"/>
        </w:rPr>
        <w:tab/>
      </w:r>
      <w:r>
        <w:rPr>
          <w:b/>
          <w:kern w:val="2"/>
          <w:sz w:val="28"/>
        </w:rPr>
        <w:tab/>
      </w:r>
    </w:p>
    <w:p w:rsidR="00411E7B" w:rsidRDefault="00411E7B" w:rsidP="00411E7B">
      <w:pPr>
        <w:widowControl w:val="0"/>
        <w:ind w:left="142" w:firstLine="709"/>
        <w:jc w:val="both"/>
        <w:rPr>
          <w:kern w:val="2"/>
          <w:sz w:val="28"/>
        </w:rPr>
      </w:pPr>
      <w:r>
        <w:rPr>
          <w:kern w:val="2"/>
          <w:sz w:val="28"/>
        </w:rPr>
        <w:tab/>
      </w:r>
      <w:r>
        <w:rPr>
          <w:kern w:val="2"/>
          <w:sz w:val="28"/>
        </w:rPr>
        <w:tab/>
      </w:r>
    </w:p>
    <w:p w:rsidR="00411E7B" w:rsidRPr="00B12C88" w:rsidRDefault="00411E7B" w:rsidP="00B12C88">
      <w:pPr>
        <w:widowControl w:val="0"/>
        <w:ind w:left="142"/>
        <w:jc w:val="center"/>
        <w:rPr>
          <w:kern w:val="2"/>
        </w:rPr>
      </w:pPr>
      <w:r>
        <w:rPr>
          <w:kern w:val="2"/>
        </w:rPr>
        <w:br w:type="page"/>
      </w:r>
      <w:r w:rsidR="00B12C88">
        <w:rPr>
          <w:kern w:val="2"/>
        </w:rPr>
        <w:t xml:space="preserve"> </w:t>
      </w:r>
      <w:bookmarkStart w:id="8" w:name="_GoBack"/>
      <w:bookmarkEnd w:id="8"/>
    </w:p>
    <w:sectPr w:rsidR="00411E7B" w:rsidRPr="00B12C88" w:rsidSect="00806B22">
      <w:footerReference w:type="even" r:id="rId7"/>
      <w:footerReference w:type="default" r:id="rId8"/>
      <w:pgSz w:w="11906" w:h="16838"/>
      <w:pgMar w:top="1134" w:right="850" w:bottom="899" w:left="1701" w:header="708" w:footer="708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B42" w:rsidRDefault="00D05B42">
      <w:r>
        <w:separator/>
      </w:r>
    </w:p>
  </w:endnote>
  <w:endnote w:type="continuationSeparator" w:id="0">
    <w:p w:rsidR="00D05B42" w:rsidRDefault="00D0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88" w:rsidRDefault="00B12C88" w:rsidP="00CD24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2C88" w:rsidRDefault="00B12C88" w:rsidP="00CD249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88" w:rsidRDefault="00B12C88" w:rsidP="00CD24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4F29">
      <w:rPr>
        <w:rStyle w:val="a8"/>
        <w:noProof/>
      </w:rPr>
      <w:t>22</w:t>
    </w:r>
    <w:r>
      <w:rPr>
        <w:rStyle w:val="a8"/>
      </w:rPr>
      <w:fldChar w:fldCharType="end"/>
    </w:r>
  </w:p>
  <w:p w:rsidR="00B12C88" w:rsidRDefault="00B12C88" w:rsidP="00CD24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B42" w:rsidRDefault="00D05B42">
      <w:r>
        <w:separator/>
      </w:r>
    </w:p>
  </w:footnote>
  <w:footnote w:type="continuationSeparator" w:id="0">
    <w:p w:rsidR="00D05B42" w:rsidRDefault="00D0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E2880FC"/>
    <w:lvl w:ilvl="0">
      <w:numFmt w:val="bullet"/>
      <w:lvlText w:val="*"/>
      <w:lvlJc w:val="left"/>
    </w:lvl>
  </w:abstractNum>
  <w:abstractNum w:abstractNumId="1">
    <w:nsid w:val="01507FFE"/>
    <w:multiLevelType w:val="hybridMultilevel"/>
    <w:tmpl w:val="28AEF320"/>
    <w:lvl w:ilvl="0" w:tplc="D32A72C2">
      <w:start w:val="1"/>
      <w:numFmt w:val="decimal"/>
      <w:lvlText w:val="%1."/>
      <w:lvlJc w:val="left"/>
      <w:pPr>
        <w:tabs>
          <w:tab w:val="num" w:pos="1247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2794C"/>
    <w:multiLevelType w:val="hybridMultilevel"/>
    <w:tmpl w:val="542440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1184904"/>
    <w:multiLevelType w:val="hybridMultilevel"/>
    <w:tmpl w:val="B302E3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1600C27"/>
    <w:multiLevelType w:val="hybridMultilevel"/>
    <w:tmpl w:val="C51A11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D0B4A29"/>
    <w:multiLevelType w:val="hybridMultilevel"/>
    <w:tmpl w:val="79564DB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090421E"/>
    <w:multiLevelType w:val="hybridMultilevel"/>
    <w:tmpl w:val="046605A4"/>
    <w:lvl w:ilvl="0" w:tplc="F9E2F5AA">
      <w:start w:val="1"/>
      <w:numFmt w:val="decimal"/>
      <w:lvlText w:val="%1."/>
      <w:lvlJc w:val="left"/>
      <w:pPr>
        <w:tabs>
          <w:tab w:val="num" w:pos="1846"/>
        </w:tabs>
        <w:ind w:left="1846" w:hanging="113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F130870"/>
    <w:multiLevelType w:val="hybridMultilevel"/>
    <w:tmpl w:val="E698E56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4DD701B2"/>
    <w:multiLevelType w:val="hybridMultilevel"/>
    <w:tmpl w:val="846CB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F5677B"/>
    <w:multiLevelType w:val="hybridMultilevel"/>
    <w:tmpl w:val="4C56D6F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52AD0808"/>
    <w:multiLevelType w:val="hybridMultilevel"/>
    <w:tmpl w:val="91AE4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1F24C7"/>
    <w:multiLevelType w:val="hybridMultilevel"/>
    <w:tmpl w:val="4D0E83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0E35E5"/>
    <w:multiLevelType w:val="hybridMultilevel"/>
    <w:tmpl w:val="AD48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3B54D4"/>
    <w:multiLevelType w:val="hybridMultilevel"/>
    <w:tmpl w:val="1E865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0052C7"/>
    <w:multiLevelType w:val="hybridMultilevel"/>
    <w:tmpl w:val="AC98D2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8B6E5D2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Arial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4"/>
  </w:num>
  <w:num w:numId="5">
    <w:abstractNumId w:val="3"/>
  </w:num>
  <w:num w:numId="6">
    <w:abstractNumId w:val="11"/>
  </w:num>
  <w:num w:numId="7">
    <w:abstractNumId w:val="13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12"/>
  </w:num>
  <w:num w:numId="13">
    <w:abstractNumId w:val="9"/>
  </w:num>
  <w:num w:numId="14">
    <w:abstractNumId w:val="2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459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38A"/>
    <w:rsid w:val="00023CB1"/>
    <w:rsid w:val="000E4782"/>
    <w:rsid w:val="000F5ABE"/>
    <w:rsid w:val="0012299D"/>
    <w:rsid w:val="00203CFE"/>
    <w:rsid w:val="002B5F03"/>
    <w:rsid w:val="0030185B"/>
    <w:rsid w:val="00317A89"/>
    <w:rsid w:val="00387A92"/>
    <w:rsid w:val="003C5A12"/>
    <w:rsid w:val="00411E7B"/>
    <w:rsid w:val="004818E9"/>
    <w:rsid w:val="0048248E"/>
    <w:rsid w:val="004D1C77"/>
    <w:rsid w:val="004E2105"/>
    <w:rsid w:val="00516F75"/>
    <w:rsid w:val="0054373A"/>
    <w:rsid w:val="005D0DAD"/>
    <w:rsid w:val="006C3F8E"/>
    <w:rsid w:val="0075238A"/>
    <w:rsid w:val="007F4FCC"/>
    <w:rsid w:val="0080604A"/>
    <w:rsid w:val="00806B22"/>
    <w:rsid w:val="00887072"/>
    <w:rsid w:val="008C5F4B"/>
    <w:rsid w:val="008E012D"/>
    <w:rsid w:val="008F6DB9"/>
    <w:rsid w:val="009949B4"/>
    <w:rsid w:val="00A060A1"/>
    <w:rsid w:val="00A10354"/>
    <w:rsid w:val="00A50DF1"/>
    <w:rsid w:val="00AB3F66"/>
    <w:rsid w:val="00B12C88"/>
    <w:rsid w:val="00B56B8E"/>
    <w:rsid w:val="00BA0341"/>
    <w:rsid w:val="00C90160"/>
    <w:rsid w:val="00CD0C08"/>
    <w:rsid w:val="00CD2497"/>
    <w:rsid w:val="00D04DC8"/>
    <w:rsid w:val="00D05B42"/>
    <w:rsid w:val="00D42DEF"/>
    <w:rsid w:val="00D92DDE"/>
    <w:rsid w:val="00DE000A"/>
    <w:rsid w:val="00E7739B"/>
    <w:rsid w:val="00F32AB5"/>
    <w:rsid w:val="00F84F29"/>
    <w:rsid w:val="00F8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ED10D-F188-42AE-B60D-0A0B4D57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38A"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7F4FCC"/>
    <w:pPr>
      <w:keepNext/>
      <w:spacing w:before="240" w:after="120"/>
      <w:jc w:val="center"/>
      <w:outlineLvl w:val="0"/>
    </w:pPr>
    <w:rPr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4818E9"/>
    <w:pPr>
      <w:keepNext/>
      <w:spacing w:line="360" w:lineRule="auto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437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autoRedefine/>
    <w:rsid w:val="00F32AB5"/>
    <w:pPr>
      <w:spacing w:line="360" w:lineRule="auto"/>
      <w:jc w:val="center"/>
    </w:pPr>
    <w:rPr>
      <w:b/>
      <w:sz w:val="28"/>
    </w:rPr>
  </w:style>
  <w:style w:type="paragraph" w:customStyle="1" w:styleId="21">
    <w:name w:val="Стиль2"/>
    <w:basedOn w:val="11"/>
    <w:link w:val="22"/>
    <w:autoRedefine/>
    <w:rsid w:val="0030185B"/>
    <w:pPr>
      <w:jc w:val="both"/>
    </w:pPr>
    <w:rPr>
      <w:b w:val="0"/>
    </w:rPr>
  </w:style>
  <w:style w:type="paragraph" w:styleId="a3">
    <w:name w:val="Normal (Web)"/>
    <w:basedOn w:val="a"/>
    <w:rsid w:val="0075238A"/>
    <w:pPr>
      <w:spacing w:before="100" w:beforeAutospacing="1" w:after="100" w:afterAutospacing="1"/>
    </w:pPr>
  </w:style>
  <w:style w:type="character" w:styleId="a4">
    <w:name w:val="Strong"/>
    <w:basedOn w:val="a0"/>
    <w:qFormat/>
    <w:rsid w:val="0075238A"/>
    <w:rPr>
      <w:b/>
      <w:bCs/>
    </w:rPr>
  </w:style>
  <w:style w:type="character" w:styleId="a5">
    <w:name w:val="Emphasis"/>
    <w:basedOn w:val="a0"/>
    <w:qFormat/>
    <w:rsid w:val="0075238A"/>
    <w:rPr>
      <w:i/>
      <w:iCs/>
    </w:rPr>
  </w:style>
  <w:style w:type="paragraph" w:customStyle="1" w:styleId="2125">
    <w:name w:val="Стиль Стиль2 + Первая строка:  125 см"/>
    <w:basedOn w:val="21"/>
    <w:link w:val="21250"/>
    <w:autoRedefine/>
    <w:rsid w:val="00BA0341"/>
    <w:pPr>
      <w:spacing w:line="240" w:lineRule="auto"/>
      <w:jc w:val="left"/>
    </w:pPr>
    <w:rPr>
      <w:szCs w:val="20"/>
    </w:rPr>
  </w:style>
  <w:style w:type="character" w:customStyle="1" w:styleId="12">
    <w:name w:val="Стиль1 Знак"/>
    <w:basedOn w:val="a0"/>
    <w:link w:val="11"/>
    <w:rsid w:val="004818E9"/>
    <w:rPr>
      <w:b/>
      <w:sz w:val="28"/>
      <w:szCs w:val="24"/>
      <w:lang w:val="ru-RU" w:eastAsia="ru-RU" w:bidi="ar-SA"/>
    </w:rPr>
  </w:style>
  <w:style w:type="character" w:customStyle="1" w:styleId="22">
    <w:name w:val="Стиль2 Знак"/>
    <w:basedOn w:val="12"/>
    <w:link w:val="21"/>
    <w:rsid w:val="0030185B"/>
    <w:rPr>
      <w:b/>
      <w:sz w:val="28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7F4FCC"/>
    <w:rPr>
      <w:kern w:val="32"/>
      <w:sz w:val="28"/>
      <w:szCs w:val="28"/>
      <w:lang w:val="ru-RU" w:eastAsia="ru-RU" w:bidi="ar-SA"/>
    </w:rPr>
  </w:style>
  <w:style w:type="character" w:customStyle="1" w:styleId="21250">
    <w:name w:val="Стиль Стиль2 + Первая строка:  125 см Знак"/>
    <w:basedOn w:val="22"/>
    <w:link w:val="2125"/>
    <w:rsid w:val="00BA0341"/>
    <w:rPr>
      <w:b/>
      <w:sz w:val="28"/>
      <w:szCs w:val="24"/>
      <w:lang w:val="ru-RU" w:eastAsia="ru-RU" w:bidi="ar-SA"/>
    </w:rPr>
  </w:style>
  <w:style w:type="paragraph" w:customStyle="1" w:styleId="Default">
    <w:name w:val="Default"/>
    <w:rsid w:val="00A1035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00">
    <w:name w:val="Обычный+10"/>
    <w:basedOn w:val="Default"/>
    <w:next w:val="Default"/>
    <w:rsid w:val="00A10354"/>
    <w:rPr>
      <w:color w:val="auto"/>
    </w:rPr>
  </w:style>
  <w:style w:type="paragraph" w:styleId="13">
    <w:name w:val="toc 1"/>
    <w:basedOn w:val="a"/>
    <w:next w:val="a"/>
    <w:autoRedefine/>
    <w:semiHidden/>
    <w:rsid w:val="0054373A"/>
  </w:style>
  <w:style w:type="character" w:styleId="a6">
    <w:name w:val="Hyperlink"/>
    <w:basedOn w:val="a0"/>
    <w:rsid w:val="0054373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90160"/>
    <w:rPr>
      <w:rFonts w:cs="Arial"/>
      <w:bCs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C9016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7">
    <w:name w:val="footer"/>
    <w:basedOn w:val="a"/>
    <w:rsid w:val="00CD249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D2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4695</Words>
  <Characters>26767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31400</CharactersWithSpaces>
  <SharedDoc>false</SharedDoc>
  <HLinks>
    <vt:vector size="42" baseType="variant">
      <vt:variant>
        <vt:i4>1179709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_Toc248860198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_Toc248860197</vt:lpwstr>
      </vt:variant>
      <vt:variant>
        <vt:i4>1179709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_Toc248860195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_Toc248860194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_Toc248860191</vt:lpwstr>
      </vt:variant>
      <vt:variant>
        <vt:i4>1245245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_Toc248860189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_Toc248860188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Надюша</dc:creator>
  <cp:keywords/>
  <dc:description/>
  <cp:lastModifiedBy>admin</cp:lastModifiedBy>
  <cp:revision>2</cp:revision>
  <cp:lastPrinted>2010-12-26T13:45:00Z</cp:lastPrinted>
  <dcterms:created xsi:type="dcterms:W3CDTF">2014-04-25T19:49:00Z</dcterms:created>
  <dcterms:modified xsi:type="dcterms:W3CDTF">2014-04-25T19:49:00Z</dcterms:modified>
</cp:coreProperties>
</file>