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5C7" w:rsidRDefault="007E3CE4" w:rsidP="001D0959">
      <w:pPr>
        <w:spacing w:after="12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О СЛОЖНОСТЯХ УЧЕТА УБЫТКОВ ПРИ ПРИМЕНЕНИИ УПРОЩЕННОЙ СИСТЕМЫ НАЛОГООБЛАЖЕНИЯ</w:t>
      </w:r>
    </w:p>
    <w:p w:rsidR="006C008D" w:rsidRPr="006C008D" w:rsidRDefault="006C008D" w:rsidP="001D0959">
      <w:pPr>
        <w:spacing w:after="120"/>
        <w:jc w:val="center"/>
        <w:rPr>
          <w:b/>
          <w:sz w:val="28"/>
          <w:szCs w:val="28"/>
          <w:lang w:val="en-US"/>
        </w:rPr>
      </w:pPr>
    </w:p>
    <w:p w:rsidR="007E3CE4" w:rsidRPr="00992812" w:rsidRDefault="003315D1" w:rsidP="001D0959">
      <w:pPr>
        <w:spacing w:after="120"/>
        <w:jc w:val="center"/>
        <w:rPr>
          <w:i/>
          <w:sz w:val="28"/>
          <w:szCs w:val="28"/>
        </w:rPr>
      </w:pPr>
      <w:r w:rsidRPr="00992812">
        <w:rPr>
          <w:i/>
          <w:sz w:val="28"/>
          <w:szCs w:val="28"/>
        </w:rPr>
        <w:t>Л.И.</w:t>
      </w:r>
      <w:r w:rsidR="00992812" w:rsidRPr="00992812">
        <w:rPr>
          <w:i/>
          <w:sz w:val="28"/>
          <w:szCs w:val="28"/>
        </w:rPr>
        <w:t xml:space="preserve"> Горбачевская</w:t>
      </w:r>
    </w:p>
    <w:p w:rsidR="00992812" w:rsidRDefault="00992812" w:rsidP="001D0959">
      <w:pPr>
        <w:spacing w:after="120"/>
        <w:jc w:val="center"/>
        <w:rPr>
          <w:i/>
          <w:sz w:val="28"/>
          <w:szCs w:val="28"/>
        </w:rPr>
      </w:pPr>
      <w:r w:rsidRPr="00992812">
        <w:rPr>
          <w:i/>
          <w:sz w:val="28"/>
          <w:szCs w:val="28"/>
        </w:rPr>
        <w:t>Е.А. Шатрова</w:t>
      </w:r>
    </w:p>
    <w:p w:rsidR="00992812" w:rsidRPr="00992812" w:rsidRDefault="00992812" w:rsidP="001D0959">
      <w:pPr>
        <w:spacing w:after="120"/>
        <w:jc w:val="center"/>
        <w:rPr>
          <w:i/>
          <w:sz w:val="28"/>
          <w:szCs w:val="28"/>
        </w:rPr>
      </w:pPr>
    </w:p>
    <w:p w:rsidR="007E3CE4" w:rsidRDefault="007E3CE4" w:rsidP="006C008D">
      <w:pPr>
        <w:spacing w:after="120"/>
        <w:ind w:firstLine="737"/>
        <w:jc w:val="both"/>
        <w:rPr>
          <w:sz w:val="28"/>
          <w:szCs w:val="28"/>
        </w:rPr>
      </w:pPr>
      <w:r w:rsidRPr="007E3CE4">
        <w:rPr>
          <w:sz w:val="28"/>
          <w:szCs w:val="28"/>
        </w:rPr>
        <w:t xml:space="preserve">Упрощенная Система Налогообложения (УСН)- </w:t>
      </w:r>
      <w:r w:rsidR="000C5015" w:rsidRPr="000C5015">
        <w:rPr>
          <w:sz w:val="28"/>
          <w:szCs w:val="28"/>
        </w:rPr>
        <w:t>это специальный налоговый режим, применение которого регулируется</w:t>
      </w:r>
      <w:r w:rsidR="002C45C7">
        <w:rPr>
          <w:sz w:val="28"/>
          <w:szCs w:val="28"/>
        </w:rPr>
        <w:t xml:space="preserve"> главой 26.2. НК</w:t>
      </w:r>
      <w:r w:rsidR="000C5015" w:rsidRPr="000C5015">
        <w:rPr>
          <w:sz w:val="28"/>
          <w:szCs w:val="28"/>
        </w:rPr>
        <w:t xml:space="preserve"> РФ. Специальным налоговым режимом признается особый порядок исчисления и уплаты налогов и сборов в течение определенного периода времени, применяемый в случаях и в порядке, установленных НК РФ и принимаемыми в соответствии с ним федеральными законами.  </w:t>
      </w:r>
    </w:p>
    <w:p w:rsidR="000C5015" w:rsidRDefault="000C5015" w:rsidP="006C008D">
      <w:pPr>
        <w:spacing w:after="120"/>
        <w:ind w:firstLine="737"/>
        <w:jc w:val="both"/>
        <w:rPr>
          <w:color w:val="000000"/>
          <w:sz w:val="28"/>
          <w:szCs w:val="28"/>
        </w:rPr>
      </w:pPr>
      <w:r w:rsidRPr="000C5015">
        <w:rPr>
          <w:sz w:val="28"/>
          <w:szCs w:val="28"/>
        </w:rPr>
        <w:t xml:space="preserve"> Переход к </w:t>
      </w:r>
      <w:r w:rsidR="00EE42B4" w:rsidRPr="00EE42B4">
        <w:rPr>
          <w:sz w:val="28"/>
          <w:szCs w:val="28"/>
        </w:rPr>
        <w:t>УСН</w:t>
      </w:r>
      <w:r w:rsidR="00EE42B4" w:rsidRPr="000C5015">
        <w:rPr>
          <w:sz w:val="28"/>
          <w:szCs w:val="28"/>
        </w:rPr>
        <w:t xml:space="preserve"> </w:t>
      </w:r>
      <w:r w:rsidRPr="000C5015">
        <w:rPr>
          <w:sz w:val="28"/>
          <w:szCs w:val="28"/>
        </w:rPr>
        <w:t>или возврат к общему режиму налогообложения осуществляется организациями и индивидуальными предпринимателями добровольно в порядке, предусмотренном настоящей главой.</w:t>
      </w:r>
    </w:p>
    <w:p w:rsidR="00A063D1" w:rsidRPr="007E3CE4" w:rsidRDefault="000C5015" w:rsidP="006C008D">
      <w:pPr>
        <w:shd w:val="clear" w:color="auto" w:fill="FFFFFF"/>
        <w:spacing w:after="120"/>
        <w:ind w:left="19" w:firstLine="73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 w:rsidR="00A063D1" w:rsidRPr="00685A76">
        <w:rPr>
          <w:color w:val="000000"/>
          <w:sz w:val="28"/>
          <w:szCs w:val="28"/>
        </w:rPr>
        <w:t>ирмы, которые применяют «упрощенку», вправе уменьшить нало</w:t>
      </w:r>
      <w:r w:rsidR="00A063D1" w:rsidRPr="00685A76">
        <w:rPr>
          <w:color w:val="000000"/>
          <w:sz w:val="28"/>
          <w:szCs w:val="28"/>
        </w:rPr>
        <w:softHyphen/>
        <w:t>говую базу на сумму убытка, полученного по итога</w:t>
      </w:r>
      <w:r w:rsidR="001D0959">
        <w:rPr>
          <w:color w:val="000000"/>
          <w:sz w:val="28"/>
          <w:szCs w:val="28"/>
        </w:rPr>
        <w:t>м предыду</w:t>
      </w:r>
      <w:r w:rsidR="001D0959">
        <w:rPr>
          <w:color w:val="000000"/>
          <w:sz w:val="28"/>
          <w:szCs w:val="28"/>
        </w:rPr>
        <w:softHyphen/>
        <w:t>щих лет. Э</w:t>
      </w:r>
      <w:r w:rsidR="00EE42B4">
        <w:rPr>
          <w:color w:val="000000"/>
          <w:sz w:val="28"/>
          <w:szCs w:val="28"/>
        </w:rPr>
        <w:t>то положение НК</w:t>
      </w:r>
      <w:r w:rsidR="00A063D1" w:rsidRPr="00685A76">
        <w:rPr>
          <w:color w:val="000000"/>
          <w:sz w:val="28"/>
          <w:szCs w:val="28"/>
        </w:rPr>
        <w:t xml:space="preserve"> относится к тем из них, которые выбрали объект налогообложения «доходы за минусом расходов». Указанный убыток не может уменьшать налогов</w:t>
      </w:r>
      <w:r w:rsidR="00EE42B4">
        <w:rPr>
          <w:color w:val="000000"/>
          <w:sz w:val="28"/>
          <w:szCs w:val="28"/>
        </w:rPr>
        <w:t>ую базу более чем на 30 %</w:t>
      </w:r>
      <w:r w:rsidR="00A063D1" w:rsidRPr="00685A76">
        <w:rPr>
          <w:color w:val="000000"/>
          <w:sz w:val="28"/>
          <w:szCs w:val="28"/>
        </w:rPr>
        <w:t>. При этом оставшуюся часть убытка фирма вправе перенести на следую</w:t>
      </w:r>
      <w:r w:rsidR="00A063D1" w:rsidRPr="00685A76">
        <w:rPr>
          <w:color w:val="000000"/>
          <w:sz w:val="28"/>
          <w:szCs w:val="28"/>
        </w:rPr>
        <w:softHyphen/>
        <w:t>щие налоговые периоды, но не более чем на 10 лет. Его сумму можно списывать только при условии, что у фирмы есть первичные</w:t>
      </w:r>
      <w:r w:rsidR="00EE42B4">
        <w:rPr>
          <w:color w:val="000000"/>
          <w:sz w:val="28"/>
          <w:szCs w:val="28"/>
        </w:rPr>
        <w:t xml:space="preserve"> документы, подтверждающие</w:t>
      </w:r>
      <w:r w:rsidR="00A063D1" w:rsidRPr="00685A76">
        <w:rPr>
          <w:color w:val="000000"/>
          <w:sz w:val="28"/>
          <w:szCs w:val="28"/>
        </w:rPr>
        <w:t xml:space="preserve"> сумму убытка. Их компания обязана хранить в тече</w:t>
      </w:r>
      <w:r w:rsidR="00A063D1" w:rsidRPr="00685A76">
        <w:rPr>
          <w:color w:val="000000"/>
          <w:sz w:val="28"/>
          <w:szCs w:val="28"/>
        </w:rPr>
        <w:softHyphen/>
        <w:t xml:space="preserve">ние всего срока, пока она использует право на уменьшение налоговой базы. </w:t>
      </w:r>
    </w:p>
    <w:p w:rsidR="002C45C7" w:rsidRPr="007E3CE4" w:rsidRDefault="00A063D1" w:rsidP="006C008D">
      <w:pPr>
        <w:shd w:val="clear" w:color="auto" w:fill="FFFFFF"/>
        <w:spacing w:after="120"/>
        <w:ind w:right="5" w:firstLine="737"/>
        <w:jc w:val="both"/>
        <w:rPr>
          <w:sz w:val="28"/>
          <w:szCs w:val="28"/>
        </w:rPr>
      </w:pPr>
      <w:r w:rsidRPr="00685A76">
        <w:rPr>
          <w:color w:val="000000"/>
          <w:sz w:val="28"/>
          <w:szCs w:val="28"/>
        </w:rPr>
        <w:t>«Упрощенная» компания вправе учитывать только убытки, полученные в годы примене</w:t>
      </w:r>
      <w:r w:rsidRPr="00685A76">
        <w:rPr>
          <w:color w:val="000000"/>
          <w:sz w:val="28"/>
          <w:szCs w:val="28"/>
        </w:rPr>
        <w:softHyphen/>
        <w:t>ния этого спецрежима. Включать в базу убытки тех периодов, когда организация применяла другие режимы налогообложе</w:t>
      </w:r>
      <w:r w:rsidRPr="00685A76">
        <w:rPr>
          <w:color w:val="000000"/>
          <w:sz w:val="28"/>
          <w:szCs w:val="28"/>
        </w:rPr>
        <w:softHyphen/>
        <w:t>ния, нельзя. И наоборот. Убыток, полученный на «упрощенке», при переходе на иные режи</w:t>
      </w:r>
      <w:r w:rsidRPr="00685A76">
        <w:rPr>
          <w:color w:val="000000"/>
          <w:sz w:val="28"/>
          <w:szCs w:val="28"/>
        </w:rPr>
        <w:softHyphen/>
        <w:t xml:space="preserve">мы не учитывают. В то же время если фирма с упрощенного режима вновь возвращается к общему, то она вправе учесть старые убытки, полученные при общей системе. </w:t>
      </w:r>
    </w:p>
    <w:p w:rsidR="00EF5C4F" w:rsidRPr="001D0959" w:rsidRDefault="00A063D1" w:rsidP="006C008D">
      <w:pPr>
        <w:shd w:val="clear" w:color="auto" w:fill="FFFFFF"/>
        <w:spacing w:after="120"/>
        <w:ind w:firstLine="737"/>
        <w:jc w:val="both"/>
        <w:rPr>
          <w:color w:val="000000"/>
          <w:sz w:val="28"/>
          <w:szCs w:val="28"/>
        </w:rPr>
      </w:pPr>
      <w:r w:rsidRPr="00685A76">
        <w:rPr>
          <w:color w:val="000000"/>
          <w:sz w:val="28"/>
          <w:szCs w:val="28"/>
        </w:rPr>
        <w:t xml:space="preserve">Учет убытков на общем режиме значительно </w:t>
      </w:r>
      <w:r w:rsidRPr="00685A76">
        <w:rPr>
          <w:i/>
          <w:iCs/>
          <w:color w:val="000000"/>
          <w:sz w:val="28"/>
          <w:szCs w:val="28"/>
        </w:rPr>
        <w:t xml:space="preserve"> </w:t>
      </w:r>
      <w:r w:rsidRPr="00685A76">
        <w:rPr>
          <w:color w:val="000000"/>
          <w:sz w:val="28"/>
          <w:szCs w:val="28"/>
        </w:rPr>
        <w:t xml:space="preserve">отличается от учета </w:t>
      </w:r>
      <w:r w:rsidR="00EE42B4">
        <w:rPr>
          <w:color w:val="000000"/>
          <w:sz w:val="28"/>
          <w:szCs w:val="28"/>
        </w:rPr>
        <w:t>«упрощенных» убытков. Вот</w:t>
      </w:r>
      <w:r w:rsidRPr="00685A76">
        <w:rPr>
          <w:color w:val="000000"/>
          <w:sz w:val="28"/>
          <w:szCs w:val="28"/>
        </w:rPr>
        <w:t xml:space="preserve"> одно из таких отличий. Так «общая» компания вправе не учитывать убыток в следующий за убыточным период, а перенести его на любой другой год из последующих девяти. «Упрощенцы» подобным образом поступать не вправе. В Н</w:t>
      </w:r>
      <w:r w:rsidR="001D0959">
        <w:rPr>
          <w:color w:val="000000"/>
          <w:sz w:val="28"/>
          <w:szCs w:val="28"/>
        </w:rPr>
        <w:t>К</w:t>
      </w:r>
      <w:r w:rsidRPr="00685A76">
        <w:rPr>
          <w:color w:val="000000"/>
          <w:sz w:val="28"/>
          <w:szCs w:val="28"/>
        </w:rPr>
        <w:t xml:space="preserve"> нет положения, согласно которому убыток «упрощенца», не перенесенный на ближайший к убыточному год, может быть учтен целиком или частично в последующие годы. Значит, перешагнув через налоговый период при переносе убытка, компании, работающие на УСН, вовсе теряют право списать его в уменьшение облагаемой базы. В то же время нередко компаниям такой пере</w:t>
      </w:r>
      <w:r w:rsidR="007E3CE4">
        <w:rPr>
          <w:color w:val="000000"/>
          <w:sz w:val="28"/>
          <w:szCs w:val="28"/>
        </w:rPr>
        <w:t>нос может быть на руку</w:t>
      </w:r>
      <w:r w:rsidRPr="00685A76">
        <w:rPr>
          <w:color w:val="000000"/>
          <w:sz w:val="28"/>
          <w:szCs w:val="28"/>
        </w:rPr>
        <w:t>, если по итогам года фирма должна перечисли</w:t>
      </w:r>
      <w:r w:rsidR="007E3CE4">
        <w:rPr>
          <w:color w:val="000000"/>
          <w:sz w:val="28"/>
          <w:szCs w:val="28"/>
        </w:rPr>
        <w:t>ть в бюджет минимальный налог. Если д</w:t>
      </w:r>
      <w:r w:rsidRPr="00685A76">
        <w:rPr>
          <w:color w:val="000000"/>
          <w:sz w:val="28"/>
          <w:szCs w:val="28"/>
        </w:rPr>
        <w:t>ополнительное снижение расходов на сумму прошлогоднего убытка никак не снизит налоговую</w:t>
      </w:r>
      <w:r w:rsidR="007E3CE4">
        <w:rPr>
          <w:color w:val="000000"/>
          <w:sz w:val="28"/>
          <w:szCs w:val="28"/>
        </w:rPr>
        <w:t xml:space="preserve"> нагрузку фирмы в году текущем, то его </w:t>
      </w:r>
      <w:r w:rsidRPr="00685A76">
        <w:rPr>
          <w:color w:val="000000"/>
          <w:sz w:val="28"/>
          <w:szCs w:val="28"/>
        </w:rPr>
        <w:t xml:space="preserve">можно </w:t>
      </w:r>
      <w:r w:rsidR="001D0959">
        <w:rPr>
          <w:color w:val="000000"/>
          <w:sz w:val="28"/>
          <w:szCs w:val="28"/>
        </w:rPr>
        <w:t>с</w:t>
      </w:r>
      <w:r w:rsidRPr="00685A76">
        <w:rPr>
          <w:color w:val="000000"/>
          <w:sz w:val="28"/>
          <w:szCs w:val="28"/>
        </w:rPr>
        <w:t>пи</w:t>
      </w:r>
      <w:r w:rsidRPr="00685A76">
        <w:rPr>
          <w:color w:val="000000"/>
          <w:sz w:val="28"/>
          <w:szCs w:val="28"/>
        </w:rPr>
        <w:softHyphen/>
        <w:t>сать</w:t>
      </w:r>
      <w:r w:rsidR="007E3CE4">
        <w:rPr>
          <w:color w:val="000000"/>
          <w:sz w:val="28"/>
          <w:szCs w:val="28"/>
        </w:rPr>
        <w:t xml:space="preserve"> в текущем году по минимуму, а</w:t>
      </w:r>
      <w:r w:rsidRPr="00685A76">
        <w:rPr>
          <w:color w:val="000000"/>
          <w:sz w:val="28"/>
          <w:szCs w:val="28"/>
        </w:rPr>
        <w:t xml:space="preserve"> остаток перенести на следующий налого</w:t>
      </w:r>
      <w:r w:rsidRPr="00685A76">
        <w:rPr>
          <w:color w:val="000000"/>
          <w:sz w:val="28"/>
          <w:szCs w:val="28"/>
        </w:rPr>
        <w:softHyphen/>
        <w:t>вый перио</w:t>
      </w:r>
      <w:r w:rsidR="000C5015">
        <w:rPr>
          <w:color w:val="000000"/>
          <w:sz w:val="28"/>
          <w:szCs w:val="28"/>
        </w:rPr>
        <w:t>д.</w:t>
      </w:r>
    </w:p>
    <w:p w:rsidR="000C5015" w:rsidRDefault="00A063D1" w:rsidP="006C008D">
      <w:pPr>
        <w:shd w:val="clear" w:color="auto" w:fill="FFFFFF"/>
        <w:spacing w:after="120"/>
        <w:ind w:left="10" w:firstLine="737"/>
        <w:jc w:val="both"/>
        <w:rPr>
          <w:color w:val="000000"/>
          <w:sz w:val="28"/>
          <w:szCs w:val="28"/>
        </w:rPr>
      </w:pPr>
      <w:r w:rsidRPr="00685A76">
        <w:rPr>
          <w:color w:val="000000"/>
          <w:sz w:val="28"/>
          <w:szCs w:val="28"/>
        </w:rPr>
        <w:t>Н</w:t>
      </w:r>
      <w:r w:rsidR="001D0959">
        <w:rPr>
          <w:color w:val="000000"/>
          <w:sz w:val="28"/>
          <w:szCs w:val="28"/>
        </w:rPr>
        <w:t xml:space="preserve">К </w:t>
      </w:r>
      <w:r w:rsidRPr="00685A76">
        <w:rPr>
          <w:color w:val="000000"/>
          <w:sz w:val="28"/>
          <w:szCs w:val="28"/>
        </w:rPr>
        <w:t>не устанавливает мини</w:t>
      </w:r>
      <w:r w:rsidRPr="00685A76">
        <w:rPr>
          <w:color w:val="000000"/>
          <w:sz w:val="28"/>
          <w:szCs w:val="28"/>
        </w:rPr>
        <w:softHyphen/>
        <w:t>мальную планку для списания убытков «упрощенцами».</w:t>
      </w:r>
      <w:r w:rsidR="001D0959">
        <w:rPr>
          <w:color w:val="000000"/>
          <w:sz w:val="28"/>
          <w:szCs w:val="28"/>
        </w:rPr>
        <w:t xml:space="preserve"> Для них существует, как упоминалось</w:t>
      </w:r>
      <w:r w:rsidRPr="00685A76">
        <w:rPr>
          <w:color w:val="000000"/>
          <w:sz w:val="28"/>
          <w:szCs w:val="28"/>
        </w:rPr>
        <w:t xml:space="preserve"> ранее, тол</w:t>
      </w:r>
      <w:r w:rsidR="00EE42B4">
        <w:rPr>
          <w:color w:val="000000"/>
          <w:sz w:val="28"/>
          <w:szCs w:val="28"/>
        </w:rPr>
        <w:t>ько верхний ли</w:t>
      </w:r>
      <w:r w:rsidR="00EE42B4">
        <w:rPr>
          <w:color w:val="000000"/>
          <w:sz w:val="28"/>
          <w:szCs w:val="28"/>
        </w:rPr>
        <w:softHyphen/>
        <w:t>мит - 30 %</w:t>
      </w:r>
      <w:r w:rsidRPr="00685A76">
        <w:rPr>
          <w:color w:val="000000"/>
          <w:sz w:val="28"/>
          <w:szCs w:val="28"/>
        </w:rPr>
        <w:t xml:space="preserve"> от налоговой базы. Значит, данный вариант не противоречит зако</w:t>
      </w:r>
      <w:r w:rsidRPr="00685A76">
        <w:rPr>
          <w:color w:val="000000"/>
          <w:sz w:val="28"/>
          <w:szCs w:val="28"/>
        </w:rPr>
        <w:softHyphen/>
        <w:t xml:space="preserve">нодательству. Но при этом </w:t>
      </w:r>
      <w:r w:rsidR="001D0959" w:rsidRPr="00685A76">
        <w:rPr>
          <w:color w:val="000000"/>
          <w:sz w:val="28"/>
          <w:szCs w:val="28"/>
        </w:rPr>
        <w:t xml:space="preserve">есть </w:t>
      </w:r>
      <w:r w:rsidRPr="00685A76">
        <w:rPr>
          <w:color w:val="000000"/>
          <w:sz w:val="28"/>
          <w:szCs w:val="28"/>
        </w:rPr>
        <w:t>вероятность, что проверяющим подобное искусственное рас</w:t>
      </w:r>
      <w:r w:rsidRPr="00685A76">
        <w:rPr>
          <w:color w:val="000000"/>
          <w:sz w:val="28"/>
          <w:szCs w:val="28"/>
        </w:rPr>
        <w:softHyphen/>
        <w:t>пределение убытка н</w:t>
      </w:r>
      <w:r w:rsidR="001D0959">
        <w:rPr>
          <w:color w:val="000000"/>
          <w:sz w:val="28"/>
          <w:szCs w:val="28"/>
        </w:rPr>
        <w:t>а несколько лет не по</w:t>
      </w:r>
      <w:r w:rsidR="001D0959">
        <w:rPr>
          <w:color w:val="000000"/>
          <w:sz w:val="28"/>
          <w:szCs w:val="28"/>
        </w:rPr>
        <w:softHyphen/>
        <w:t>нравится</w:t>
      </w:r>
      <w:r w:rsidRPr="00685A76">
        <w:rPr>
          <w:color w:val="000000"/>
          <w:sz w:val="28"/>
          <w:szCs w:val="28"/>
        </w:rPr>
        <w:t>. Поэтому можно про</w:t>
      </w:r>
      <w:r w:rsidRPr="00685A76">
        <w:rPr>
          <w:color w:val="000000"/>
          <w:sz w:val="28"/>
          <w:szCs w:val="28"/>
        </w:rPr>
        <w:softHyphen/>
        <w:t>писать в учетной политике примерно следую</w:t>
      </w:r>
      <w:r w:rsidRPr="00685A76">
        <w:rPr>
          <w:color w:val="000000"/>
          <w:sz w:val="28"/>
          <w:szCs w:val="28"/>
        </w:rPr>
        <w:softHyphen/>
        <w:t>щее: «Решение о распределении убытков прошлых лет принимает руководитель орга</w:t>
      </w:r>
      <w:r w:rsidRPr="00685A76">
        <w:rPr>
          <w:color w:val="000000"/>
          <w:sz w:val="28"/>
          <w:szCs w:val="28"/>
        </w:rPr>
        <w:softHyphen/>
        <w:t>низации. Он определяет сумму убытка, кото</w:t>
      </w:r>
      <w:r w:rsidRPr="00685A76">
        <w:rPr>
          <w:color w:val="000000"/>
          <w:sz w:val="28"/>
          <w:szCs w:val="28"/>
        </w:rPr>
        <w:softHyphen/>
        <w:t xml:space="preserve">рая подлежит списанию в текущем году. При этом сумма списываемого убытка не может превышать 30 процентов от налоговой базы». </w:t>
      </w:r>
    </w:p>
    <w:p w:rsidR="00D56113" w:rsidRDefault="00A063D1" w:rsidP="006C008D">
      <w:pPr>
        <w:shd w:val="clear" w:color="auto" w:fill="FFFFFF"/>
        <w:spacing w:after="120"/>
        <w:ind w:firstLine="737"/>
        <w:jc w:val="both"/>
        <w:rPr>
          <w:position w:val="-4"/>
          <w:sz w:val="28"/>
          <w:szCs w:val="28"/>
          <w:lang w:val="en-US"/>
        </w:rPr>
      </w:pPr>
      <w:r w:rsidRPr="00685A76">
        <w:rPr>
          <w:sz w:val="28"/>
          <w:szCs w:val="28"/>
        </w:rPr>
        <w:t>Может ли «упрощенная» компания учесть убыток, не дожидаясь окончания года (то есть по итогам отчетного периода, например I квартала или полугодия)? В одном из своих последних разъяснений Минфин России от</w:t>
      </w:r>
      <w:r w:rsidRPr="00685A76">
        <w:rPr>
          <w:sz w:val="28"/>
          <w:szCs w:val="28"/>
        </w:rPr>
        <w:softHyphen/>
        <w:t>вет</w:t>
      </w:r>
      <w:r w:rsidR="001D0959">
        <w:rPr>
          <w:sz w:val="28"/>
          <w:szCs w:val="28"/>
        </w:rPr>
        <w:t xml:space="preserve">ил на этот вопрос отрицательно. </w:t>
      </w:r>
      <w:r w:rsidRPr="00685A76">
        <w:rPr>
          <w:sz w:val="28"/>
          <w:szCs w:val="28"/>
        </w:rPr>
        <w:t>Поскольку в Налоговом кодексе говорится именно об «исчисленной по ито</w:t>
      </w:r>
      <w:r w:rsidRPr="00685A76">
        <w:rPr>
          <w:sz w:val="28"/>
          <w:szCs w:val="28"/>
        </w:rPr>
        <w:softHyphen/>
        <w:t xml:space="preserve">гам налогового периода налоговой базе». Про базу отчетного периода в «упрощенной» главе главного налогового документа ничего не сказано. А вот фирмы, работающие на </w:t>
      </w:r>
      <w:r w:rsidRPr="00685A76">
        <w:rPr>
          <w:position w:val="-4"/>
          <w:sz w:val="28"/>
          <w:szCs w:val="28"/>
        </w:rPr>
        <w:t>общем режиме, имеют право переносить убыток и по итогам отчетного периода. Раньше упоминание об этом содержалось и в пункте 2 статьи 283 Н</w:t>
      </w:r>
      <w:r w:rsidR="001D0959">
        <w:rPr>
          <w:position w:val="-4"/>
          <w:sz w:val="28"/>
          <w:szCs w:val="28"/>
        </w:rPr>
        <w:t>К</w:t>
      </w:r>
      <w:r w:rsidRPr="00685A76">
        <w:rPr>
          <w:position w:val="-4"/>
          <w:sz w:val="28"/>
          <w:szCs w:val="28"/>
        </w:rPr>
        <w:t>. С 1 января 2007 года указанная норма из до</w:t>
      </w:r>
      <w:r w:rsidRPr="00685A76">
        <w:rPr>
          <w:position w:val="-4"/>
          <w:sz w:val="28"/>
          <w:szCs w:val="28"/>
        </w:rPr>
        <w:softHyphen/>
        <w:t>кумента была исключена. Однако финансовое ведомство поспешило разъяснить, что это право за «общережимными» компаниями со</w:t>
      </w:r>
      <w:r w:rsidRPr="00685A76">
        <w:rPr>
          <w:position w:val="-4"/>
          <w:sz w:val="28"/>
          <w:szCs w:val="28"/>
        </w:rPr>
        <w:softHyphen/>
        <w:t>хранилось.</w:t>
      </w:r>
    </w:p>
    <w:p w:rsidR="006C008D" w:rsidRPr="006C008D" w:rsidRDefault="006C008D" w:rsidP="006C008D">
      <w:pPr>
        <w:shd w:val="clear" w:color="auto" w:fill="FFFFFF"/>
        <w:ind w:firstLine="737"/>
        <w:jc w:val="both"/>
        <w:rPr>
          <w:position w:val="-4"/>
          <w:sz w:val="28"/>
          <w:szCs w:val="28"/>
          <w:lang w:val="en-US"/>
        </w:rPr>
      </w:pPr>
      <w:bookmarkStart w:id="0" w:name="_GoBack"/>
      <w:bookmarkEnd w:id="0"/>
    </w:p>
    <w:sectPr w:rsidR="006C008D" w:rsidRPr="006C008D" w:rsidSect="002C45C7"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9A6174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7B86"/>
    <w:rsid w:val="000A21F6"/>
    <w:rsid w:val="000C5015"/>
    <w:rsid w:val="000E4CE4"/>
    <w:rsid w:val="001449B3"/>
    <w:rsid w:val="00176582"/>
    <w:rsid w:val="001A7E67"/>
    <w:rsid w:val="001D0959"/>
    <w:rsid w:val="00213B9F"/>
    <w:rsid w:val="002458C7"/>
    <w:rsid w:val="002C45C7"/>
    <w:rsid w:val="003315D1"/>
    <w:rsid w:val="004F1770"/>
    <w:rsid w:val="005479FD"/>
    <w:rsid w:val="0064379A"/>
    <w:rsid w:val="00647B86"/>
    <w:rsid w:val="0066789C"/>
    <w:rsid w:val="006C008D"/>
    <w:rsid w:val="00722A5E"/>
    <w:rsid w:val="007B199A"/>
    <w:rsid w:val="007E3CE4"/>
    <w:rsid w:val="00907779"/>
    <w:rsid w:val="00922EF3"/>
    <w:rsid w:val="00992812"/>
    <w:rsid w:val="00A063D1"/>
    <w:rsid w:val="00B95896"/>
    <w:rsid w:val="00BA6BA8"/>
    <w:rsid w:val="00BF53AC"/>
    <w:rsid w:val="00D56113"/>
    <w:rsid w:val="00EC621E"/>
    <w:rsid w:val="00EE42B4"/>
    <w:rsid w:val="00EF5C4F"/>
    <w:rsid w:val="00F66B1F"/>
    <w:rsid w:val="00FA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36A931-98BA-4339-BA4D-E05CB5400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65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A063D1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5">
    <w:name w:val="footer"/>
    <w:basedOn w:val="a"/>
    <w:rsid w:val="00A063D1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РФ</vt:lpstr>
    </vt:vector>
  </TitlesOfParts>
  <Company>idisu</Company>
  <LinksUpToDate>false</LinksUpToDate>
  <CharactersWithSpaces>4173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РФ</dc:title>
  <dc:subject/>
  <dc:creator>d727chatr</dc:creator>
  <cp:keywords/>
  <dc:description/>
  <cp:lastModifiedBy>admin</cp:lastModifiedBy>
  <cp:revision>2</cp:revision>
  <dcterms:created xsi:type="dcterms:W3CDTF">2014-04-24T06:19:00Z</dcterms:created>
  <dcterms:modified xsi:type="dcterms:W3CDTF">2014-04-24T06:19:00Z</dcterms:modified>
</cp:coreProperties>
</file>