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351" w:rsidRPr="00A3133F" w:rsidRDefault="00A46351" w:rsidP="00A3133F">
      <w:pPr>
        <w:pStyle w:val="a3"/>
        <w:spacing w:before="0" w:after="0"/>
        <w:ind w:firstLine="709"/>
        <w:jc w:val="both"/>
        <w:rPr>
          <w:color w:val="000000"/>
          <w:sz w:val="28"/>
        </w:rPr>
      </w:pPr>
      <w:r w:rsidRPr="00A3133F">
        <w:rPr>
          <w:color w:val="000000"/>
          <w:sz w:val="28"/>
        </w:rPr>
        <w:t>Содержание</w:t>
      </w:r>
    </w:p>
    <w:p w:rsidR="00A46351" w:rsidRPr="00A3133F" w:rsidRDefault="00A46351" w:rsidP="00A3133F">
      <w:pPr>
        <w:ind w:firstLine="709"/>
        <w:rPr>
          <w:color w:val="000000"/>
        </w:rPr>
      </w:pPr>
    </w:p>
    <w:p w:rsidR="00A46351" w:rsidRPr="00A3133F" w:rsidRDefault="00A46351" w:rsidP="00A3133F">
      <w:pPr>
        <w:pStyle w:val="11"/>
        <w:tabs>
          <w:tab w:val="right" w:leader="dot" w:pos="9100"/>
        </w:tabs>
        <w:ind w:firstLine="0"/>
        <w:rPr>
          <w:noProof/>
          <w:color w:val="000000"/>
        </w:rPr>
      </w:pPr>
      <w:r w:rsidRPr="00A3133F">
        <w:rPr>
          <w:noProof/>
          <w:color w:val="000000"/>
        </w:rPr>
        <w:t>Введение</w:t>
      </w:r>
      <w:r w:rsidRPr="00A3133F">
        <w:rPr>
          <w:noProof/>
          <w:color w:val="000000"/>
        </w:rPr>
        <w:tab/>
      </w:r>
      <w:r w:rsidR="00A3133F">
        <w:rPr>
          <w:noProof/>
          <w:color w:val="000000"/>
        </w:rPr>
        <w:t>2</w:t>
      </w:r>
    </w:p>
    <w:p w:rsidR="00A46351" w:rsidRPr="00A3133F" w:rsidRDefault="00A46351" w:rsidP="00A3133F">
      <w:pPr>
        <w:pStyle w:val="11"/>
        <w:tabs>
          <w:tab w:val="right" w:leader="dot" w:pos="9100"/>
        </w:tabs>
        <w:ind w:firstLine="0"/>
        <w:rPr>
          <w:noProof/>
          <w:color w:val="000000"/>
        </w:rPr>
      </w:pPr>
      <w:r w:rsidRPr="00A3133F">
        <w:rPr>
          <w:noProof/>
          <w:color w:val="000000"/>
        </w:rPr>
        <w:t>Расчет за товары собственным векселем покупателя</w:t>
      </w:r>
      <w:r w:rsidRPr="00A3133F">
        <w:rPr>
          <w:noProof/>
          <w:color w:val="000000"/>
        </w:rPr>
        <w:tab/>
      </w:r>
      <w:r w:rsidR="00A3133F">
        <w:rPr>
          <w:noProof/>
          <w:color w:val="000000"/>
        </w:rPr>
        <w:t>6</w:t>
      </w:r>
    </w:p>
    <w:p w:rsidR="00A46351" w:rsidRPr="00A3133F" w:rsidRDefault="00A46351" w:rsidP="00A3133F">
      <w:pPr>
        <w:pStyle w:val="11"/>
        <w:tabs>
          <w:tab w:val="right" w:leader="dot" w:pos="9100"/>
        </w:tabs>
        <w:ind w:firstLine="0"/>
        <w:rPr>
          <w:noProof/>
          <w:color w:val="000000"/>
        </w:rPr>
      </w:pPr>
      <w:r w:rsidRPr="00A3133F">
        <w:rPr>
          <w:noProof/>
          <w:color w:val="000000"/>
        </w:rPr>
        <w:t>Расчет за товары векселем третьего лица</w:t>
      </w:r>
      <w:r w:rsidRPr="00A3133F">
        <w:rPr>
          <w:noProof/>
          <w:color w:val="000000"/>
        </w:rPr>
        <w:tab/>
      </w:r>
      <w:r w:rsidR="00A3133F">
        <w:rPr>
          <w:noProof/>
          <w:color w:val="000000"/>
        </w:rPr>
        <w:t>8</w:t>
      </w:r>
    </w:p>
    <w:p w:rsidR="00A46351" w:rsidRPr="00A3133F" w:rsidRDefault="00A46351" w:rsidP="00A3133F">
      <w:pPr>
        <w:pStyle w:val="11"/>
        <w:tabs>
          <w:tab w:val="right" w:leader="dot" w:pos="9100"/>
        </w:tabs>
        <w:ind w:firstLine="0"/>
        <w:rPr>
          <w:noProof/>
          <w:color w:val="000000"/>
        </w:rPr>
      </w:pPr>
      <w:r w:rsidRPr="00A3133F">
        <w:rPr>
          <w:noProof/>
          <w:color w:val="000000"/>
        </w:rPr>
        <w:t>Складские свидетельства</w:t>
      </w:r>
      <w:r w:rsidRPr="00A3133F">
        <w:rPr>
          <w:noProof/>
          <w:color w:val="000000"/>
        </w:rPr>
        <w:tab/>
      </w:r>
      <w:r w:rsidR="00A3133F">
        <w:rPr>
          <w:noProof/>
          <w:color w:val="000000"/>
        </w:rPr>
        <w:t>11</w:t>
      </w:r>
    </w:p>
    <w:p w:rsidR="00A46351" w:rsidRPr="00A3133F" w:rsidRDefault="00A46351" w:rsidP="00A3133F">
      <w:pPr>
        <w:pStyle w:val="11"/>
        <w:tabs>
          <w:tab w:val="right" w:leader="dot" w:pos="9100"/>
        </w:tabs>
        <w:ind w:firstLine="0"/>
        <w:rPr>
          <w:noProof/>
          <w:color w:val="000000"/>
        </w:rPr>
      </w:pPr>
      <w:r w:rsidRPr="00A3133F">
        <w:rPr>
          <w:noProof/>
          <w:color w:val="000000"/>
        </w:rPr>
        <w:t>Заключение</w:t>
      </w:r>
      <w:r w:rsidRPr="00A3133F">
        <w:rPr>
          <w:noProof/>
          <w:color w:val="000000"/>
        </w:rPr>
        <w:tab/>
      </w:r>
      <w:r w:rsidR="00A3133F">
        <w:rPr>
          <w:noProof/>
          <w:color w:val="000000"/>
        </w:rPr>
        <w:t>16</w:t>
      </w:r>
    </w:p>
    <w:p w:rsidR="00A46351" w:rsidRPr="00A3133F" w:rsidRDefault="00A46351" w:rsidP="00A3133F">
      <w:pPr>
        <w:pStyle w:val="11"/>
        <w:tabs>
          <w:tab w:val="right" w:leader="dot" w:pos="9100"/>
        </w:tabs>
        <w:ind w:firstLine="0"/>
        <w:rPr>
          <w:noProof/>
          <w:color w:val="000000"/>
        </w:rPr>
      </w:pPr>
      <w:r w:rsidRPr="00A3133F">
        <w:rPr>
          <w:noProof/>
          <w:color w:val="000000"/>
        </w:rPr>
        <w:t>Литература</w:t>
      </w:r>
      <w:r w:rsidRPr="00A3133F">
        <w:rPr>
          <w:noProof/>
          <w:color w:val="000000"/>
        </w:rPr>
        <w:tab/>
      </w:r>
      <w:r w:rsidR="00A3133F">
        <w:rPr>
          <w:noProof/>
          <w:color w:val="000000"/>
        </w:rPr>
        <w:t>17</w:t>
      </w:r>
    </w:p>
    <w:p w:rsidR="00A46351" w:rsidRDefault="00A46351" w:rsidP="00A3133F">
      <w:pPr>
        <w:tabs>
          <w:tab w:val="right" w:leader="dot" w:pos="9100"/>
        </w:tabs>
        <w:ind w:firstLine="0"/>
        <w:rPr>
          <w:color w:val="000000"/>
          <w:lang w:val="en-US"/>
        </w:rPr>
      </w:pPr>
    </w:p>
    <w:p w:rsidR="00A3133F" w:rsidRPr="00A3133F" w:rsidRDefault="00A3133F" w:rsidP="00A3133F">
      <w:pPr>
        <w:tabs>
          <w:tab w:val="right" w:leader="dot" w:pos="9100"/>
        </w:tabs>
        <w:ind w:firstLine="0"/>
        <w:rPr>
          <w:color w:val="000000"/>
          <w:lang w:val="en-US"/>
        </w:rPr>
      </w:pPr>
    </w:p>
    <w:p w:rsidR="00A46351" w:rsidRPr="00A3133F" w:rsidRDefault="00A46351" w:rsidP="00A3133F">
      <w:pPr>
        <w:pStyle w:val="1"/>
        <w:keepNext w:val="0"/>
        <w:spacing w:before="0" w:after="0"/>
        <w:ind w:firstLine="709"/>
        <w:jc w:val="both"/>
        <w:rPr>
          <w:color w:val="000000"/>
          <w:sz w:val="28"/>
        </w:rPr>
      </w:pPr>
      <w:r w:rsidRPr="00A3133F">
        <w:rPr>
          <w:color w:val="000000"/>
          <w:sz w:val="28"/>
        </w:rPr>
        <w:br w:type="page"/>
      </w:r>
      <w:bookmarkStart w:id="0" w:name="_Toc431240962"/>
      <w:r w:rsidRPr="00A3133F">
        <w:rPr>
          <w:color w:val="000000"/>
          <w:sz w:val="28"/>
        </w:rPr>
        <w:t>Введение</w:t>
      </w:r>
      <w:bookmarkEnd w:id="0"/>
    </w:p>
    <w:p w:rsidR="00A46351" w:rsidRPr="00A3133F" w:rsidRDefault="00A46351" w:rsidP="00A3133F">
      <w:pPr>
        <w:ind w:firstLine="709"/>
        <w:rPr>
          <w:color w:val="000000"/>
        </w:rPr>
      </w:pP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Вексель представляет собой договор займа, оформленный в виде ценной бумаги с определенным набором реквизитов (ст.</w:t>
      </w:r>
      <w:r w:rsidR="00A3133F">
        <w:rPr>
          <w:color w:val="000000"/>
        </w:rPr>
        <w:t> </w:t>
      </w:r>
      <w:r w:rsidR="00A3133F" w:rsidRPr="00A3133F">
        <w:rPr>
          <w:color w:val="000000"/>
        </w:rPr>
        <w:t>8</w:t>
      </w:r>
      <w:r w:rsidRPr="00A3133F">
        <w:rPr>
          <w:color w:val="000000"/>
        </w:rPr>
        <w:t xml:space="preserve">15 Гражданского кодекса Российской Федерации, далее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 xml:space="preserve">ГК РФ). Другими словами, у векселя две стороны: это заем и одновременно имущество, так как ценные бумаги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>вид движимого имущества.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При обращении вексель проходит несколько этапов: когда его выдают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 xml:space="preserve">это оформление долга, когда гасят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 xml:space="preserve">это возврат долга, обращение векселей на промежуточных этапах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 xml:space="preserve">это оборот ценной бумаги (в том числе ее купля-продажа, передача в качестве отступного за товар </w:t>
      </w:r>
      <w:r w:rsidR="00A3133F">
        <w:rPr>
          <w:color w:val="000000"/>
        </w:rPr>
        <w:t>и т.д.</w:t>
      </w:r>
      <w:r w:rsidRPr="00A3133F">
        <w:rPr>
          <w:color w:val="000000"/>
        </w:rPr>
        <w:t xml:space="preserve">). Другими словами, на первом и последнем этапах «жизни» векселя отношения сторон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 xml:space="preserve">это прежде всего отношения заемщика и кредитора, на промежуточных этапах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>отношения по приобретению ценной бумаги.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Необходимо отметить, что согласно ст.</w:t>
      </w:r>
      <w:r w:rsidR="00A3133F">
        <w:rPr>
          <w:color w:val="000000"/>
        </w:rPr>
        <w:t> </w:t>
      </w:r>
      <w:r w:rsidR="00A3133F" w:rsidRPr="00A3133F">
        <w:rPr>
          <w:color w:val="000000"/>
        </w:rPr>
        <w:t>2</w:t>
      </w:r>
      <w:r w:rsidRPr="00A3133F">
        <w:rPr>
          <w:color w:val="000000"/>
        </w:rPr>
        <w:t xml:space="preserve"> Федерального закона от 11.03.97</w:t>
      </w:r>
      <w:r w:rsidR="00A3133F">
        <w:rPr>
          <w:color w:val="000000"/>
        </w:rPr>
        <w:t> </w:t>
      </w:r>
      <w:r w:rsidR="00A3133F" w:rsidRPr="00A3133F">
        <w:rPr>
          <w:color w:val="000000"/>
        </w:rPr>
        <w:t>г</w:t>
      </w:r>
      <w:r w:rsidRPr="00A3133F">
        <w:rPr>
          <w:color w:val="000000"/>
        </w:rPr>
        <w:t xml:space="preserve">. </w:t>
      </w:r>
      <w:r w:rsidR="00A3133F">
        <w:rPr>
          <w:color w:val="000000"/>
        </w:rPr>
        <w:t>№</w:t>
      </w:r>
      <w:r w:rsidR="00A3133F" w:rsidRPr="00A3133F">
        <w:rPr>
          <w:color w:val="000000"/>
        </w:rPr>
        <w:t>4</w:t>
      </w:r>
      <w:r w:rsidRPr="00A3133F">
        <w:rPr>
          <w:color w:val="000000"/>
        </w:rPr>
        <w:t>8</w:t>
      </w:r>
      <w:r w:rsidR="00A3133F">
        <w:rPr>
          <w:color w:val="000000"/>
        </w:rPr>
        <w:noBreakHyphen/>
      </w:r>
      <w:r w:rsidR="00A3133F" w:rsidRPr="00A3133F">
        <w:rPr>
          <w:color w:val="000000"/>
        </w:rPr>
        <w:t>Ф</w:t>
      </w:r>
      <w:r w:rsidRPr="00A3133F">
        <w:rPr>
          <w:color w:val="000000"/>
        </w:rPr>
        <w:t xml:space="preserve">З «О переводном и простом векселе» (далее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>Закон «О переводном и простом векселе») вексель может выдать любое юридическое или физическое лицо. Только государственные органы могут быть ограничены в праве выдавать векселя, так как объем их долгов регулируется бюджетным законодательством.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Выдача векселя не требует государственной регистрации и обязательного использования каких-то специальных бланков.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Векселедатель по своему желанию может выдать как простой вексель (аналог долговой расписки), так и переводной (аналог письма третьему лицу с просьбой заплатить вместо вас по вашему долгу).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Договор, в связи с которым выдан вексель, называется основанием его выдачи. Это может быть непосредственно договор займа или другой договор, куда заем в той или иной форме включен как составная часть (в том числе и в форме отсрочки платежа за товар, работу или услугу).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Когда вексель выдается в оплату товара, его иногда называют товарным и говорят, что он выдан в обеспечение задолженности за товар. И тот, и другой термин лишены юридического смысла и имеют право на жизнь только на уровне жаргона.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Обеспечение задолженности согласно ГК РФ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>это дополнительное обязательство к какому-то основному Обеспечением являются залог, поручительство, гарантия, задаток и неустойка. Вексель может быть обеспечением только в том случае, если его отдадут в залог.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Например, если я купил товар и выписал на эту сумму простой вексель и этот вексель почему-то считается обеспечением моего долга, то это значит, что я должен дважды: за товар и по векселю (долг за товар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>основной, по векселю</w:t>
      </w:r>
      <w:r w:rsidR="00A3133F">
        <w:rPr>
          <w:color w:val="000000"/>
        </w:rPr>
        <w:t>–</w:t>
      </w:r>
      <w:r w:rsidRPr="00A3133F">
        <w:rPr>
          <w:color w:val="000000"/>
        </w:rPr>
        <w:t>дополнительный). Именно поэтому правильнее говорить, что вексель выдан в порядке оформления, а не обеспечения задолженности.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Лишено также какого бы то ни было правового смысла деление векселей на товарные и финансовые. В вексельном праве такие термины не существуют. Так как нет точных определений, то и опираться на эти термины при уплате налогов не стоит.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Итак, если покупатель дает продавцу товара свой собственный простой вексель, происходит переоформление (новация) долга за товар в заемное обязательство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>вексель; если продавец потом продает данный вексель, он просто совершает сделку продажи ценной бумаги, если же отдает его в оплату за другой товар, он использует этот вексель как отступное, погашающее его долг поставщику товара.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Самым важным является вопрос: на каком этапе обращения векселя мы находимся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>на первом, последнем или в середине цепочки? Возмем к примеру случай, когда банк выдает клиенту свой вексель и подписывает с ним договор купли-продажи. Это является просто неправильным оформлением договора займа: купли-продажи здесь нет, банк вовсе не продает вексель, он одалживает у клиента деньги и оформляет это ценной бумагой.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Важный признак купли-продажи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 xml:space="preserve">переход права собственности на товар. При выдаче векселя первому владельцу, равно как и при погашении, никакого перехода права собственности нет. При выдаче векселя это право появляется у первого владельца: он первый хозяин векселя, а вовсе не лицо, которое только что этот вексель выдало. При погашении та же картина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>с передачей векселя плательщику для погашения вексель подлежит аннулированию и право собственности исчезает.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По той же причине нельзя внести в уставный капитал свой собственный простой вексель, который вы только что выдали, так как, выдавая вексель, вы не оплачиваете вашу долю в уставном капитале, а оформляете долг по ее оплате.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По той же причине не удерживается подоходный налог с физических лиц при погашении векселей (см. Постановление Президиума ВАС РФ от 16.12.97</w:t>
      </w:r>
      <w:r w:rsidR="00A3133F">
        <w:rPr>
          <w:color w:val="000000"/>
        </w:rPr>
        <w:t> </w:t>
      </w:r>
      <w:r w:rsidR="00A3133F" w:rsidRPr="00A3133F">
        <w:rPr>
          <w:color w:val="000000"/>
        </w:rPr>
        <w:t>г</w:t>
      </w:r>
      <w:r w:rsidRPr="00A3133F">
        <w:rPr>
          <w:color w:val="000000"/>
        </w:rPr>
        <w:t xml:space="preserve">. </w:t>
      </w:r>
      <w:r w:rsidR="00A3133F">
        <w:rPr>
          <w:color w:val="000000"/>
        </w:rPr>
        <w:t>№</w:t>
      </w:r>
      <w:r w:rsidR="00A3133F" w:rsidRPr="00A3133F">
        <w:rPr>
          <w:color w:val="000000"/>
        </w:rPr>
        <w:t>4</w:t>
      </w:r>
      <w:r w:rsidRPr="00A3133F">
        <w:rPr>
          <w:color w:val="000000"/>
        </w:rPr>
        <w:t>863/97): «предъявление векселя к оплате не является актом продажи имущества, поскольку согласно ст.</w:t>
      </w:r>
      <w:r w:rsidR="00A3133F">
        <w:rPr>
          <w:color w:val="000000"/>
        </w:rPr>
        <w:t> </w:t>
      </w:r>
      <w:r w:rsidR="00A3133F" w:rsidRPr="00A3133F">
        <w:rPr>
          <w:color w:val="000000"/>
        </w:rPr>
        <w:t>8</w:t>
      </w:r>
      <w:r w:rsidRPr="00A3133F">
        <w:rPr>
          <w:color w:val="000000"/>
        </w:rPr>
        <w:t>15 ГК РФ вексель удостоверяет обязательство займа».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Теперь рассмотрим другую ситуацию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>оборот векселя на промежуточных стадиях, когда он передается из рук в руки по индоссаментам (передаточным надписям). Это такой же оборот имущества, как, например, продажа облигаций Минфина России или погашение долга за товар путем передачи акций.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Если в основе передачи векселя на промежуточных стадиях лежит договор купли-продажи этого векселя, то мы имеем дело с оборотом ценных бумаг, который должен облагаться налогами по соответствующим правилам.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Из всех возможных способов прекращения обязательств передача векселя третьего лица (чужого векселя) больше всего похожа на передачу отступного.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Вексель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 xml:space="preserve">это сугубо денежное обязательство. Его вообще нельзя погасить без денег. Уплата денег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 xml:space="preserve">это надлежащее исполнение векселя. Но ГК РФ, допускает и иные способы прекращения обязательств (зачет, отступное и др.); на векселя это распространяется в полном объеме. Однако следует иметь в виду, что оплата векселя чем-то вместо денег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>это погашение долга путем предоставления отступного, но только с согласия кредитора (ст.</w:t>
      </w:r>
      <w:r w:rsidR="00A3133F">
        <w:rPr>
          <w:color w:val="000000"/>
        </w:rPr>
        <w:t> </w:t>
      </w:r>
      <w:r w:rsidR="00A3133F" w:rsidRPr="00A3133F">
        <w:rPr>
          <w:color w:val="000000"/>
        </w:rPr>
        <w:t>4</w:t>
      </w:r>
      <w:r w:rsidRPr="00A3133F">
        <w:rPr>
          <w:color w:val="000000"/>
        </w:rPr>
        <w:t>09 ГК РФ);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Вексель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 xml:space="preserve">это заменитель денег, </w:t>
      </w:r>
      <w:r w:rsidR="00A3133F">
        <w:rPr>
          <w:color w:val="000000"/>
        </w:rPr>
        <w:t>т.е.</w:t>
      </w:r>
      <w:r w:rsidRPr="00A3133F">
        <w:rPr>
          <w:color w:val="000000"/>
        </w:rPr>
        <w:t xml:space="preserve"> средство платежа. Средство платежа в России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 xml:space="preserve">рубль, в редких случаях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>валюта. Вексель иногда ускоряет и упрощает денежные расчеты, но при этом он остается всего лишь долговой ценной бумагой. Вексель не средство платежа и не суррогат денег, это очень удобное отступное, которым можно за многое рассчитаться.</w:t>
      </w:r>
    </w:p>
    <w:p w:rsidR="00A3133F" w:rsidRDefault="00A3133F" w:rsidP="00A3133F">
      <w:pPr>
        <w:pStyle w:val="1"/>
        <w:keepNext w:val="0"/>
        <w:spacing w:before="0" w:after="0"/>
        <w:ind w:firstLine="709"/>
        <w:jc w:val="both"/>
        <w:rPr>
          <w:color w:val="000000"/>
          <w:sz w:val="28"/>
          <w:lang w:val="en-US"/>
        </w:rPr>
      </w:pPr>
    </w:p>
    <w:p w:rsidR="00A3133F" w:rsidRDefault="00A3133F" w:rsidP="00A3133F">
      <w:pPr>
        <w:pStyle w:val="1"/>
        <w:keepNext w:val="0"/>
        <w:spacing w:before="0" w:after="0"/>
        <w:ind w:firstLine="709"/>
        <w:jc w:val="both"/>
        <w:rPr>
          <w:color w:val="000000"/>
          <w:sz w:val="28"/>
          <w:lang w:val="en-US"/>
        </w:rPr>
      </w:pPr>
    </w:p>
    <w:p w:rsidR="00A46351" w:rsidRPr="00A3133F" w:rsidRDefault="00A46351" w:rsidP="00A3133F">
      <w:pPr>
        <w:pStyle w:val="1"/>
        <w:keepNext w:val="0"/>
        <w:spacing w:before="0" w:after="0"/>
        <w:ind w:firstLine="709"/>
        <w:jc w:val="both"/>
        <w:rPr>
          <w:color w:val="000000"/>
          <w:sz w:val="28"/>
        </w:rPr>
      </w:pPr>
      <w:r w:rsidRPr="00A3133F">
        <w:rPr>
          <w:color w:val="000000"/>
          <w:sz w:val="28"/>
        </w:rPr>
        <w:br w:type="page"/>
      </w:r>
      <w:bookmarkStart w:id="1" w:name="_Toc431240963"/>
      <w:r w:rsidRPr="00A3133F">
        <w:rPr>
          <w:color w:val="000000"/>
          <w:sz w:val="28"/>
        </w:rPr>
        <w:t>Расчет за товары собственным векселем покупателя</w:t>
      </w:r>
      <w:bookmarkEnd w:id="1"/>
    </w:p>
    <w:p w:rsidR="00A46351" w:rsidRPr="00A3133F" w:rsidRDefault="00A46351" w:rsidP="00A3133F">
      <w:pPr>
        <w:ind w:firstLine="709"/>
        <w:rPr>
          <w:color w:val="000000"/>
        </w:rPr>
      </w:pP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При продаже товара продавец имеет право дать покупателю отсрочку платежа. Эта отсрочка называется договором коммерческого кредита. Обычно его не оформляют в виде отдельного договора; просто соответствующий пункт включается в договор купли-продажи товара.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К договорам коммерческого кредита применяются правила о договорах займа, если, конечно, эти правила не противоречат сути договора (в нашем случае </w:t>
      </w:r>
      <w:r w:rsidR="00A3133F">
        <w:rPr>
          <w:color w:val="000000"/>
        </w:rPr>
        <w:t xml:space="preserve">– </w:t>
      </w:r>
      <w:r w:rsidR="00A3133F" w:rsidRPr="00A3133F">
        <w:rPr>
          <w:color w:val="000000"/>
        </w:rPr>
        <w:t>д</w:t>
      </w:r>
      <w:r w:rsidRPr="00A3133F">
        <w:rPr>
          <w:color w:val="000000"/>
        </w:rPr>
        <w:t>оговора купли-продажи товара).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Согласно статьям Ш и 414 ГК РФ оформление долга за товар (работу, услугу) векселем юридически означает новацию долга а в заемное обязательство. Новация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>это способ прекращения обязательств. То есть договор поставки товара с выдачей векселя юридически закрыт: обязательства по нему исполнены даже тогда, когда покупатель выдал вексель от своего имени.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В то же время в ст.</w:t>
      </w:r>
      <w:r w:rsidR="00A3133F">
        <w:rPr>
          <w:color w:val="000000"/>
        </w:rPr>
        <w:t> </w:t>
      </w:r>
      <w:r w:rsidR="00A3133F" w:rsidRPr="00A3133F">
        <w:rPr>
          <w:color w:val="000000"/>
        </w:rPr>
        <w:t>7</w:t>
      </w:r>
      <w:r w:rsidRPr="00A3133F">
        <w:rPr>
          <w:color w:val="000000"/>
        </w:rPr>
        <w:t xml:space="preserve"> Закона РФ от 06.12.91</w:t>
      </w:r>
      <w:r w:rsidR="00A3133F">
        <w:rPr>
          <w:color w:val="000000"/>
        </w:rPr>
        <w:t> </w:t>
      </w:r>
      <w:r w:rsidR="00A3133F" w:rsidRPr="00A3133F">
        <w:rPr>
          <w:color w:val="000000"/>
        </w:rPr>
        <w:t>г</w:t>
      </w:r>
      <w:r w:rsidRPr="00A3133F">
        <w:rPr>
          <w:color w:val="000000"/>
        </w:rPr>
        <w:t xml:space="preserve">. </w:t>
      </w:r>
      <w:r w:rsidR="00A3133F">
        <w:rPr>
          <w:color w:val="000000"/>
        </w:rPr>
        <w:t>№</w:t>
      </w:r>
      <w:r w:rsidR="00A3133F" w:rsidRPr="00A3133F">
        <w:rPr>
          <w:color w:val="000000"/>
        </w:rPr>
        <w:t>1</w:t>
      </w:r>
      <w:r w:rsidRPr="00A3133F">
        <w:rPr>
          <w:color w:val="000000"/>
        </w:rPr>
        <w:t>992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>1</w:t>
      </w:r>
      <w:r w:rsidRPr="00A3133F">
        <w:rPr>
          <w:color w:val="000000"/>
        </w:rPr>
        <w:t xml:space="preserve"> «О налоге на добавленную стоимость» (далее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>Закон о НДС) укачано, что при расчетах векселем принятие налога на добавленную стоимость (НДС) к зачету происходит лишь «после оплаты векселей денежными средствами».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Письмо МНС России от 03.02.2007</w:t>
      </w:r>
      <w:r w:rsidR="00A3133F">
        <w:rPr>
          <w:color w:val="000000"/>
        </w:rPr>
        <w:t> </w:t>
      </w:r>
      <w:r w:rsidR="00A3133F" w:rsidRPr="00A3133F">
        <w:rPr>
          <w:color w:val="000000"/>
        </w:rPr>
        <w:t>г</w:t>
      </w:r>
      <w:r w:rsidRPr="00A3133F">
        <w:rPr>
          <w:color w:val="000000"/>
        </w:rPr>
        <w:t xml:space="preserve">. </w:t>
      </w:r>
      <w:r w:rsidR="00A3133F">
        <w:rPr>
          <w:color w:val="000000"/>
        </w:rPr>
        <w:t>№</w:t>
      </w:r>
      <w:r w:rsidR="00A3133F" w:rsidRPr="00A3133F">
        <w:rPr>
          <w:color w:val="000000"/>
        </w:rPr>
        <w:t>В</w:t>
      </w:r>
      <w:r w:rsidRPr="00A3133F">
        <w:rPr>
          <w:color w:val="000000"/>
        </w:rPr>
        <w:t>Г</w:t>
      </w:r>
      <w:r w:rsidR="00A3133F">
        <w:rPr>
          <w:color w:val="000000"/>
        </w:rPr>
        <w:noBreakHyphen/>
      </w:r>
      <w:r w:rsidR="00A3133F" w:rsidRPr="00A3133F">
        <w:rPr>
          <w:color w:val="000000"/>
        </w:rPr>
        <w:t>6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>0</w:t>
      </w:r>
      <w:r w:rsidRPr="00A3133F">
        <w:rPr>
          <w:color w:val="000000"/>
        </w:rPr>
        <w:t>3/99@ трактует эти сомнения в пользу налогоплательщика: если покупатель выдал поставщику свой собственный вексель, у него не появляется право на зачет НДС, но и у поставщика нет реализации «по оплате».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В этом есть своя логика. Новация </w:t>
      </w:r>
      <w:r w:rsidR="00A3133F">
        <w:rPr>
          <w:color w:val="000000"/>
        </w:rPr>
        <w:t xml:space="preserve">– </w:t>
      </w:r>
      <w:r w:rsidR="00A3133F" w:rsidRPr="00A3133F">
        <w:rPr>
          <w:color w:val="000000"/>
        </w:rPr>
        <w:t>п</w:t>
      </w:r>
      <w:r w:rsidRPr="00A3133F">
        <w:rPr>
          <w:color w:val="000000"/>
        </w:rPr>
        <w:t xml:space="preserve">ереоформление одного долга в другой, </w:t>
      </w:r>
      <w:r w:rsidR="00A3133F">
        <w:rPr>
          <w:color w:val="000000"/>
        </w:rPr>
        <w:t>т.е.</w:t>
      </w:r>
      <w:r w:rsidRPr="00A3133F">
        <w:rPr>
          <w:color w:val="000000"/>
        </w:rPr>
        <w:t xml:space="preserve"> у одного остается дебиторская задолженность, у другого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>кредиторская. На этом основании для целей налогообложения вполне можно считать, что товар не оплачен. Поэтому здесь нет ни реализации «по оплате», ни фактической уплаты НДС.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При расчете за товар собственным векселем покупатель будет иметь право на зачет НДС только после погашения этого векселя. Упомянутое выше письмо МНС России </w:t>
      </w:r>
      <w:r w:rsidR="00A3133F">
        <w:rPr>
          <w:color w:val="000000"/>
        </w:rPr>
        <w:t>№</w:t>
      </w:r>
      <w:r w:rsidR="00A3133F" w:rsidRPr="00A3133F">
        <w:rPr>
          <w:color w:val="000000"/>
        </w:rPr>
        <w:t>В</w:t>
      </w:r>
      <w:r w:rsidRPr="00A3133F">
        <w:rPr>
          <w:color w:val="000000"/>
        </w:rPr>
        <w:t>Г</w:t>
      </w:r>
      <w:r w:rsidR="00A3133F">
        <w:rPr>
          <w:color w:val="000000"/>
        </w:rPr>
        <w:t>-</w:t>
      </w:r>
      <w:r w:rsidR="00A3133F" w:rsidRPr="00A3133F">
        <w:rPr>
          <w:color w:val="000000"/>
        </w:rPr>
        <w:t>6</w:t>
      </w:r>
      <w:r w:rsidR="00A3133F">
        <w:rPr>
          <w:color w:val="000000"/>
        </w:rPr>
        <w:t>-</w:t>
      </w:r>
      <w:r w:rsidR="00A3133F" w:rsidRPr="00A3133F">
        <w:rPr>
          <w:color w:val="000000"/>
        </w:rPr>
        <w:t>0</w:t>
      </w:r>
      <w:r w:rsidRPr="00A3133F">
        <w:rPr>
          <w:color w:val="000000"/>
        </w:rPr>
        <w:t>3/99@ требует, чтобы это погашение было произведено только деньгами: «налогоплательщик, использующий в расчетах за товары (работы, услуги) собственный вексель (</w:t>
      </w:r>
      <w:r w:rsidR="00A3133F">
        <w:rPr>
          <w:color w:val="000000"/>
        </w:rPr>
        <w:t>т.е.</w:t>
      </w:r>
      <w:r w:rsidRPr="00A3133F">
        <w:rPr>
          <w:color w:val="000000"/>
        </w:rPr>
        <w:t xml:space="preserve"> векселедатель), имеет право на возмещение (зачет) сумм налога на добавленную стоимость по таким товарам (работам, услугам) в момент оплаты своего векселя денежными средствами предъявителю векселя» (п.</w:t>
      </w:r>
      <w:r w:rsidR="00A3133F">
        <w:rPr>
          <w:color w:val="000000"/>
        </w:rPr>
        <w:t> </w:t>
      </w:r>
      <w:r w:rsidR="00A3133F" w:rsidRPr="00A3133F">
        <w:rPr>
          <w:color w:val="000000"/>
        </w:rPr>
        <w:t>6</w:t>
      </w:r>
      <w:r w:rsidRPr="00A3133F">
        <w:rPr>
          <w:color w:val="000000"/>
        </w:rPr>
        <w:t xml:space="preserve"> письма).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Это означает, что для зачета НДС векселедатель обязан исполнить свои обязательства по векселю только надлежащим образом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>уплатой денег. Зачет встречных долгов, передача другого товара в качестве отступного, новация долга по векселю возможны, все эти нормы ГК РФ никто не отменял, но права на зачет НДС в этих случаях нет.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Конечно, такие ограничения по зачету НДС создают препятствия для ведения бизнеса. Ведь в гражданском праве, в отличие от налогового, надлежащее погашение векселя (уплата денег) или прекращение обязательств иным образом с обоюдного согласия сторон абсолютно равнозначны.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Например, я должен по векселю </w:t>
      </w:r>
      <w:r w:rsidR="00A3133F" w:rsidRPr="00A3133F">
        <w:rPr>
          <w:color w:val="000000"/>
        </w:rPr>
        <w:t>100</w:t>
      </w:r>
      <w:r w:rsidR="00A3133F">
        <w:rPr>
          <w:color w:val="000000"/>
        </w:rPr>
        <w:t xml:space="preserve"> </w:t>
      </w:r>
      <w:r w:rsidR="00A3133F" w:rsidRPr="00A3133F">
        <w:rPr>
          <w:color w:val="000000"/>
        </w:rPr>
        <w:t>руб</w:t>
      </w:r>
      <w:r w:rsidRPr="00A3133F">
        <w:rPr>
          <w:color w:val="000000"/>
        </w:rPr>
        <w:t xml:space="preserve">. и вы готовы принять от меня в погашение долга товар стоимостью </w:t>
      </w:r>
      <w:r w:rsidR="00A3133F" w:rsidRPr="00A3133F">
        <w:rPr>
          <w:color w:val="000000"/>
        </w:rPr>
        <w:t>100</w:t>
      </w:r>
      <w:r w:rsidR="00A3133F">
        <w:rPr>
          <w:color w:val="000000"/>
        </w:rPr>
        <w:t xml:space="preserve"> </w:t>
      </w:r>
      <w:r w:rsidR="00A3133F" w:rsidRPr="00A3133F">
        <w:rPr>
          <w:color w:val="000000"/>
        </w:rPr>
        <w:t>руб</w:t>
      </w:r>
      <w:r w:rsidRPr="00A3133F">
        <w:rPr>
          <w:color w:val="000000"/>
        </w:rPr>
        <w:t>. Мы подписываем договор купли-продажи, по которому вы мне должны 100 руб. Одновременно я по акту принимаю у вас вексель к погашению и теперь тоже должен вам 100 руб. У нас встречные долги.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Вместо того чтобы сделать зачет и не гонять попусту деньги по расчетным счетам (это потеря нескольких дней), налоговое законодательство заставляет нас «оплатить вексель денежными средствами». В нашем примере сначала я вам перечислю 100 руб. (и приму НДС к зачету), а потом вы мне тут же вернете их. Смысл в этой операции может быть разве что для банка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>он снимете нас рубля потри за исполнение платежных поручении.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Можно эту операцию осуществить и по-другому. Сначала вы как владелец векселя продадите его моему банку с отсрочкой оплаты (договор </w:t>
      </w:r>
      <w:r w:rsidR="00A3133F">
        <w:rPr>
          <w:color w:val="000000"/>
        </w:rPr>
        <w:t>№</w:t>
      </w:r>
      <w:r w:rsidR="00A3133F" w:rsidRPr="00A3133F">
        <w:rPr>
          <w:color w:val="000000"/>
        </w:rPr>
        <w:t>I</w:t>
      </w:r>
      <w:r w:rsidRPr="00A3133F">
        <w:rPr>
          <w:color w:val="000000"/>
        </w:rPr>
        <w:t xml:space="preserve">), потом подпишите со мной договор купли-продажи товара (договор </w:t>
      </w:r>
      <w:r w:rsidR="00A3133F">
        <w:rPr>
          <w:color w:val="000000"/>
        </w:rPr>
        <w:t>№</w:t>
      </w:r>
      <w:r w:rsidR="00A3133F" w:rsidRPr="00A3133F">
        <w:rPr>
          <w:color w:val="000000"/>
        </w:rPr>
        <w:t>2</w:t>
      </w:r>
      <w:r w:rsidRPr="00A3133F">
        <w:rPr>
          <w:color w:val="000000"/>
        </w:rPr>
        <w:t>) и отправите банку письмо с просьбой деньги за вексел</w:t>
      </w:r>
      <w:r w:rsidR="00A3133F" w:rsidRPr="00A3133F">
        <w:rPr>
          <w:color w:val="000000"/>
        </w:rPr>
        <w:t>ь</w:t>
      </w:r>
      <w:r w:rsidR="00A3133F">
        <w:rPr>
          <w:color w:val="000000"/>
        </w:rPr>
        <w:t xml:space="preserve"> (</w:t>
      </w:r>
      <w:r w:rsidR="00A3133F" w:rsidRPr="00A3133F">
        <w:rPr>
          <w:color w:val="000000"/>
        </w:rPr>
        <w:t xml:space="preserve">по </w:t>
      </w:r>
      <w:r w:rsidRPr="00A3133F">
        <w:rPr>
          <w:color w:val="000000"/>
        </w:rPr>
        <w:t xml:space="preserve">договору </w:t>
      </w:r>
      <w:r w:rsidR="00A3133F">
        <w:rPr>
          <w:color w:val="000000"/>
        </w:rPr>
        <w:t>№</w:t>
      </w:r>
      <w:r w:rsidR="00A3133F" w:rsidRPr="00A3133F">
        <w:rPr>
          <w:color w:val="000000"/>
        </w:rPr>
        <w:t>1</w:t>
      </w:r>
      <w:r w:rsidRPr="00A3133F">
        <w:rPr>
          <w:color w:val="000000"/>
        </w:rPr>
        <w:t xml:space="preserve">) сразу перечислить мне на расчетный счет </w:t>
      </w:r>
      <w:r w:rsidR="00A3133F" w:rsidRPr="00A3133F">
        <w:rPr>
          <w:color w:val="000000"/>
        </w:rPr>
        <w:t xml:space="preserve">(«в счет оплаты по договору </w:t>
      </w:r>
      <w:r w:rsidR="00A3133F">
        <w:rPr>
          <w:color w:val="000000"/>
        </w:rPr>
        <w:t>№</w:t>
      </w:r>
      <w:r w:rsidR="00A3133F" w:rsidRPr="00A3133F">
        <w:rPr>
          <w:color w:val="000000"/>
        </w:rPr>
        <w:t>2»</w:t>
      </w:r>
      <w:r w:rsidRPr="00A3133F">
        <w:rPr>
          <w:color w:val="000000"/>
        </w:rPr>
        <w:t>). Потом банк предъявит мне этот вексель к оплате. Затем одним днем банк зачислит мне деньги на расчетный счет по вашему письму и тут же спишет их как средства, уплаченные в погашение векселя. Деньги не двинутся с корреспондентского счета банка, но будет их движение по расчетному счету, подтвержденное мемориальным ордером.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Эту же операцию можно проделать и с применением инкассового индоссамента на имя банка (</w:t>
      </w:r>
      <w:r w:rsidR="00A3133F">
        <w:rPr>
          <w:color w:val="000000"/>
        </w:rPr>
        <w:t>т.е.</w:t>
      </w:r>
      <w:r w:rsidRPr="00A3133F">
        <w:rPr>
          <w:color w:val="000000"/>
        </w:rPr>
        <w:t xml:space="preserve"> поручить моему банку взять с меня деньги по векселю и тут же дать письмо, чтобы эти деньги мне вернули в счет оплаты за товар), и с использованием переводного векселя.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Вот так абсурдные требования законодательства порождают, мягко говоря, не известные науке виды документарных операций коммерческих банков.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Что касается продавца товара, с которым покупатель расплатился своим собственным векселем, то для него реализация «по оплате» наступит после продажи (погашения) или иного возмездного отчуждения этого векселя.</w:t>
      </w:r>
    </w:p>
    <w:p w:rsidR="00A3133F" w:rsidRDefault="00A3133F" w:rsidP="00A3133F">
      <w:pPr>
        <w:pStyle w:val="1"/>
        <w:keepNext w:val="0"/>
        <w:spacing w:before="0" w:after="0"/>
        <w:ind w:firstLine="709"/>
        <w:jc w:val="both"/>
        <w:rPr>
          <w:color w:val="000000"/>
          <w:sz w:val="28"/>
        </w:rPr>
      </w:pPr>
    </w:p>
    <w:p w:rsidR="00A46351" w:rsidRPr="00A3133F" w:rsidRDefault="00A46351" w:rsidP="00A3133F">
      <w:pPr>
        <w:pStyle w:val="1"/>
        <w:keepNext w:val="0"/>
        <w:spacing w:before="0" w:after="0"/>
        <w:ind w:firstLine="709"/>
        <w:jc w:val="both"/>
        <w:rPr>
          <w:color w:val="000000"/>
          <w:sz w:val="28"/>
        </w:rPr>
      </w:pPr>
      <w:bookmarkStart w:id="2" w:name="_Toc431240964"/>
      <w:r w:rsidRPr="00A3133F">
        <w:rPr>
          <w:color w:val="000000"/>
          <w:sz w:val="28"/>
        </w:rPr>
        <w:t>Расчет за товары векселем третьего лица</w:t>
      </w:r>
      <w:bookmarkEnd w:id="2"/>
    </w:p>
    <w:p w:rsidR="00A46351" w:rsidRPr="00A3133F" w:rsidRDefault="00A46351" w:rsidP="00A3133F">
      <w:pPr>
        <w:ind w:firstLine="709"/>
        <w:rPr>
          <w:color w:val="000000"/>
        </w:rPr>
      </w:pP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Покупатель может передать продавцу не только спой вексель, но и вексель, выданный третьим лицом. Эта операция ведет к погашению долга за товар (работу, услугу). Теперь поставщику товара должен уже не покупатель, а плательщик по векселю (банк, дебитор покупателя и др.), который не имеет никакого отношения к поставке данного товара и, возможно, никогда даже не слышал о фирмах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>участниках этого договора.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Отличительная черта оформления таких операций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 xml:space="preserve">это то, что вексель передается по индоссаменту. Совершение на обороте векселя такой передаточной надписи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>необходимая формальность при передаче векселя на промежуточных стадиях его обращения (между выдачей первому владельцу и погашением).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Согласно п.</w:t>
      </w:r>
      <w:r w:rsidR="00A3133F">
        <w:rPr>
          <w:color w:val="000000"/>
        </w:rPr>
        <w:t> </w:t>
      </w:r>
      <w:r w:rsidR="00A3133F" w:rsidRPr="00A3133F">
        <w:rPr>
          <w:color w:val="000000"/>
        </w:rPr>
        <w:t>14</w:t>
      </w:r>
      <w:r w:rsidRPr="00A3133F">
        <w:rPr>
          <w:color w:val="000000"/>
        </w:rPr>
        <w:t xml:space="preserve"> Обзора судебной практики применения законодательства о налоге на прибыл</w:t>
      </w:r>
      <w:r w:rsidR="00A3133F" w:rsidRPr="00A3133F">
        <w:rPr>
          <w:color w:val="000000"/>
        </w:rPr>
        <w:t>ь</w:t>
      </w:r>
      <w:r w:rsidR="00A3133F">
        <w:rPr>
          <w:color w:val="000000"/>
        </w:rPr>
        <w:t xml:space="preserve"> </w:t>
      </w:r>
      <w:r w:rsidR="00A3133F" w:rsidRPr="00A3133F">
        <w:rPr>
          <w:color w:val="000000"/>
        </w:rPr>
        <w:t xml:space="preserve">(приложение </w:t>
      </w:r>
      <w:r w:rsidRPr="00A3133F">
        <w:rPr>
          <w:color w:val="000000"/>
        </w:rPr>
        <w:t>к Информационному письму Президиума ВАС РФ от 14.11.97</w:t>
      </w:r>
      <w:r w:rsidR="00A3133F">
        <w:rPr>
          <w:color w:val="000000"/>
        </w:rPr>
        <w:t> </w:t>
      </w:r>
      <w:r w:rsidR="00A3133F" w:rsidRPr="00A3133F">
        <w:rPr>
          <w:color w:val="000000"/>
        </w:rPr>
        <w:t>г</w:t>
      </w:r>
      <w:r w:rsidRPr="00A3133F">
        <w:rPr>
          <w:color w:val="000000"/>
        </w:rPr>
        <w:t xml:space="preserve">. </w:t>
      </w:r>
      <w:r w:rsidR="00A3133F">
        <w:rPr>
          <w:color w:val="000000"/>
        </w:rPr>
        <w:t>№</w:t>
      </w:r>
      <w:r w:rsidR="00A3133F" w:rsidRPr="00A3133F">
        <w:rPr>
          <w:color w:val="000000"/>
        </w:rPr>
        <w:t>2</w:t>
      </w:r>
      <w:r w:rsidRPr="00A3133F">
        <w:rPr>
          <w:color w:val="000000"/>
        </w:rPr>
        <w:t xml:space="preserve">2) при определении выручки для целей налогообложения «по оплате» к поступлению денежных средств на расчетный счет налогоплательщика приравнивается «погашение дебиторской задолженности иным способом». Предоставление отступного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>это погашение дебиторской задолженности покупателя неденежным способом и именно поэтому получение отступного следует считать моментом оплаты товара у продавца.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Упомянутое выше письмо </w:t>
      </w:r>
      <w:r w:rsidR="00A3133F">
        <w:rPr>
          <w:color w:val="000000"/>
        </w:rPr>
        <w:t>№</w:t>
      </w:r>
      <w:r w:rsidR="00A3133F" w:rsidRPr="00A3133F">
        <w:rPr>
          <w:color w:val="000000"/>
        </w:rPr>
        <w:t>2</w:t>
      </w:r>
      <w:r w:rsidRPr="00A3133F">
        <w:rPr>
          <w:color w:val="000000"/>
        </w:rPr>
        <w:t xml:space="preserve">2 касалось вопросов арбитражной практики по налогу на прибыль. Но выручка для целей обложения НДС и налогом на прибыль определяется одинаково, поэтому получение отступного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>это момент реализации «по оплате» для обоих налогов.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Случай с передачей векселя третьего лица прямо не описан ни в Законе о НДС, ни в инструкции Госналогслужбы России от 11.10.95</w:t>
      </w:r>
      <w:r w:rsidR="00A3133F">
        <w:rPr>
          <w:color w:val="000000"/>
        </w:rPr>
        <w:t> </w:t>
      </w:r>
      <w:r w:rsidR="00A3133F" w:rsidRPr="00A3133F">
        <w:rPr>
          <w:color w:val="000000"/>
        </w:rPr>
        <w:t>г</w:t>
      </w:r>
      <w:r w:rsidRPr="00A3133F">
        <w:rPr>
          <w:color w:val="000000"/>
        </w:rPr>
        <w:t xml:space="preserve">. </w:t>
      </w:r>
      <w:r w:rsidR="00A3133F">
        <w:rPr>
          <w:color w:val="000000"/>
        </w:rPr>
        <w:t>№</w:t>
      </w:r>
      <w:r w:rsidR="00A3133F" w:rsidRPr="00A3133F">
        <w:rPr>
          <w:color w:val="000000"/>
        </w:rPr>
        <w:t>3</w:t>
      </w:r>
      <w:r w:rsidRPr="00A3133F">
        <w:rPr>
          <w:color w:val="000000"/>
        </w:rPr>
        <w:t xml:space="preserve">9 «О порядке исчисления и уплаты налога на добавленную стоимость» (в ред. последующих изменений и дополнений, далее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 xml:space="preserve">Инструкция </w:t>
      </w:r>
      <w:r w:rsidR="00A3133F">
        <w:rPr>
          <w:color w:val="000000"/>
        </w:rPr>
        <w:t>№</w:t>
      </w:r>
      <w:r w:rsidR="00A3133F" w:rsidRPr="00A3133F">
        <w:rPr>
          <w:color w:val="000000"/>
        </w:rPr>
        <w:t>3</w:t>
      </w:r>
      <w:r w:rsidRPr="00A3133F">
        <w:rPr>
          <w:color w:val="000000"/>
        </w:rPr>
        <w:t xml:space="preserve">9). С правовой точки зрения, предоставление отступного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 xml:space="preserve">это погашение долга за товар. Получение отступного за отгруженный товар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>это получение выручки для покупателя товара, если он применяет учетную политику «по оплате».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Но согласно ст.</w:t>
      </w:r>
      <w:r w:rsidR="00A3133F">
        <w:rPr>
          <w:color w:val="000000"/>
        </w:rPr>
        <w:t> </w:t>
      </w:r>
      <w:r w:rsidR="00A3133F" w:rsidRPr="00A3133F">
        <w:rPr>
          <w:color w:val="000000"/>
        </w:rPr>
        <w:t>7</w:t>
      </w:r>
      <w:r w:rsidRPr="00A3133F">
        <w:rPr>
          <w:color w:val="000000"/>
        </w:rPr>
        <w:t xml:space="preserve"> Закона о НДС зачет НДС при расчетах векселем возможен только после его оплаты денежными средствами (причем там нет никакого выделения векселей третьих лиц в какую-то особую группу).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Значит, получив вексель третьего лица, продавец получает оплату товара и НДС. Но у покупателя нет права на зачет НДС до уплаты денег. А уплаты денег в этой ситуации не будет никогда. Расчеты сторон закончены, вексель от покупателя «ушел», деньги по нему будет получать не он, а другое лицо. Кто это лицо, покупатель товара может даже не узнать.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Кроме того, если вексель пройдет по цепочке из нескольких лиц и у каждого выручка будет облагаться НДС, но не будет зачета, то получится, что одна и та же добавленная стоимость будет многократно обложена налогом и сумма налога, уплаченная всеми участниками цепочки, может даже превысить эту добавленную стоимость.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Противоречия Закона о НДС заставляют нас искать ответы на вопрос о налогообложении расчетов векселями третьих лиц в документах МНС России, которые согласно Налоговому кодексу Российской Федерации (далее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>Н К РФ) являются разъяснениями налогового законодательства.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До 2006</w:t>
      </w:r>
      <w:r w:rsidR="00A3133F">
        <w:rPr>
          <w:color w:val="000000"/>
        </w:rPr>
        <w:t> </w:t>
      </w:r>
      <w:r w:rsidR="00A3133F" w:rsidRPr="00A3133F">
        <w:rPr>
          <w:color w:val="000000"/>
        </w:rPr>
        <w:t>г</w:t>
      </w:r>
      <w:r w:rsidRPr="00A3133F">
        <w:rPr>
          <w:color w:val="000000"/>
        </w:rPr>
        <w:t>. в отдельных письмах Госналогслужба России указывала на то, что в случае расчета векселем третьего лица есть фактическая уплата НДС со стороны поставщика. Так, в письме Госналогслужбы России от 30.08.96</w:t>
      </w:r>
      <w:r w:rsidR="00A3133F">
        <w:rPr>
          <w:color w:val="000000"/>
        </w:rPr>
        <w:t> </w:t>
      </w:r>
      <w:r w:rsidR="00A3133F" w:rsidRPr="00A3133F">
        <w:rPr>
          <w:color w:val="000000"/>
        </w:rPr>
        <w:t>г</w:t>
      </w:r>
      <w:r w:rsidRPr="00A3133F">
        <w:rPr>
          <w:color w:val="000000"/>
        </w:rPr>
        <w:t xml:space="preserve">. </w:t>
      </w:r>
      <w:r w:rsidR="00A3133F">
        <w:rPr>
          <w:color w:val="000000"/>
        </w:rPr>
        <w:t>№</w:t>
      </w:r>
      <w:r w:rsidR="00A3133F" w:rsidRPr="00A3133F">
        <w:rPr>
          <w:color w:val="000000"/>
        </w:rPr>
        <w:t>В</w:t>
      </w:r>
      <w:r w:rsidRPr="00A3133F">
        <w:rPr>
          <w:color w:val="000000"/>
        </w:rPr>
        <w:t>Г</w:t>
      </w:r>
      <w:r w:rsidR="00A3133F">
        <w:rPr>
          <w:color w:val="000000"/>
        </w:rPr>
        <w:noBreakHyphen/>
      </w:r>
      <w:r w:rsidR="00A3133F" w:rsidRPr="00A3133F">
        <w:rPr>
          <w:color w:val="000000"/>
        </w:rPr>
        <w:t>6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>1</w:t>
      </w:r>
      <w:r w:rsidRPr="00A3133F">
        <w:rPr>
          <w:color w:val="000000"/>
        </w:rPr>
        <w:t xml:space="preserve">3/616 «По отдельным вопросам учета и отчетности для целей налогообложения» (вопрос </w:t>
      </w:r>
      <w:r w:rsidR="00A3133F">
        <w:rPr>
          <w:color w:val="000000"/>
        </w:rPr>
        <w:t>№</w:t>
      </w:r>
      <w:r w:rsidR="00A3133F" w:rsidRPr="00A3133F">
        <w:rPr>
          <w:color w:val="000000"/>
        </w:rPr>
        <w:t>1</w:t>
      </w:r>
      <w:r w:rsidRPr="00A3133F">
        <w:rPr>
          <w:color w:val="000000"/>
        </w:rPr>
        <w:t xml:space="preserve">4) говорилось о том, что датой совершения оборота, облагаемого НДС, при реализации «по оплате» считается «день поступления денежных средств по векселю, а при расчете векселем с поставщиком за продукцию (товары, услуги) </w:t>
      </w:r>
      <w:r w:rsidR="00A3133F">
        <w:rPr>
          <w:color w:val="000000"/>
        </w:rPr>
        <w:t xml:space="preserve">– </w:t>
      </w:r>
      <w:r w:rsidR="00A3133F" w:rsidRPr="00A3133F">
        <w:rPr>
          <w:color w:val="000000"/>
        </w:rPr>
        <w:t>д</w:t>
      </w:r>
      <w:r w:rsidRPr="00A3133F">
        <w:rPr>
          <w:color w:val="000000"/>
        </w:rPr>
        <w:t>ата передачи векселя».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Иными словами, передача векселя третьего лица согласно этому письму считалась оплатой продукции (работ, услуг) у продавца. Соответственно можно было сделать вывод, что это была и фактическая оплата со стороны покупателя.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Наличие разного рода вексельных схем, основанных на зачете НДС при передаче векселей третьих лиц, заставило налоговые органы ужесточить свою позицию. Сначала в ответе на запрос ГНИ по </w:t>
      </w:r>
      <w:r w:rsidR="00A3133F" w:rsidRPr="00A3133F">
        <w:rPr>
          <w:color w:val="000000"/>
        </w:rPr>
        <w:t>г.</w:t>
      </w:r>
      <w:r w:rsidR="00A3133F">
        <w:rPr>
          <w:color w:val="000000"/>
        </w:rPr>
        <w:t> </w:t>
      </w:r>
      <w:r w:rsidR="00A3133F" w:rsidRPr="00A3133F">
        <w:rPr>
          <w:color w:val="000000"/>
        </w:rPr>
        <w:t>Москве</w:t>
      </w:r>
      <w:r w:rsidRPr="00A3133F">
        <w:rPr>
          <w:color w:val="000000"/>
        </w:rPr>
        <w:t xml:space="preserve"> и ряда других региональных инспекций (письмо МНС России от 25.02.99</w:t>
      </w:r>
      <w:r w:rsidR="00A3133F">
        <w:rPr>
          <w:color w:val="000000"/>
        </w:rPr>
        <w:t> </w:t>
      </w:r>
      <w:r w:rsidR="00A3133F" w:rsidRPr="00A3133F">
        <w:rPr>
          <w:color w:val="000000"/>
        </w:rPr>
        <w:t>г</w:t>
      </w:r>
      <w:r w:rsidRPr="00A3133F">
        <w:rPr>
          <w:color w:val="000000"/>
        </w:rPr>
        <w:t xml:space="preserve">. </w:t>
      </w:r>
      <w:r w:rsidR="00A3133F">
        <w:rPr>
          <w:color w:val="000000"/>
        </w:rPr>
        <w:t>№</w:t>
      </w:r>
      <w:r w:rsidR="00A3133F" w:rsidRPr="00A3133F">
        <w:rPr>
          <w:color w:val="000000"/>
        </w:rPr>
        <w:t>0</w:t>
      </w:r>
      <w:r w:rsidRPr="00A3133F">
        <w:rPr>
          <w:color w:val="000000"/>
        </w:rPr>
        <w:t>3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>4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>0</w:t>
      </w:r>
      <w:r w:rsidRPr="00A3133F">
        <w:rPr>
          <w:color w:val="000000"/>
        </w:rPr>
        <w:t>9/39 «О налоге на добавленную стоимость»), а потом и в письме МНС России от 03.02.2007</w:t>
      </w:r>
      <w:r w:rsidR="00A3133F">
        <w:rPr>
          <w:color w:val="000000"/>
        </w:rPr>
        <w:t> </w:t>
      </w:r>
      <w:r w:rsidR="00A3133F" w:rsidRPr="00A3133F">
        <w:rPr>
          <w:color w:val="000000"/>
        </w:rPr>
        <w:t>г</w:t>
      </w:r>
      <w:r w:rsidRPr="00A3133F">
        <w:rPr>
          <w:color w:val="000000"/>
        </w:rPr>
        <w:t xml:space="preserve">. </w:t>
      </w:r>
      <w:r w:rsidR="00A3133F">
        <w:rPr>
          <w:color w:val="000000"/>
        </w:rPr>
        <w:t>№</w:t>
      </w:r>
      <w:r w:rsidR="00A3133F" w:rsidRPr="00A3133F">
        <w:rPr>
          <w:color w:val="000000"/>
        </w:rPr>
        <w:t>В</w:t>
      </w:r>
      <w:r w:rsidRPr="00A3133F">
        <w:rPr>
          <w:color w:val="000000"/>
        </w:rPr>
        <w:t>Г</w:t>
      </w:r>
      <w:r w:rsidR="00A3133F">
        <w:rPr>
          <w:color w:val="000000"/>
        </w:rPr>
        <w:noBreakHyphen/>
      </w:r>
      <w:r w:rsidR="00A3133F" w:rsidRPr="00A3133F">
        <w:rPr>
          <w:color w:val="000000"/>
        </w:rPr>
        <w:t>6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>0</w:t>
      </w:r>
      <w:r w:rsidRPr="00A3133F">
        <w:rPr>
          <w:color w:val="000000"/>
        </w:rPr>
        <w:t>3/99@ был выдвинут принцип: зачет НДС при расчетах векселями третьих лиц возможен, но в пределах определенного лимита, который для каждого векселя устанавливается отдельно.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В письме М НС России от 03.02.2007</w:t>
      </w:r>
      <w:r w:rsidR="00A3133F">
        <w:rPr>
          <w:color w:val="000000"/>
        </w:rPr>
        <w:t> </w:t>
      </w:r>
      <w:r w:rsidR="00A3133F" w:rsidRPr="00A3133F">
        <w:rPr>
          <w:color w:val="000000"/>
        </w:rPr>
        <w:t>г</w:t>
      </w:r>
      <w:r w:rsidRPr="00A3133F">
        <w:rPr>
          <w:color w:val="000000"/>
        </w:rPr>
        <w:t xml:space="preserve">. </w:t>
      </w:r>
      <w:r w:rsidR="00A3133F">
        <w:rPr>
          <w:color w:val="000000"/>
        </w:rPr>
        <w:t>№</w:t>
      </w:r>
      <w:r w:rsidR="00A3133F" w:rsidRPr="00A3133F">
        <w:rPr>
          <w:color w:val="000000"/>
        </w:rPr>
        <w:t>В</w:t>
      </w:r>
      <w:r w:rsidRPr="00A3133F">
        <w:rPr>
          <w:color w:val="000000"/>
        </w:rPr>
        <w:t>Г</w:t>
      </w:r>
      <w:r w:rsidR="00A3133F">
        <w:rPr>
          <w:color w:val="000000"/>
        </w:rPr>
        <w:noBreakHyphen/>
      </w:r>
      <w:r w:rsidR="00A3133F" w:rsidRPr="00A3133F">
        <w:rPr>
          <w:color w:val="000000"/>
        </w:rPr>
        <w:t>6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>0</w:t>
      </w:r>
      <w:r w:rsidRPr="00A3133F">
        <w:rPr>
          <w:color w:val="000000"/>
        </w:rPr>
        <w:t>3/99@ по поводу этого лимита сказано весьма расплывчато: зачет НДС при расчетах векселем третьего лица производится в пределах сумм, «не превышающих стоимости товаров (работ, услуг), отгруженных индоссантом, за которые ранее получен вексель». Конкретную методику зачета НДС в этой ситуации можно представить прочитав письмо МНС России от 25.02.99</w:t>
      </w:r>
      <w:r w:rsidR="00A3133F">
        <w:rPr>
          <w:color w:val="000000"/>
        </w:rPr>
        <w:t> </w:t>
      </w:r>
      <w:r w:rsidR="00A3133F" w:rsidRPr="00A3133F">
        <w:rPr>
          <w:color w:val="000000"/>
        </w:rPr>
        <w:t>г</w:t>
      </w:r>
      <w:r w:rsidRPr="00A3133F">
        <w:rPr>
          <w:color w:val="000000"/>
        </w:rPr>
        <w:t xml:space="preserve">. </w:t>
      </w:r>
      <w:r w:rsidR="00A3133F">
        <w:rPr>
          <w:color w:val="000000"/>
        </w:rPr>
        <w:t>№</w:t>
      </w:r>
      <w:r w:rsidR="00A3133F" w:rsidRPr="00A3133F">
        <w:rPr>
          <w:color w:val="000000"/>
        </w:rPr>
        <w:t>0</w:t>
      </w:r>
      <w:r w:rsidRPr="00A3133F">
        <w:rPr>
          <w:color w:val="000000"/>
        </w:rPr>
        <w:t>3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>4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>0</w:t>
      </w:r>
      <w:r w:rsidRPr="00A3133F">
        <w:rPr>
          <w:color w:val="000000"/>
        </w:rPr>
        <w:t>9/39, которое, как было сказано, является всего лишь ответом на запрос. Почему эта методика не была разъяснена для всех налогоплательщиков в письме МНС России от 03.02.2007</w:t>
      </w:r>
      <w:r w:rsidR="00A3133F">
        <w:rPr>
          <w:color w:val="000000"/>
        </w:rPr>
        <w:t> </w:t>
      </w:r>
      <w:r w:rsidR="00A3133F" w:rsidRPr="00A3133F">
        <w:rPr>
          <w:color w:val="000000"/>
        </w:rPr>
        <w:t>г</w:t>
      </w:r>
      <w:r w:rsidRPr="00A3133F">
        <w:rPr>
          <w:color w:val="000000"/>
        </w:rPr>
        <w:t xml:space="preserve">. </w:t>
      </w:r>
      <w:r w:rsidR="00A3133F">
        <w:rPr>
          <w:color w:val="000000"/>
        </w:rPr>
        <w:t>№</w:t>
      </w:r>
      <w:r w:rsidR="00A3133F" w:rsidRPr="00A3133F">
        <w:rPr>
          <w:color w:val="000000"/>
        </w:rPr>
        <w:t>В</w:t>
      </w:r>
      <w:r w:rsidRPr="00A3133F">
        <w:rPr>
          <w:color w:val="000000"/>
        </w:rPr>
        <w:t>Г</w:t>
      </w:r>
      <w:r w:rsidR="00A3133F">
        <w:rPr>
          <w:color w:val="000000"/>
        </w:rPr>
        <w:noBreakHyphen/>
      </w:r>
      <w:r w:rsidR="00A3133F" w:rsidRPr="00A3133F">
        <w:rPr>
          <w:color w:val="000000"/>
        </w:rPr>
        <w:t>6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>0</w:t>
      </w:r>
      <w:r w:rsidRPr="00A3133F">
        <w:rPr>
          <w:color w:val="000000"/>
        </w:rPr>
        <w:t>3/99@, можно только догадываться.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Проанализировав упомянутое выше письмо Госналогслужбы России </w:t>
      </w:r>
      <w:r w:rsidR="00A3133F">
        <w:rPr>
          <w:color w:val="000000"/>
        </w:rPr>
        <w:t>№</w:t>
      </w:r>
      <w:r w:rsidR="00A3133F" w:rsidRPr="00A3133F">
        <w:rPr>
          <w:color w:val="000000"/>
        </w:rPr>
        <w:t>0</w:t>
      </w:r>
      <w:r w:rsidRPr="00A3133F">
        <w:rPr>
          <w:color w:val="000000"/>
        </w:rPr>
        <w:t>3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>4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>0</w:t>
      </w:r>
      <w:r w:rsidRPr="00A3133F">
        <w:rPr>
          <w:color w:val="000000"/>
        </w:rPr>
        <w:t>9/39, можно сделать вывод, что порядок расчета лимита выглядит примерно так: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Надо определить, чем предприятие оплатило данный вексель. Зачет НДС возможен только в том случае, если вексель был куплен за деньги (как финансовое вложение в ценную бумагу) или получен в оплату за товары (работы, услуги). Лимит НДС к зачету для данного векселя равен НДС по соответствующим товарам (работам, услугам), что можно проверить по счету-фактуре, или 16,6</w:t>
      </w:r>
      <w:r w:rsidR="00A3133F" w:rsidRPr="00A3133F">
        <w:rPr>
          <w:color w:val="000000"/>
        </w:rPr>
        <w:t>7</w:t>
      </w:r>
      <w:r w:rsidR="00A3133F">
        <w:rPr>
          <w:color w:val="000000"/>
        </w:rPr>
        <w:t>%</w:t>
      </w:r>
      <w:r w:rsidRPr="00A3133F">
        <w:rPr>
          <w:color w:val="000000"/>
        </w:rPr>
        <w:t xml:space="preserve"> от реально уплаченных за вексель денег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Возможно и применение следующей схемы работы с векселями третьих лиц; покупатель берет кредит в банке, тут же на него покупает вексель банка и с этого момента получает вексель третьего лица оплаченный деньгами который можно использовать для оплаты товаров (работ, услуг). Если лимит НДС к зачету окажется слишком мал для покупателя, значит ему надо взять кредит на большую сумму и купить вексель за более высокую цену</w:t>
      </w:r>
    </w:p>
    <w:p w:rsidR="00A3133F" w:rsidRDefault="00A3133F" w:rsidP="00A3133F">
      <w:pPr>
        <w:pStyle w:val="1"/>
        <w:keepNext w:val="0"/>
        <w:spacing w:before="0" w:after="0"/>
        <w:ind w:firstLine="709"/>
        <w:jc w:val="both"/>
        <w:rPr>
          <w:color w:val="000000"/>
          <w:sz w:val="28"/>
        </w:rPr>
      </w:pPr>
      <w:bookmarkStart w:id="3" w:name="_Toc431240965"/>
    </w:p>
    <w:p w:rsidR="00A46351" w:rsidRPr="00A3133F" w:rsidRDefault="00A46351" w:rsidP="00A3133F">
      <w:pPr>
        <w:pStyle w:val="1"/>
        <w:keepNext w:val="0"/>
        <w:spacing w:before="0" w:after="0"/>
        <w:ind w:firstLine="709"/>
        <w:jc w:val="both"/>
        <w:rPr>
          <w:color w:val="000000"/>
          <w:sz w:val="28"/>
        </w:rPr>
      </w:pPr>
      <w:r w:rsidRPr="00A3133F">
        <w:rPr>
          <w:color w:val="000000"/>
          <w:sz w:val="28"/>
        </w:rPr>
        <w:t>Складские свидетельства</w:t>
      </w:r>
      <w:bookmarkEnd w:id="3"/>
    </w:p>
    <w:p w:rsidR="00A46351" w:rsidRPr="00A3133F" w:rsidRDefault="00A46351" w:rsidP="00A3133F">
      <w:pPr>
        <w:ind w:firstLine="709"/>
        <w:rPr>
          <w:color w:val="000000"/>
        </w:rPr>
      </w:pP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Складское свидетельство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 xml:space="preserve">это ценная бумага, являющаяся формой договора хранения. Схема его выдачи обычно такова: владелец товара сдает его на склад на хранение, склад выдает ему ценную бумагу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>складское свидетельство, удостоверяющую факт заключения между ними договора хранения. Назад товар выдается со склада тому, кто предъявит это свидетельство.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Складские свидетельства бывают простыми и двойными. Простое складское свидетельство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 xml:space="preserve">это ценная бумага на предъявителя, </w:t>
      </w:r>
      <w:r w:rsidR="00A3133F">
        <w:rPr>
          <w:color w:val="000000"/>
        </w:rPr>
        <w:t>т.е.</w:t>
      </w:r>
      <w:r w:rsidRPr="00A3133F">
        <w:rPr>
          <w:color w:val="000000"/>
        </w:rPr>
        <w:t xml:space="preserve"> кто бы ее ни принес, склад обязан выдать товар. Двойное складское свидетельство состоит из двух частей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>складского свидетельства и залогового свидетельства (варранта), которые могут быть отделены одно от другого, причем каждая часть является ценной бумагой и может обращаться обособленно.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Разделение обеих частей двойного складского свидетельства возможно только в связи с получением кредита (имеется ввиду банковский кредит) под залог товара. В этом случае кредитору передается в залог варрант, который он может, в свою очередь, переуступить другому кредитору Передач а свидетельств оформляется путем совершения на них передаточной надписи.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С обращением складских свидетельств связаны две правовые проблемы которые пока прямо не разъяснены в законодательстве.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Первую проблему можно назвать проблемой «номерка в гардеробе»: я сдал шубу в гардероб, получил номерок и отдал его вам: номерок в данном случае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 xml:space="preserve">аналог складского свидетельства: полученный номерок вы возвращать мне не должны; пока вы не дошли до гардероба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>вы уже собственник шубы или еще нет? Иными словами, получив складское свидетельство, его покупатель стал собственником товара или еще нет? И если нет, то что же тогда купил и чей товар?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Складское свидетельство</w:t>
      </w:r>
      <w:r w:rsidR="00A3133F">
        <w:rPr>
          <w:color w:val="000000"/>
        </w:rPr>
        <w:t>–</w:t>
      </w:r>
      <w:r w:rsidRPr="00A3133F">
        <w:rPr>
          <w:color w:val="000000"/>
        </w:rPr>
        <w:t>это товарораспорядительный документ. Согласно п.</w:t>
      </w:r>
      <w:r w:rsidR="00A3133F">
        <w:rPr>
          <w:color w:val="000000"/>
        </w:rPr>
        <w:t> </w:t>
      </w:r>
      <w:r w:rsidR="00A3133F" w:rsidRPr="00A3133F">
        <w:rPr>
          <w:color w:val="000000"/>
        </w:rPr>
        <w:t>3</w:t>
      </w:r>
      <w:r w:rsidRPr="00A3133F">
        <w:rPr>
          <w:color w:val="000000"/>
        </w:rPr>
        <w:t xml:space="preserve"> ст.</w:t>
      </w:r>
      <w:r w:rsidR="00A3133F">
        <w:rPr>
          <w:color w:val="000000"/>
        </w:rPr>
        <w:t> </w:t>
      </w:r>
      <w:r w:rsidR="00A3133F" w:rsidRPr="00A3133F">
        <w:rPr>
          <w:color w:val="000000"/>
        </w:rPr>
        <w:t>2</w:t>
      </w:r>
      <w:r w:rsidRPr="00A3133F">
        <w:rPr>
          <w:color w:val="000000"/>
        </w:rPr>
        <w:t>24 ГК РФ передача такого документа приравнивается к передаче права собственности на товар (</w:t>
      </w:r>
      <w:r w:rsidR="00A3133F">
        <w:rPr>
          <w:color w:val="000000"/>
        </w:rPr>
        <w:t>т.е.</w:t>
      </w:r>
      <w:r w:rsidRPr="00A3133F">
        <w:rPr>
          <w:color w:val="000000"/>
        </w:rPr>
        <w:t xml:space="preserve"> вещного права на него). А передача вещного права в соответствии со ст.</w:t>
      </w:r>
      <w:r w:rsidR="00A3133F">
        <w:rPr>
          <w:color w:val="000000"/>
        </w:rPr>
        <w:t> </w:t>
      </w:r>
      <w:r w:rsidR="00A3133F" w:rsidRPr="00A3133F">
        <w:rPr>
          <w:color w:val="000000"/>
        </w:rPr>
        <w:t>3</w:t>
      </w:r>
      <w:r w:rsidRPr="00A3133F">
        <w:rPr>
          <w:color w:val="000000"/>
        </w:rPr>
        <w:t>9 Н К РФ есть реализация товара. Подход к налогообложению складских свидетельств зависит от того, считаем мы передачу свидетельства передачей товара или видим здесь лишь некую «уступку права требования поклажедателя к хранителю» в рамках договора хранения.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Однако есть мнение (отраженное, кстати, в проекте закона о складских свидетельствах), что передача права собственности происходит только тогда, когда последний владелец забирает товар со склада (а до того передается лишь право поклажедателя истребовать товар со склада, </w:t>
      </w:r>
      <w:r w:rsidR="00A3133F">
        <w:rPr>
          <w:color w:val="000000"/>
        </w:rPr>
        <w:t>т.е.</w:t>
      </w:r>
      <w:r w:rsidRPr="00A3133F">
        <w:rPr>
          <w:color w:val="000000"/>
        </w:rPr>
        <w:t xml:space="preserve"> происходит уступка права требован и я по договору хранения).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Вторая проблема касается двойных складских свидетельств. Передача варранта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 xml:space="preserve">это передача предмета залога новому залогодержателю. Согласно ГК РФ одновременно к новому кредитору переходят права по основному обязательству (договору кредита). Отсюда возникает вопрос: могут ли варранты обращаться среди небанковских организаций, </w:t>
      </w:r>
      <w:r w:rsidR="00A3133F">
        <w:rPr>
          <w:color w:val="000000"/>
        </w:rPr>
        <w:t>т.е.</w:t>
      </w:r>
      <w:r w:rsidRPr="00A3133F">
        <w:rPr>
          <w:color w:val="000000"/>
        </w:rPr>
        <w:t xml:space="preserve"> Может ли обычная организация приобрести права кредитора по банковскому кредиту, ведь для таких операции требуется лицензия кредитной организации?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Для практической работы со складскими свидетельствами важен ответ на следующий вопрос: происходит переход права собственности на товар с передачей свидетельства или нет?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Если да, то мы имеем дело с реализацией товара, облагаемой НДС и всеми налогами в общем порядке. Передача складского свидетельства в этом случае ничем не отличается от передачи товара по коносаменту или накладной (кстати, коносамент, или морская транспортная накладная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>это тоже ценная бумага, но ее передача отражается в учете как реализация товара). Бухгалтерский учет складских свидетельств при первой трактовке должен вестись с использованием счетов 41 «Товары» и 46 «Реализация продукции (работ, услуг)», а передача варранта должна отражаться как получение кредита под залог товара (а не как эмиссия или передача ценной бумаги).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Если же при передаче свидетельства перехода права собственности не происходит до момента выдачи товара со склада последнему владельцу свидетельства, то передача таких складских свидетельств должна отражаться в бухгалтерском и налоговом учете как торговля ценными бумагами. Эта точка зрения отражена, в частности, в письме ГНИ по </w:t>
      </w:r>
      <w:r w:rsidR="00A3133F" w:rsidRPr="00A3133F">
        <w:rPr>
          <w:color w:val="000000"/>
        </w:rPr>
        <w:t>г.</w:t>
      </w:r>
      <w:r w:rsidR="00A3133F">
        <w:rPr>
          <w:color w:val="000000"/>
        </w:rPr>
        <w:t> </w:t>
      </w:r>
      <w:r w:rsidR="00A3133F" w:rsidRPr="00A3133F">
        <w:rPr>
          <w:color w:val="000000"/>
        </w:rPr>
        <w:t>Москве</w:t>
      </w:r>
      <w:r w:rsidRPr="00A3133F">
        <w:rPr>
          <w:color w:val="000000"/>
        </w:rPr>
        <w:t xml:space="preserve"> от 29.12.98</w:t>
      </w:r>
      <w:r w:rsidR="00A3133F">
        <w:rPr>
          <w:color w:val="000000"/>
        </w:rPr>
        <w:t> </w:t>
      </w:r>
      <w:r w:rsidR="00A3133F" w:rsidRPr="00A3133F">
        <w:rPr>
          <w:color w:val="000000"/>
        </w:rPr>
        <w:t>г</w:t>
      </w:r>
      <w:r w:rsidRPr="00A3133F">
        <w:rPr>
          <w:color w:val="000000"/>
        </w:rPr>
        <w:t xml:space="preserve">. </w:t>
      </w:r>
      <w:r w:rsidR="00A3133F">
        <w:rPr>
          <w:color w:val="000000"/>
        </w:rPr>
        <w:t>№</w:t>
      </w:r>
      <w:r w:rsidR="00A3133F" w:rsidRPr="00A3133F">
        <w:rPr>
          <w:color w:val="000000"/>
        </w:rPr>
        <w:t>3</w:t>
      </w:r>
      <w:r w:rsidRPr="00A3133F">
        <w:rPr>
          <w:color w:val="000000"/>
        </w:rPr>
        <w:t>0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>1</w:t>
      </w:r>
      <w:r w:rsidRPr="00A3133F">
        <w:rPr>
          <w:color w:val="000000"/>
        </w:rPr>
        <w:t xml:space="preserve">4/3Х2 IX «О налоге на добавленную стоимость», которое было адресовано в территориальные налоговые инспекции </w:t>
      </w:r>
      <w:r w:rsidR="00A3133F" w:rsidRPr="00A3133F">
        <w:rPr>
          <w:color w:val="000000"/>
        </w:rPr>
        <w:t>г.</w:t>
      </w:r>
      <w:r w:rsidR="00A3133F">
        <w:rPr>
          <w:color w:val="000000"/>
        </w:rPr>
        <w:t> </w:t>
      </w:r>
      <w:r w:rsidR="00A3133F" w:rsidRPr="00A3133F">
        <w:rPr>
          <w:color w:val="000000"/>
        </w:rPr>
        <w:t>Москвы</w:t>
      </w:r>
      <w:r w:rsidRPr="00A3133F">
        <w:rPr>
          <w:color w:val="000000"/>
        </w:rPr>
        <w:t>. Бухгалтерский учет складских свидетельств при второй трактовке дол же и вестись на счетах финансовых вложений.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У второй точки зрения есть довольно много сторонников, так как если при передаче складских свидетельств нет перехода прав собственности на товары, то:</w:t>
      </w:r>
    </w:p>
    <w:p w:rsidR="00A46351" w:rsidRPr="00A3133F" w:rsidRDefault="00A46351" w:rsidP="00A3133F">
      <w:pPr>
        <w:numPr>
          <w:ilvl w:val="0"/>
          <w:numId w:val="1"/>
        </w:numPr>
        <w:tabs>
          <w:tab w:val="clear" w:pos="360"/>
          <w:tab w:val="num" w:pos="1211"/>
        </w:tabs>
        <w:ind w:left="0" w:firstLine="709"/>
        <w:rPr>
          <w:color w:val="000000"/>
        </w:rPr>
      </w:pPr>
      <w:r w:rsidRPr="00A3133F">
        <w:rPr>
          <w:color w:val="000000"/>
        </w:rPr>
        <w:t>упрощается их оборот на рынке ценных бумаг:</w:t>
      </w:r>
    </w:p>
    <w:p w:rsidR="00A46351" w:rsidRPr="00A3133F" w:rsidRDefault="00A46351" w:rsidP="00A3133F">
      <w:pPr>
        <w:numPr>
          <w:ilvl w:val="0"/>
          <w:numId w:val="1"/>
        </w:numPr>
        <w:tabs>
          <w:tab w:val="clear" w:pos="360"/>
          <w:tab w:val="num" w:pos="1211"/>
        </w:tabs>
        <w:ind w:left="0" w:firstLine="709"/>
        <w:rPr>
          <w:color w:val="000000"/>
        </w:rPr>
      </w:pPr>
      <w:r w:rsidRPr="00A3133F">
        <w:rPr>
          <w:color w:val="000000"/>
        </w:rPr>
        <w:t>значительная часть оптовиков может не платить со своих операций НДС и оборотные налоги (торгуя вместо товара товарораспорядительными ценными бумагами).</w:t>
      </w:r>
    </w:p>
    <w:p w:rsidR="00A46351" w:rsidRPr="00A3133F" w:rsidRDefault="00A3133F" w:rsidP="00A3133F">
      <w:pPr>
        <w:pStyle w:val="a4"/>
        <w:ind w:firstLine="709"/>
        <w:rPr>
          <w:color w:val="000000"/>
        </w:rPr>
      </w:pPr>
      <w:r>
        <w:rPr>
          <w:color w:val="000000"/>
        </w:rPr>
        <w:t>Однако</w:t>
      </w:r>
      <w:r w:rsidR="00A46351" w:rsidRPr="00A3133F">
        <w:rPr>
          <w:color w:val="000000"/>
        </w:rPr>
        <w:t xml:space="preserve"> пока в законодательстве не будут сделаны прямые разъяснения по налогообложению складских свидетельств, применять вторую трактовку опасно потрем причинам: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1) всегда есть возможность, что суд применит к таким операциям п.</w:t>
      </w:r>
      <w:r w:rsidR="00A3133F">
        <w:rPr>
          <w:color w:val="000000"/>
        </w:rPr>
        <w:t> </w:t>
      </w:r>
      <w:r w:rsidR="00A3133F" w:rsidRPr="00A3133F">
        <w:rPr>
          <w:color w:val="000000"/>
        </w:rPr>
        <w:t>3</w:t>
      </w:r>
      <w:r w:rsidRPr="00A3133F">
        <w:rPr>
          <w:color w:val="000000"/>
        </w:rPr>
        <w:t xml:space="preserve"> ст.</w:t>
      </w:r>
      <w:r w:rsidR="00A3133F">
        <w:rPr>
          <w:color w:val="000000"/>
        </w:rPr>
        <w:t> </w:t>
      </w:r>
      <w:r w:rsidR="00A3133F" w:rsidRPr="00A3133F">
        <w:rPr>
          <w:color w:val="000000"/>
        </w:rPr>
        <w:t>2</w:t>
      </w:r>
      <w:r w:rsidRPr="00A3133F">
        <w:rPr>
          <w:color w:val="000000"/>
        </w:rPr>
        <w:t>24 ГК РФ и усмотрит тут реализацию товара, а не ценной бумаги. Если же осуществлять торговлю не самими складскими свидетельствами, а варрантами, то реализации товара тут, безусловно, не будет (залог не влечет перехода права собственности), но придется уступать и права по основному обязательству. Так как варрант дается только под кредит банка, суд может усмотреть в таких операциях безлицензионную банковскую деятельность;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2) возникает вопрос об уплате НДС первым владельцем свидетельства. Например, первый владелец произвел товар, заплатил в ходе его производства НДС, потом положил товар на склад, получил простое складское свидетельство и продал его. Если право собственности на товар осталось у него, значит, он не реализовал товар. Как трактовать полученные им деньги? Как собственные средства, отражаемые в разделе IV баланса?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 xml:space="preserve">Нет. Как заем?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>Нет, здесь договор хранения. Так как, отдавая свидетельство, владельцу рано или поздно придется отдать товар, мы приходим к выводу, что хозяин товара получил не что иное, как аванс под реализацию этого товара (облагаемый НДС);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3) есть проблемы и с уплатой НДС последним владельцем складского свидетельства. Он купил ценную бумагу без НДС, затем взял товар со склада. Он должен списать с баланса ценную бумагу и оприходовать товар, а эта операция, несомненно, облагается НДС. Кому он должен его уплатить? Если собственник товара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>первый владелец, то он и должен составить счет-фактуру, но на какую сумму? Ведь он продавал свидетельство совсем другому лицу за другую цену, да и договорных отношений с последним владельцем у него нет. В этом случае не обойтись без специального договора передачи товара между первым и последним владельцем свидетельства, но при условии, что они сойдутся в цене. А если нет?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Из всего изложенного можно сделать вывод о том, что сегодня торговым и производственным организациям, в принципе, нежелательно работать со складскими свидетельствами до того момента, пока не будут приняты закон о них (находится в стадии разработки), а также соответствующие изменения к Закону о НДС.</w:t>
      </w:r>
    </w:p>
    <w:p w:rsidR="00A3133F" w:rsidRDefault="00A3133F" w:rsidP="00A3133F">
      <w:pPr>
        <w:pStyle w:val="1"/>
        <w:keepNext w:val="0"/>
        <w:spacing w:before="0" w:after="0"/>
        <w:ind w:firstLine="709"/>
        <w:jc w:val="both"/>
        <w:rPr>
          <w:color w:val="000000"/>
          <w:sz w:val="28"/>
        </w:rPr>
      </w:pPr>
      <w:bookmarkStart w:id="4" w:name="_Toc431240966"/>
    </w:p>
    <w:p w:rsidR="00A3133F" w:rsidRDefault="00A3133F" w:rsidP="00A3133F">
      <w:pPr>
        <w:pStyle w:val="1"/>
        <w:keepNext w:val="0"/>
        <w:spacing w:before="0" w:after="0"/>
        <w:ind w:firstLine="709"/>
        <w:jc w:val="both"/>
        <w:rPr>
          <w:color w:val="000000"/>
          <w:sz w:val="28"/>
        </w:rPr>
      </w:pPr>
    </w:p>
    <w:p w:rsidR="00A46351" w:rsidRPr="00A3133F" w:rsidRDefault="00A3133F" w:rsidP="00A3133F">
      <w:pPr>
        <w:pStyle w:val="1"/>
        <w:keepNext w:val="0"/>
        <w:spacing w:before="0" w:after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A46351" w:rsidRPr="00A3133F">
        <w:rPr>
          <w:color w:val="000000"/>
          <w:sz w:val="28"/>
        </w:rPr>
        <w:t>Заключение</w:t>
      </w:r>
      <w:bookmarkEnd w:id="4"/>
    </w:p>
    <w:p w:rsidR="00A46351" w:rsidRPr="00A3133F" w:rsidRDefault="00A46351" w:rsidP="00A3133F">
      <w:pPr>
        <w:ind w:firstLine="709"/>
        <w:rPr>
          <w:color w:val="000000"/>
        </w:rPr>
      </w:pP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>Таким образом, вексель представляет собой договор займа, оформленный в виде ценной бумаги с определенным набором реквизитов (ст.</w:t>
      </w:r>
      <w:r w:rsidR="00A3133F">
        <w:rPr>
          <w:color w:val="000000"/>
        </w:rPr>
        <w:t> </w:t>
      </w:r>
      <w:r w:rsidR="00A3133F" w:rsidRPr="00A3133F">
        <w:rPr>
          <w:color w:val="000000"/>
        </w:rPr>
        <w:t>8</w:t>
      </w:r>
      <w:r w:rsidRPr="00A3133F">
        <w:rPr>
          <w:color w:val="000000"/>
        </w:rPr>
        <w:t xml:space="preserve">15 Гражданского кодекса Российской Федерации, далее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 xml:space="preserve">ГК РФ). Другими словами, у векселя две стороны: это заем и одновременно имущество, так как ценные бумаги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>вид движимого имущества.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Складское свидетельство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 xml:space="preserve">это ценная бумага, являющаяся формой договора хранения. Схема его выдачи обычно такова: владелец товара сдает его на склад на хранение, склад выдает ему ценную бумагу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>складское свидетельство, удостоверяющую факт заключения между ними договора хранения. Назад товар выдается со склада тому, кто предъявит это свидетельство.</w:t>
      </w:r>
    </w:p>
    <w:p w:rsidR="00A46351" w:rsidRPr="00A3133F" w:rsidRDefault="00A46351" w:rsidP="00A3133F">
      <w:pPr>
        <w:ind w:firstLine="709"/>
        <w:rPr>
          <w:color w:val="000000"/>
        </w:rPr>
      </w:pPr>
      <w:r w:rsidRPr="00A3133F">
        <w:rPr>
          <w:color w:val="000000"/>
        </w:rPr>
        <w:t xml:space="preserve">Складские свидетельства бывают простыми и двойными. Простое складское свидетельство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 xml:space="preserve">это ценная бумага на предъявителя, </w:t>
      </w:r>
      <w:r w:rsidR="00A3133F">
        <w:rPr>
          <w:color w:val="000000"/>
        </w:rPr>
        <w:t>т.е.</w:t>
      </w:r>
      <w:r w:rsidRPr="00A3133F">
        <w:rPr>
          <w:color w:val="000000"/>
        </w:rPr>
        <w:t xml:space="preserve"> кто бы ее ни принес, склад обязан выдать товар. Двойное складское свидетельство состоит из двух частей </w:t>
      </w:r>
      <w:r w:rsidR="00A3133F">
        <w:rPr>
          <w:color w:val="000000"/>
        </w:rPr>
        <w:t>–</w:t>
      </w:r>
      <w:r w:rsidR="00A3133F" w:rsidRPr="00A3133F">
        <w:rPr>
          <w:color w:val="000000"/>
        </w:rPr>
        <w:t xml:space="preserve"> </w:t>
      </w:r>
      <w:r w:rsidRPr="00A3133F">
        <w:rPr>
          <w:color w:val="000000"/>
        </w:rPr>
        <w:t>складского свидетельства и залогового свидетельства (варранта), которые могут быть отделены одно от другого, причем каждая часть является ценной бумагой и может обращаться обособленно</w:t>
      </w:r>
      <w:r w:rsidR="00A3133F">
        <w:rPr>
          <w:color w:val="000000"/>
        </w:rPr>
        <w:t>.</w:t>
      </w:r>
    </w:p>
    <w:p w:rsidR="00A3133F" w:rsidRDefault="00A3133F" w:rsidP="00A3133F">
      <w:pPr>
        <w:pStyle w:val="1"/>
        <w:keepNext w:val="0"/>
        <w:spacing w:before="0" w:after="0"/>
        <w:ind w:firstLine="709"/>
        <w:jc w:val="both"/>
        <w:rPr>
          <w:color w:val="000000"/>
          <w:sz w:val="28"/>
        </w:rPr>
      </w:pPr>
    </w:p>
    <w:p w:rsidR="00A3133F" w:rsidRDefault="00A3133F" w:rsidP="00A3133F">
      <w:pPr>
        <w:pStyle w:val="1"/>
        <w:keepNext w:val="0"/>
        <w:spacing w:before="0" w:after="0"/>
        <w:ind w:firstLine="709"/>
        <w:jc w:val="both"/>
        <w:rPr>
          <w:color w:val="000000"/>
          <w:sz w:val="28"/>
        </w:rPr>
      </w:pPr>
    </w:p>
    <w:p w:rsidR="00A46351" w:rsidRPr="00A3133F" w:rsidRDefault="00A46351" w:rsidP="00A3133F">
      <w:pPr>
        <w:pStyle w:val="1"/>
        <w:keepNext w:val="0"/>
        <w:spacing w:before="0" w:after="0"/>
        <w:ind w:firstLine="709"/>
        <w:jc w:val="both"/>
        <w:rPr>
          <w:color w:val="000000"/>
          <w:sz w:val="28"/>
        </w:rPr>
      </w:pPr>
      <w:r w:rsidRPr="00A3133F">
        <w:rPr>
          <w:color w:val="000000"/>
          <w:sz w:val="28"/>
        </w:rPr>
        <w:br w:type="page"/>
      </w:r>
      <w:bookmarkStart w:id="5" w:name="_Toc431240967"/>
      <w:r w:rsidRPr="00A3133F">
        <w:rPr>
          <w:color w:val="000000"/>
          <w:sz w:val="28"/>
        </w:rPr>
        <w:t>Литература</w:t>
      </w:r>
      <w:bookmarkEnd w:id="5"/>
    </w:p>
    <w:p w:rsidR="00A46351" w:rsidRPr="00A3133F" w:rsidRDefault="00A46351" w:rsidP="00A3133F">
      <w:pPr>
        <w:ind w:firstLine="709"/>
        <w:rPr>
          <w:color w:val="000000"/>
        </w:rPr>
      </w:pPr>
    </w:p>
    <w:p w:rsidR="00A46351" w:rsidRPr="00A3133F" w:rsidRDefault="00A3133F" w:rsidP="00A3133F">
      <w:pPr>
        <w:numPr>
          <w:ilvl w:val="0"/>
          <w:numId w:val="2"/>
        </w:numPr>
        <w:tabs>
          <w:tab w:val="clear" w:pos="360"/>
          <w:tab w:val="num" w:pos="280"/>
        </w:tabs>
        <w:ind w:left="0" w:firstLine="0"/>
        <w:rPr>
          <w:color w:val="000000"/>
        </w:rPr>
      </w:pPr>
      <w:r w:rsidRPr="00A3133F">
        <w:rPr>
          <w:color w:val="000000"/>
        </w:rPr>
        <w:t>Голубцов</w:t>
      </w:r>
      <w:r>
        <w:rPr>
          <w:color w:val="000000"/>
        </w:rPr>
        <w:t> </w:t>
      </w:r>
      <w:r w:rsidRPr="00A3133F">
        <w:rPr>
          <w:color w:val="000000"/>
        </w:rPr>
        <w:t>В.Ю.</w:t>
      </w:r>
      <w:r>
        <w:rPr>
          <w:color w:val="000000"/>
        </w:rPr>
        <w:t> </w:t>
      </w:r>
      <w:r w:rsidRPr="00A3133F">
        <w:rPr>
          <w:color w:val="000000"/>
        </w:rPr>
        <w:t>Кредитование</w:t>
      </w:r>
      <w:r w:rsidR="00A46351" w:rsidRPr="00A3133F">
        <w:rPr>
          <w:color w:val="000000"/>
        </w:rPr>
        <w:t xml:space="preserve"> и расчеты. – М., 2005.</w:t>
      </w:r>
    </w:p>
    <w:p w:rsidR="00A46351" w:rsidRPr="00A3133F" w:rsidRDefault="00A46351" w:rsidP="00A3133F">
      <w:pPr>
        <w:numPr>
          <w:ilvl w:val="0"/>
          <w:numId w:val="2"/>
        </w:numPr>
        <w:tabs>
          <w:tab w:val="clear" w:pos="360"/>
          <w:tab w:val="num" w:pos="280"/>
        </w:tabs>
        <w:ind w:left="0" w:firstLine="0"/>
        <w:rPr>
          <w:color w:val="000000"/>
        </w:rPr>
      </w:pPr>
      <w:r w:rsidRPr="00A3133F">
        <w:rPr>
          <w:color w:val="000000"/>
        </w:rPr>
        <w:t>Кредитование и расчеты. Учебник для студентов экономических специальностей. – М.: Финансы и статистика, 2006.</w:t>
      </w:r>
    </w:p>
    <w:p w:rsidR="00A46351" w:rsidRPr="00A3133F" w:rsidRDefault="00A46351" w:rsidP="00A3133F">
      <w:pPr>
        <w:numPr>
          <w:ilvl w:val="0"/>
          <w:numId w:val="2"/>
        </w:numPr>
        <w:tabs>
          <w:tab w:val="clear" w:pos="360"/>
          <w:tab w:val="num" w:pos="280"/>
        </w:tabs>
        <w:ind w:left="0" w:firstLine="0"/>
        <w:rPr>
          <w:color w:val="000000"/>
        </w:rPr>
      </w:pPr>
      <w:r w:rsidRPr="00A3133F">
        <w:rPr>
          <w:color w:val="000000"/>
        </w:rPr>
        <w:t xml:space="preserve">Митин. </w:t>
      </w:r>
      <w:r w:rsidR="00A3133F" w:rsidRPr="00A3133F">
        <w:rPr>
          <w:color w:val="000000"/>
        </w:rPr>
        <w:t>Б.М.</w:t>
      </w:r>
      <w:r w:rsidR="00A3133F">
        <w:rPr>
          <w:color w:val="000000"/>
        </w:rPr>
        <w:t> </w:t>
      </w:r>
      <w:r w:rsidR="00A3133F" w:rsidRPr="00A3133F">
        <w:rPr>
          <w:color w:val="000000"/>
        </w:rPr>
        <w:t>Векселя</w:t>
      </w:r>
      <w:r w:rsidRPr="00A3133F">
        <w:rPr>
          <w:color w:val="000000"/>
        </w:rPr>
        <w:t xml:space="preserve"> и взаимозачеты: налоги, учет, арбитражная практика. – М.: Современная экономика и право, 2007.</w:t>
      </w:r>
    </w:p>
    <w:p w:rsidR="00A46351" w:rsidRPr="00A3133F" w:rsidRDefault="00A46351" w:rsidP="00A3133F">
      <w:pPr>
        <w:numPr>
          <w:ilvl w:val="0"/>
          <w:numId w:val="2"/>
        </w:numPr>
        <w:tabs>
          <w:tab w:val="clear" w:pos="360"/>
          <w:tab w:val="num" w:pos="280"/>
        </w:tabs>
        <w:ind w:left="0" w:firstLine="0"/>
        <w:rPr>
          <w:color w:val="000000"/>
        </w:rPr>
      </w:pPr>
      <w:r w:rsidRPr="00A3133F">
        <w:rPr>
          <w:color w:val="000000"/>
        </w:rPr>
        <w:t>Рынок ценных бумаг. – М.: Финансы и статистика, 2005.</w:t>
      </w:r>
    </w:p>
    <w:p w:rsidR="00A46351" w:rsidRPr="00A3133F" w:rsidRDefault="00A46351" w:rsidP="00A3133F">
      <w:pPr>
        <w:numPr>
          <w:ilvl w:val="0"/>
          <w:numId w:val="2"/>
        </w:numPr>
        <w:tabs>
          <w:tab w:val="clear" w:pos="360"/>
          <w:tab w:val="num" w:pos="280"/>
        </w:tabs>
        <w:ind w:left="0" w:firstLine="0"/>
        <w:rPr>
          <w:color w:val="000000"/>
        </w:rPr>
      </w:pPr>
      <w:r w:rsidRPr="00A3133F">
        <w:rPr>
          <w:color w:val="000000"/>
        </w:rPr>
        <w:t>Ценные бумаги. – М., 2007.</w:t>
      </w:r>
      <w:bookmarkStart w:id="6" w:name="_GoBack"/>
      <w:bookmarkEnd w:id="6"/>
    </w:p>
    <w:sectPr w:rsidR="00A46351" w:rsidRPr="00A3133F" w:rsidSect="00A3133F">
      <w:pgSz w:w="11906" w:h="16838"/>
      <w:pgMar w:top="1134" w:right="850" w:bottom="1134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3255FF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>
    <w:nsid w:val="55D513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40"/>
  <w:displayHorizontalDrawingGridEvery w:val="0"/>
  <w:displayVertic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6351"/>
    <w:rsid w:val="008C4ACE"/>
    <w:rsid w:val="009C531B"/>
    <w:rsid w:val="00A3133F"/>
    <w:rsid w:val="00A46351"/>
    <w:rsid w:val="00A616B8"/>
    <w:rsid w:val="00BF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E8FB11E-11D7-4F57-8E00-EC1650EA9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851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120" w:after="120"/>
      <w:ind w:firstLine="0"/>
      <w:jc w:val="center"/>
      <w:outlineLvl w:val="0"/>
    </w:pPr>
    <w:rPr>
      <w:b/>
      <w:kern w:val="28"/>
      <w:sz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120" w:after="120"/>
      <w:outlineLvl w:val="1"/>
    </w:pPr>
    <w:rPr>
      <w:b/>
      <w:i/>
      <w:sz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60" w:after="60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Содержание"/>
    <w:basedOn w:val="a"/>
    <w:next w:val="a"/>
    <w:uiPriority w:val="99"/>
    <w:pPr>
      <w:spacing w:before="120" w:after="120"/>
      <w:ind w:firstLine="0"/>
      <w:jc w:val="center"/>
    </w:pPr>
    <w:rPr>
      <w:b/>
      <w:sz w:val="36"/>
    </w:rPr>
  </w:style>
  <w:style w:type="paragraph" w:styleId="a4">
    <w:name w:val="Body Text Indent"/>
    <w:basedOn w:val="a"/>
    <w:link w:val="a5"/>
    <w:uiPriority w:val="99"/>
  </w:style>
  <w:style w:type="character" w:customStyle="1" w:styleId="a5">
    <w:name w:val="Основной текст с отступом Знак"/>
    <w:link w:val="a4"/>
    <w:uiPriority w:val="99"/>
    <w:semiHidden/>
    <w:rPr>
      <w:sz w:val="28"/>
      <w:szCs w:val="20"/>
    </w:rPr>
  </w:style>
  <w:style w:type="paragraph" w:styleId="11">
    <w:name w:val="toc 1"/>
    <w:basedOn w:val="a"/>
    <w:next w:val="a"/>
    <w:autoRedefine/>
    <w:uiPriority w:val="99"/>
    <w:semiHidden/>
  </w:style>
  <w:style w:type="paragraph" w:styleId="21">
    <w:name w:val="toc 2"/>
    <w:basedOn w:val="a"/>
    <w:next w:val="a"/>
    <w:autoRedefine/>
    <w:uiPriority w:val="99"/>
    <w:semiHidden/>
    <w:pPr>
      <w:ind w:left="280"/>
    </w:pPr>
  </w:style>
  <w:style w:type="paragraph" w:styleId="31">
    <w:name w:val="toc 3"/>
    <w:basedOn w:val="a"/>
    <w:next w:val="a"/>
    <w:autoRedefine/>
    <w:uiPriority w:val="99"/>
    <w:semiHidden/>
    <w:pPr>
      <w:ind w:left="560"/>
    </w:pPr>
  </w:style>
  <w:style w:type="paragraph" w:styleId="4">
    <w:name w:val="toc 4"/>
    <w:basedOn w:val="a"/>
    <w:next w:val="a"/>
    <w:autoRedefine/>
    <w:uiPriority w:val="99"/>
    <w:semiHidden/>
    <w:pPr>
      <w:ind w:left="840"/>
    </w:pPr>
  </w:style>
  <w:style w:type="paragraph" w:styleId="5">
    <w:name w:val="toc 5"/>
    <w:basedOn w:val="a"/>
    <w:next w:val="a"/>
    <w:autoRedefine/>
    <w:uiPriority w:val="99"/>
    <w:semiHidden/>
    <w:pPr>
      <w:ind w:left="1120"/>
    </w:pPr>
  </w:style>
  <w:style w:type="paragraph" w:styleId="6">
    <w:name w:val="toc 6"/>
    <w:basedOn w:val="a"/>
    <w:next w:val="a"/>
    <w:autoRedefine/>
    <w:uiPriority w:val="99"/>
    <w:semiHidden/>
    <w:pPr>
      <w:ind w:left="1400"/>
    </w:pPr>
  </w:style>
  <w:style w:type="paragraph" w:styleId="7">
    <w:name w:val="toc 7"/>
    <w:basedOn w:val="a"/>
    <w:next w:val="a"/>
    <w:autoRedefine/>
    <w:uiPriority w:val="99"/>
    <w:semiHidden/>
    <w:pPr>
      <w:ind w:left="1680"/>
    </w:pPr>
  </w:style>
  <w:style w:type="paragraph" w:styleId="8">
    <w:name w:val="toc 8"/>
    <w:basedOn w:val="a"/>
    <w:next w:val="a"/>
    <w:autoRedefine/>
    <w:uiPriority w:val="99"/>
    <w:semiHidden/>
    <w:pPr>
      <w:ind w:left="1960"/>
    </w:pPr>
  </w:style>
  <w:style w:type="paragraph" w:styleId="9">
    <w:name w:val="toc 9"/>
    <w:basedOn w:val="a"/>
    <w:next w:val="a"/>
    <w:autoRedefine/>
    <w:uiPriority w:val="99"/>
    <w:semiHidden/>
    <w:pPr>
      <w:ind w:left="2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3808</Words>
  <Characters>21709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Алгоритм и сравнительная характеристика использования векселей и складских средств при коммерческом кредитовании</vt:lpstr>
    </vt:vector>
  </TitlesOfParts>
  <Company>рефераты, курсовые, дипломы</Company>
  <LinksUpToDate>false</LinksUpToDate>
  <CharactersWithSpaces>25467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Алгоритм и сравнительная характеристика использования векселей и складских средств при коммерческом кредитовании</dc:title>
  <dc:subject/>
  <dc:creator>маза фака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2014-03-13T06:10:00Z</dcterms:created>
  <dcterms:modified xsi:type="dcterms:W3CDTF">2014-03-13T06:10:00Z</dcterms:modified>
</cp:coreProperties>
</file>