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B2F" w:rsidRDefault="005D7B2F" w:rsidP="00DA77C3">
      <w:pPr>
        <w:tabs>
          <w:tab w:val="left" w:pos="720"/>
          <w:tab w:val="left" w:pos="1080"/>
        </w:tabs>
        <w:ind w:firstLine="709"/>
        <w:jc w:val="both"/>
        <w:rPr>
          <w:b/>
          <w:sz w:val="28"/>
        </w:rPr>
      </w:pPr>
    </w:p>
    <w:p w:rsidR="00DA77C3" w:rsidRDefault="00DA77C3" w:rsidP="00DA77C3">
      <w:pPr>
        <w:tabs>
          <w:tab w:val="left" w:pos="720"/>
          <w:tab w:val="left" w:pos="1080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Лекция № 1. Стандартизация аудита на межгосударственном уровне </w:t>
      </w:r>
    </w:p>
    <w:p w:rsidR="00DA77C3" w:rsidRDefault="00DA77C3" w:rsidP="00DA77C3">
      <w:pPr>
        <w:tabs>
          <w:tab w:val="left" w:pos="720"/>
          <w:tab w:val="left" w:pos="1080"/>
        </w:tabs>
        <w:ind w:firstLine="709"/>
        <w:jc w:val="both"/>
        <w:rPr>
          <w:b/>
          <w:sz w:val="28"/>
        </w:rPr>
      </w:pPr>
    </w:p>
    <w:p w:rsidR="00DA77C3" w:rsidRDefault="00DA77C3" w:rsidP="00DA77C3">
      <w:pPr>
        <w:tabs>
          <w:tab w:val="left" w:pos="720"/>
          <w:tab w:val="left" w:pos="1080"/>
        </w:tabs>
        <w:ind w:firstLine="709"/>
        <w:jc w:val="both"/>
        <w:rPr>
          <w:b/>
          <w:sz w:val="28"/>
        </w:rPr>
      </w:pPr>
    </w:p>
    <w:p w:rsidR="00DA77C3" w:rsidRDefault="00DA77C3" w:rsidP="00DA77C3">
      <w:pPr>
        <w:tabs>
          <w:tab w:val="left" w:pos="720"/>
          <w:tab w:val="left" w:pos="1080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>План лекции:</w:t>
      </w:r>
    </w:p>
    <w:p w:rsidR="00DA77C3" w:rsidRDefault="00DA77C3" w:rsidP="00DA77C3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r>
        <w:rPr>
          <w:sz w:val="28"/>
        </w:rPr>
        <w:t>Роль аудита в информационном обеспечении субъектов хозяйствования</w:t>
      </w:r>
    </w:p>
    <w:p w:rsidR="00DA77C3" w:rsidRDefault="00DA77C3" w:rsidP="00DA77C3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r>
        <w:rPr>
          <w:sz w:val="28"/>
        </w:rPr>
        <w:t>История возникновения международных стандартов аудита</w:t>
      </w:r>
    </w:p>
    <w:p w:rsidR="00DA77C3" w:rsidRDefault="00DA77C3" w:rsidP="00DA77C3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r>
        <w:rPr>
          <w:sz w:val="28"/>
        </w:rPr>
        <w:t>Статус Международных стандартов аудита</w:t>
      </w:r>
    </w:p>
    <w:p w:rsidR="00DA77C3" w:rsidRDefault="00DA77C3" w:rsidP="00DA77C3">
      <w:pPr>
        <w:numPr>
          <w:ilvl w:val="0"/>
          <w:numId w:val="2"/>
        </w:numPr>
        <w:tabs>
          <w:tab w:val="left" w:pos="1080"/>
        </w:tabs>
        <w:jc w:val="both"/>
        <w:rPr>
          <w:sz w:val="28"/>
        </w:rPr>
      </w:pPr>
      <w:r>
        <w:rPr>
          <w:sz w:val="28"/>
        </w:rPr>
        <w:t>Соотношение международных стандартов финансовой отчетности и стандартов аудита</w:t>
      </w:r>
    </w:p>
    <w:p w:rsidR="00DA77C3" w:rsidRDefault="00DA77C3" w:rsidP="00DA77C3">
      <w:pPr>
        <w:tabs>
          <w:tab w:val="left" w:pos="720"/>
          <w:tab w:val="left" w:pos="1080"/>
        </w:tabs>
        <w:ind w:firstLine="709"/>
        <w:jc w:val="both"/>
        <w:rPr>
          <w:b/>
          <w:sz w:val="28"/>
        </w:rPr>
      </w:pPr>
    </w:p>
    <w:p w:rsidR="00DA77C3" w:rsidRDefault="00DA77C3" w:rsidP="00DA77C3">
      <w:pPr>
        <w:pStyle w:val="a3"/>
        <w:tabs>
          <w:tab w:val="left" w:pos="720"/>
        </w:tabs>
        <w:spacing w:before="0" w:after="0"/>
        <w:ind w:firstLine="709"/>
        <w:jc w:val="both"/>
        <w:rPr>
          <w:b/>
          <w:sz w:val="28"/>
        </w:rPr>
      </w:pPr>
      <w:bookmarkStart w:id="0" w:name="_Toc179343633"/>
      <w:r>
        <w:rPr>
          <w:b/>
          <w:sz w:val="28"/>
        </w:rPr>
        <w:t>1 .Роль аудита в информационном обеспечении субъектов хозяйствования</w:t>
      </w:r>
    </w:p>
    <w:p w:rsidR="00DA77C3" w:rsidRDefault="00DA77C3" w:rsidP="00DA77C3">
      <w:pPr>
        <w:pStyle w:val="a3"/>
        <w:spacing w:before="0" w:after="0"/>
        <w:rPr>
          <w:b/>
          <w:sz w:val="28"/>
        </w:rPr>
      </w:pPr>
    </w:p>
    <w:bookmarkEnd w:id="0"/>
    <w:p w:rsidR="00DA77C3" w:rsidRDefault="00DA77C3" w:rsidP="00DA77C3">
      <w:pPr>
        <w:tabs>
          <w:tab w:val="num" w:pos="-540"/>
        </w:tabs>
        <w:ind w:firstLine="709"/>
        <w:jc w:val="both"/>
        <w:rPr>
          <w:sz w:val="28"/>
        </w:rPr>
      </w:pPr>
      <w:r>
        <w:rPr>
          <w:sz w:val="28"/>
        </w:rPr>
        <w:t>Необходимость возникновения и становления аудита как составной части экономики страны, элемента рыночной экономической системы обусловлено несколькими причинами (Слайд 1.1). Первым фактором является использование бухгалтерской отчетности заинтересованными в ней пользователями для принятия управленческих решений. К таким пользователям относятся руководство, участники и собственники имущества экономического субъекта, реальные и потенциальные инвесторы, работники и заказчики, органы власти и общественность в целом.</w:t>
      </w:r>
    </w:p>
    <w:p w:rsidR="00DA77C3" w:rsidRDefault="00DA77C3" w:rsidP="00DA77C3">
      <w:pPr>
        <w:pStyle w:val="3"/>
        <w:tabs>
          <w:tab w:val="clear" w:pos="900"/>
        </w:tabs>
        <w:autoSpaceDE/>
        <w:autoSpaceDN/>
        <w:adjustRightInd/>
        <w:outlineLvl w:val="9"/>
        <w:rPr>
          <w:rFonts w:eastAsia="Times New Roman"/>
        </w:rPr>
      </w:pPr>
      <w:r>
        <w:rPr>
          <w:rFonts w:eastAsia="Times New Roman"/>
        </w:rPr>
        <w:t>Вторым фактором необходимости аудиторской деятельности является подверженность бухгалтерской отчетности искажениям в силу ряда причин, в частности, применения оценочных значений и возможности неоднозначной интерпретации фактов хозяйственной жизни. Кроме того, достоверность бухгалтерской отчетности может подвергаться сомнительности в связи с возможной пристрастностью ее составителей.</w:t>
      </w:r>
    </w:p>
    <w:p w:rsidR="00DA77C3" w:rsidRDefault="00DA77C3" w:rsidP="00DA77C3">
      <w:pPr>
        <w:ind w:firstLine="900"/>
        <w:jc w:val="both"/>
        <w:rPr>
          <w:sz w:val="28"/>
        </w:rPr>
      </w:pPr>
      <w:r>
        <w:rPr>
          <w:sz w:val="28"/>
        </w:rPr>
        <w:t>Третьим фактором, определяющим существование аудита, должна быть признана невозможность самостоятельной оценки степени достоверности бухгалтерской отчетности большинством заинтересованных пользователей, Данные ограничения в оценки степени достоверности заинтересованными пользователями обусловлены затрудненностью доступа к учетной и прочей информации, многочисленностью и сложностью хозяйственных операций, отражаемых в бухгалтерской отчетности экономических субъектов.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 xml:space="preserve">В связи с перечисленными обстоятельствами на макроэкономическом уровне аудит является элементом рыночной инфраструктуры, самостоятельным видом профессиональной деятельности, с присущими ему специфическим характером и особенностями.  </w:t>
      </w:r>
    </w:p>
    <w:p w:rsidR="00DA77C3" w:rsidRDefault="00DA77C3" w:rsidP="00DA77C3">
      <w:pPr>
        <w:pStyle w:val="a3"/>
        <w:tabs>
          <w:tab w:val="left" w:pos="72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ab/>
        <w:t>Аудит в западной теории и практике принято считать процессом, в ходе которого компетентный независимый работник накапливает и оценивает информацию, поддающеюся количественной оценке и относящуюся к специфической хозяйственной системе, чтобы определить и выразить в своем заключении степень соответствия этой информации установленным критериям (Слайд 1.2.).</w:t>
      </w:r>
    </w:p>
    <w:p w:rsidR="00DA77C3" w:rsidRDefault="00DA77C3" w:rsidP="00DA77C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pacing w:val="3"/>
          <w:sz w:val="28"/>
        </w:rPr>
        <w:t xml:space="preserve">Критерии оценки информации - это стандарты или точки отсчета, используемые для ее оценки </w:t>
      </w:r>
      <w:r>
        <w:rPr>
          <w:color w:val="000000"/>
          <w:spacing w:val="2"/>
          <w:sz w:val="28"/>
        </w:rPr>
        <w:t xml:space="preserve">или точного измерения (Слайд 1.3). Критерии оценки информации зависят от контекста, то есть от обстоятельств осуществления деятельности (Слайд 1.4). </w:t>
      </w:r>
      <w:r>
        <w:rPr>
          <w:color w:val="000000"/>
          <w:spacing w:val="7"/>
          <w:sz w:val="28"/>
        </w:rPr>
        <w:t xml:space="preserve">Например, при подготовке финансовой отчетности критериями могут </w:t>
      </w:r>
      <w:r>
        <w:rPr>
          <w:color w:val="000000"/>
          <w:spacing w:val="5"/>
          <w:sz w:val="28"/>
        </w:rPr>
        <w:t>являться Международные стандарты финансовой отчетности и/ или Меж</w:t>
      </w:r>
      <w:r>
        <w:rPr>
          <w:color w:val="000000"/>
          <w:spacing w:val="5"/>
          <w:sz w:val="28"/>
        </w:rPr>
        <w:softHyphen/>
      </w:r>
      <w:r>
        <w:rPr>
          <w:color w:val="000000"/>
          <w:spacing w:val="3"/>
          <w:sz w:val="28"/>
        </w:rPr>
        <w:t>дународные стандарты финансовой отчетности государственного секто</w:t>
      </w:r>
      <w:r>
        <w:rPr>
          <w:color w:val="000000"/>
          <w:spacing w:val="3"/>
          <w:sz w:val="28"/>
        </w:rPr>
        <w:softHyphen/>
        <w:t>р</w:t>
      </w:r>
      <w:r>
        <w:rPr>
          <w:color w:val="000000"/>
          <w:spacing w:val="5"/>
          <w:sz w:val="28"/>
        </w:rPr>
        <w:t xml:space="preserve">а. При подготовке </w:t>
      </w:r>
      <w:r>
        <w:rPr>
          <w:color w:val="000000"/>
          <w:spacing w:val="3"/>
          <w:sz w:val="28"/>
        </w:rPr>
        <w:t xml:space="preserve">отчета </w:t>
      </w:r>
      <w:r>
        <w:rPr>
          <w:color w:val="000000"/>
          <w:spacing w:val="4"/>
          <w:sz w:val="28"/>
        </w:rPr>
        <w:t>(заключения) о способе организации и управления в компании или сте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7"/>
          <w:sz w:val="28"/>
        </w:rPr>
        <w:t>пени достижения поставленных целей можно воспользоваться обще</w:t>
      </w:r>
      <w:r>
        <w:rPr>
          <w:color w:val="000000"/>
          <w:spacing w:val="7"/>
          <w:sz w:val="28"/>
        </w:rPr>
        <w:softHyphen/>
      </w:r>
      <w:r>
        <w:rPr>
          <w:color w:val="000000"/>
          <w:spacing w:val="6"/>
          <w:sz w:val="28"/>
        </w:rPr>
        <w:t>принятыми критериями, действующими в данной отрасли. При подго</w:t>
      </w:r>
      <w:r>
        <w:rPr>
          <w:color w:val="000000"/>
          <w:spacing w:val="6"/>
          <w:sz w:val="28"/>
        </w:rPr>
        <w:softHyphen/>
      </w:r>
      <w:r>
        <w:rPr>
          <w:color w:val="000000"/>
          <w:spacing w:val="7"/>
          <w:sz w:val="28"/>
        </w:rPr>
        <w:t xml:space="preserve">товке отчета (заключения) о системе внутреннего контроля за основу </w:t>
      </w:r>
      <w:r>
        <w:rPr>
          <w:color w:val="000000"/>
          <w:spacing w:val="3"/>
          <w:sz w:val="28"/>
        </w:rPr>
        <w:t>оценки можно использовать установленные или принятые нормы систе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5"/>
          <w:sz w:val="28"/>
        </w:rPr>
        <w:t>мы внутреннего контроля. При подготовке отчета (заключения) о соот</w:t>
      </w:r>
      <w:r>
        <w:rPr>
          <w:color w:val="000000"/>
          <w:spacing w:val="5"/>
          <w:sz w:val="28"/>
        </w:rPr>
        <w:softHyphen/>
        <w:t xml:space="preserve">ветствии в качестве критериев могут быть использованы действующие </w:t>
      </w:r>
      <w:r>
        <w:rPr>
          <w:color w:val="000000"/>
          <w:spacing w:val="4"/>
          <w:sz w:val="28"/>
        </w:rPr>
        <w:t>законы и нормативные акты или условия контракта.</w:t>
      </w:r>
    </w:p>
    <w:p w:rsidR="00DA77C3" w:rsidRDefault="00DA77C3" w:rsidP="00DA77C3">
      <w:pPr>
        <w:pStyle w:val="a3"/>
        <w:spacing w:before="0" w:after="0" w:line="240" w:lineRule="auto"/>
        <w:rPr>
          <w:b/>
          <w:sz w:val="28"/>
        </w:rPr>
      </w:pPr>
    </w:p>
    <w:p w:rsidR="00DA77C3" w:rsidRDefault="00DA77C3" w:rsidP="00DA77C3">
      <w:pPr>
        <w:pStyle w:val="a3"/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2. Соотношение международных стандартов финансовой отчетности и стандартов аудита</w:t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  <w:r>
        <w:rPr>
          <w:sz w:val="28"/>
        </w:rPr>
        <w:t xml:space="preserve">Информационной базой аудита является финансовая отчетность. Именно этим обстоятельством обусловлена взаимосвязь стандартов аудиторской деятельности и стандартов финансового учета и отчетности. </w:t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  <w:r>
        <w:rPr>
          <w:sz w:val="28"/>
        </w:rPr>
        <w:t xml:space="preserve">Взаимосвязь стандартов финансовой отчетности и аудита проявляется в двух основных направлениях (Слайд 1.5): </w:t>
      </w:r>
    </w:p>
    <w:p w:rsidR="00DA77C3" w:rsidRDefault="00DA77C3" w:rsidP="00DA77C3">
      <w:pPr>
        <w:numPr>
          <w:ilvl w:val="0"/>
          <w:numId w:val="1"/>
        </w:numPr>
        <w:ind w:hanging="720"/>
        <w:jc w:val="both"/>
        <w:rPr>
          <w:sz w:val="28"/>
        </w:rPr>
      </w:pPr>
      <w:r>
        <w:rPr>
          <w:sz w:val="28"/>
        </w:rPr>
        <w:t xml:space="preserve">единство терминологии, применяемой в МСФО и МСА; </w:t>
      </w:r>
    </w:p>
    <w:p w:rsidR="00DA77C3" w:rsidRDefault="00DA77C3" w:rsidP="00DA77C3">
      <w:pPr>
        <w:numPr>
          <w:ilvl w:val="0"/>
          <w:numId w:val="1"/>
        </w:numPr>
        <w:ind w:hanging="720"/>
        <w:jc w:val="both"/>
        <w:rPr>
          <w:sz w:val="28"/>
        </w:rPr>
      </w:pPr>
      <w:r>
        <w:rPr>
          <w:sz w:val="28"/>
        </w:rPr>
        <w:t>использование аудиторами МСФО в целом в качестве критерия соответствия проверяемой отчетности установленным требованиям.</w:t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  <w:r>
        <w:rPr>
          <w:sz w:val="28"/>
        </w:rPr>
        <w:t xml:space="preserve">Взаимосвязь Международных стандартов аудита со стандартами финансовой отчетности прослеживается на уровне отдельных стандартов (Таблица 2) (Слайд 1.6.). </w:t>
      </w:r>
    </w:p>
    <w:p w:rsidR="00DA77C3" w:rsidRDefault="00DA77C3" w:rsidP="00DA77C3">
      <w:pPr>
        <w:pStyle w:val="a3"/>
        <w:spacing w:before="0" w:after="0"/>
        <w:ind w:firstLine="706"/>
        <w:jc w:val="center"/>
        <w:rPr>
          <w:b/>
          <w:sz w:val="28"/>
        </w:rPr>
      </w:pPr>
      <w:r>
        <w:rPr>
          <w:b/>
          <w:sz w:val="28"/>
        </w:rPr>
        <w:t>Таблица 1.1 — Взаимосвязь MCA и МСФО</w:t>
      </w:r>
    </w:p>
    <w:tbl>
      <w:tblPr>
        <w:tblW w:w="0" w:type="auto"/>
        <w:tblInd w:w="-30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70"/>
        <w:gridCol w:w="7104"/>
      </w:tblGrid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Номер и наименование МСА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Содержание ссылки на документы, разработанные КМСФО </w:t>
            </w:r>
          </w:p>
        </w:tc>
      </w:tr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МСА 320 «Существенность в аудите»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Понятие «существенность» определено в соответствии с «Основами подготовки и представления финансовой отчетности», разработанными КМСФО </w:t>
            </w:r>
          </w:p>
        </w:tc>
      </w:tr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МСА 550 «Связанные стороны»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Определения, касающиеся связанных сторон, приведены в МСФО 24 «Раскрытие информации о связанных сторонах». Помимо этого, аудитор должен проверить раскрытие в отчетности взаимоотношений и операций со связанными сторонами, перечисленных в МСФО 24. Данное требование не относится к случаям проверки предприятий государственного сектора </w:t>
            </w:r>
          </w:p>
        </w:tc>
      </w:tr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МСА 560 «Последующие события»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Типология последующих событий определена МСФО 10 «Условные события и события, происшедшие после отчетной даты» </w:t>
            </w:r>
          </w:p>
        </w:tc>
      </w:tr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МСА 570 «Непрерывность деятельности»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Использование допущения непрерывности деятельности предусмотрено «Основами подготовки и представления финансовой отчетности»; там же дано определение понятия «существенная неопределенность» </w:t>
            </w:r>
          </w:p>
        </w:tc>
      </w:tr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МСА 700 «Аудиторский отчет по финансовой отчетности»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Аудитор должен определить, подготовлена ли финансовая отчетность в соответствии с признанными основами финансовой отчетности, в качестве которых могут выступать МСФО </w:t>
            </w:r>
          </w:p>
        </w:tc>
      </w:tr>
      <w:tr w:rsidR="00DA77C3">
        <w:tc>
          <w:tcPr>
            <w:tcW w:w="237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МСА 910 «Задания по обзорной проверке финансовой отчетности» </w:t>
            </w:r>
          </w:p>
        </w:tc>
        <w:tc>
          <w:tcPr>
            <w:tcW w:w="71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A77C3" w:rsidRDefault="00DA77C3" w:rsidP="00DA77C3">
            <w:pPr>
              <w:rPr>
                <w:sz w:val="28"/>
              </w:rPr>
            </w:pPr>
            <w:r>
              <w:rPr>
                <w:sz w:val="28"/>
              </w:rPr>
              <w:t xml:space="preserve">Заключение по обзору финансовой отчетности должно содержать оценку ее соответствия установленным основам финансовой отчетности, которыми могут быть МСФО </w:t>
            </w:r>
          </w:p>
        </w:tc>
      </w:tr>
    </w:tbl>
    <w:p w:rsidR="00DA77C3" w:rsidRDefault="00DA77C3" w:rsidP="00DA77C3">
      <w:pPr>
        <w:rPr>
          <w:vanish/>
        </w:rPr>
      </w:pPr>
    </w:p>
    <w:p w:rsidR="00DA77C3" w:rsidRDefault="00DA77C3" w:rsidP="00DA77C3">
      <w:pPr>
        <w:pStyle w:val="a3"/>
      </w:pPr>
    </w:p>
    <w:p w:rsidR="00DA77C3" w:rsidRDefault="00DA77C3" w:rsidP="00DA77C3">
      <w:pPr>
        <w:pStyle w:val="a3"/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3.История возникновения международных стандартов аудита</w:t>
      </w:r>
    </w:p>
    <w:p w:rsidR="00DA77C3" w:rsidRDefault="00DA77C3" w:rsidP="00DA77C3">
      <w:pPr>
        <w:pStyle w:val="a3"/>
        <w:tabs>
          <w:tab w:val="left" w:pos="72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Современная история аудита начинается в 40–ых годах 20-го века. К этому времени уже был накоплен значительный опыт проведения аудита в разных странах; развита система национальных требований к организации и проведению аудиторских проверок. Приоритет принадлежит Англии, где требования к аудиту начали формироваться с конца эпохи экономической революции, создании первых акционерных обществ (19 век).</w:t>
      </w:r>
    </w:p>
    <w:p w:rsidR="00DA77C3" w:rsidRPr="00F35D25" w:rsidRDefault="00DA77C3" w:rsidP="00DA77C3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Толчком развития аудита в 40-ых годах 20-го века послужила великая экономическая депрессия в США 30-ых годов. Крах корпорации показал недостатки бюрократического государственного управления фондовым рынком и полномочия по контролю за финансовой информацией были переданы институту профессиональных бухгалтеров. В 50-ых годах в США вышли в свет первые, официально изданные стандарты аудита. </w:t>
      </w:r>
    </w:p>
    <w:p w:rsidR="00DA77C3" w:rsidRDefault="00DA77C3" w:rsidP="00DA77C3">
      <w:pPr>
        <w:pStyle w:val="a3"/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XX столетие ознаменовано развитием аудиторской деятельности на международном уровне. Предпосылкой интернационализации аудиторских компаний была необходимость обслуживания отечественных клиентов за границей. Так британские аудиторские компании проводили аудит в США, Африке и Южной Америке. Для организации этой деятельности были созданы бюро аудиторских компаний. </w:t>
      </w:r>
    </w:p>
    <w:p w:rsidR="00DA77C3" w:rsidRPr="00F35D25" w:rsidRDefault="00DA77C3" w:rsidP="00DA77C3">
      <w:pPr>
        <w:pStyle w:val="a3"/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После Второй мировой войны активизировались процессы перемещения интернационально активных предприятий за границу, что обусловило также и подъем на новый виток процессов интернационализации аудиторских фирм. В это время создаются новые филиалы аудиторских компаний, заключаются корреспондентские договоры о взаимном обслуживании клиентов, происходит слияния национальных аудиторских компаний с уже существующими интернациональными аудиторскими предприятиями. </w:t>
      </w:r>
    </w:p>
    <w:p w:rsidR="00DA77C3" w:rsidRDefault="00DA77C3" w:rsidP="00DA77C3">
      <w:pPr>
        <w:pStyle w:val="a3"/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Прежде всего, объединялись американские и британские аудиторские компании, которые, начиная с 80-х годов, заняли господствующее положение на рынке аудиторских услуг и получили название «большой восьмерки». В середине 80-х годов  50 % их оборота осуществлялось вне США через 300 — 400 представительств по всему миру.</w:t>
      </w:r>
      <w:r w:rsidRPr="00F35D25">
        <w:rPr>
          <w:sz w:val="28"/>
        </w:rPr>
        <w:t xml:space="preserve"> </w:t>
      </w:r>
      <w:r>
        <w:rPr>
          <w:sz w:val="28"/>
        </w:rPr>
        <w:t xml:space="preserve">Слияние в конце 80-х — начале 90-х годов «Эрнст и Винни» с «Артур Янг и Ко» и «Делойт Хаскинс и Селлз» с «Тач Росс и Ко», что привело к созданию «большой шестерки», ознаменовало дальнейший процесс концентрации аудиторской деятельности. В сентябре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</w:rPr>
          <w:t>1997 г</w:t>
        </w:r>
      </w:smartTag>
      <w:r>
        <w:rPr>
          <w:sz w:val="28"/>
        </w:rPr>
        <w:t>. был создан новый аудиторский холдинг «ПрайсуотерхаусКуперс» на базе объединения компаний «Купере и Лайбренд» и «Прайс Уатерхаус».</w:t>
      </w:r>
    </w:p>
    <w:p w:rsidR="00DA77C3" w:rsidRDefault="00DA77C3" w:rsidP="00DA77C3">
      <w:pPr>
        <w:pStyle w:val="a3"/>
        <w:spacing w:before="0" w:after="0" w:line="240" w:lineRule="auto"/>
        <w:jc w:val="both"/>
        <w:rPr>
          <w:sz w:val="28"/>
        </w:rPr>
      </w:pPr>
      <w:r>
        <w:rPr>
          <w:sz w:val="28"/>
        </w:rPr>
        <w:tab/>
        <w:t>Глобализация экономики и, в частности, аудиторской деятельности вызвала необходимость унификации национальных практик аудиторской деятельности. В этой связи в начале 70-х годов 20 в. началась разработка международных аудиторских стандартов (Слайд 1.7). Возглавила эту работу независимая профессиональная организация - Международная федерация бухгалтеров (IFAC). Разработкой стандартов на международном уровне занимается ииииииииМеждународный комитет по аудиторской практике (IAPC) (Слайд 1.7.) Комитет, издающий международные стандарты, преследует две цели (слайд 1.8): первая — поднять уровень профессии аудитора в странах, где профессионализм в данной области ниже общемирового, и вторая — с помощью стандартов унифицировать подход к аудиту в международном масштабе.</w:t>
      </w:r>
    </w:p>
    <w:p w:rsidR="00DA77C3" w:rsidRDefault="00DA77C3" w:rsidP="00DA77C3">
      <w:pPr>
        <w:pStyle w:val="a3"/>
        <w:spacing w:before="0" w:after="0" w:line="240" w:lineRule="auto"/>
        <w:jc w:val="both"/>
        <w:rPr>
          <w:sz w:val="28"/>
        </w:rPr>
      </w:pPr>
    </w:p>
    <w:p w:rsidR="00DA77C3" w:rsidRDefault="00DA77C3" w:rsidP="00DA77C3">
      <w:pPr>
        <w:jc w:val="center"/>
        <w:rPr>
          <w:b/>
          <w:sz w:val="28"/>
        </w:rPr>
      </w:pPr>
      <w:bookmarkStart w:id="1" w:name="_Toc179343634"/>
      <w:r>
        <w:rPr>
          <w:b/>
          <w:sz w:val="28"/>
        </w:rPr>
        <w:t>4. Статус Международных стандартов аудита (МСА)</w:t>
      </w:r>
      <w:bookmarkEnd w:id="1"/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Комитет разработал две основные группы документов в области непосредственно аудита (Слайд 1.9.):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1. международные стандарты аудита (МСА);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2. международные руководства по аудиторской практике.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В рамках развития системы международной стандартизации аудиторской деятельности, в составе стандартов аудита,  этот же орган разработал: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 xml:space="preserve">1. международные стандарты соглашений по обзору, рассматривающие аудит и обзор исторической финансовой отчетности; 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2. международные стандарты соглашений по выражению уверенности, рассматривающие соглашения по выражению уверенности, отличные от аудита или обзора исторической финансовой информации;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3. международные стандарты по сопутствующим услугам;</w:t>
      </w:r>
    </w:p>
    <w:p w:rsidR="00DA77C3" w:rsidRDefault="00DA77C3" w:rsidP="00DA77C3">
      <w:pPr>
        <w:ind w:firstLine="709"/>
        <w:jc w:val="both"/>
        <w:rPr>
          <w:sz w:val="28"/>
        </w:rPr>
      </w:pPr>
      <w:r>
        <w:rPr>
          <w:sz w:val="28"/>
        </w:rPr>
        <w:t>4. стандарты контроля качества для фирм и команд по проектам, применимых к аудиту, соглашениям по выражению уверенности и сопутствующим услугам.</w:t>
      </w:r>
    </w:p>
    <w:p w:rsidR="00DA77C3" w:rsidRDefault="00DA77C3" w:rsidP="00DA77C3">
      <w:pPr>
        <w:pStyle w:val="a4"/>
      </w:pPr>
      <w:r>
        <w:t xml:space="preserve">Все шесть групп стандартов в комплексе называются Международными стандартами контроля качества, аудита, обзора, прочих соглашений по выражению уверенности, сопутствующих услуг и используются для профессионального регулирования аудиторской деятельности на  межгосударственном уровне. </w:t>
      </w:r>
      <w:r>
        <w:tab/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  <w:r>
        <w:rPr>
          <w:sz w:val="28"/>
        </w:rPr>
        <w:t xml:space="preserve">Международные стандарты аудиторской деятельности представляют собой краткий свод правил проведения аудита и сопутствующих услуг. МСА способствуют повышению уровня единообразия аудиторской практики во всем мире. МСА применяются при проведении независимого аудита, а также по мере необходимости при оказании прочих сопутствующих деятельности аудиторов услуг. </w:t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  <w:r>
        <w:rPr>
          <w:sz w:val="28"/>
        </w:rPr>
        <w:t xml:space="preserve">МСА направлены на унификацию и гармонизацию национальных стандартов аудита и предназначены для применения на международном уровне. В этом смысле международные стандарты носят рекомендательный характер и не превалируют над национальными стандартами, регламентирующими аудит финансовой отчетности в той или иной стране. </w:t>
      </w:r>
    </w:p>
    <w:p w:rsidR="00DA77C3" w:rsidRDefault="00DA77C3" w:rsidP="00DA77C3">
      <w:pPr>
        <w:tabs>
          <w:tab w:val="left" w:pos="720"/>
        </w:tabs>
        <w:ind w:firstLine="706"/>
        <w:jc w:val="both"/>
        <w:rPr>
          <w:sz w:val="28"/>
        </w:rPr>
      </w:pPr>
      <w:r>
        <w:rPr>
          <w:sz w:val="28"/>
        </w:rPr>
        <w:t xml:space="preserve">Вместе с тем МСА носят обязательный характер для организаций, являющихся членами МФБ, вне зависимости от страны, в которой они образованы и осуществляют деятельность. Для этих организаций МСА имеют приоритет над национальными стандартами. </w:t>
      </w:r>
    </w:p>
    <w:p w:rsidR="00DA77C3" w:rsidRDefault="00DA77C3" w:rsidP="00DA77C3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Из 163 стран - членов МФБ 35 стран используют МСА в качестве национальных стандартов (например, на Кипре, Малайзии, Нигерии), 36 стран применяют их с не значительными изменениями, остальные страны проводят серьезную работу по сближению требований национальных стандартов с международным подходом (например, Австрии, Бразилии, Голландии, Индии и России). (Слайд 1.10.).</w:t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  <w:r>
        <w:rPr>
          <w:sz w:val="28"/>
        </w:rPr>
        <w:t xml:space="preserve">В Великобритании, Ирландии, Канаде, США, Швеции и других странах., где имеются свои национальные стандарты аудита, весьма приближенные к международным, МСА просто принимаются к сведению профессиональными организациями. </w:t>
      </w:r>
    </w:p>
    <w:p w:rsidR="00DA77C3" w:rsidRDefault="00DA77C3" w:rsidP="00DA77C3">
      <w:pPr>
        <w:pStyle w:val="a3"/>
        <w:spacing w:before="0" w:after="0" w:line="240" w:lineRule="auto"/>
        <w:ind w:firstLine="706"/>
        <w:jc w:val="both"/>
        <w:rPr>
          <w:sz w:val="28"/>
        </w:rPr>
      </w:pPr>
    </w:p>
    <w:p w:rsidR="00DA77C3" w:rsidRDefault="00DA77C3" w:rsidP="00DA77C3">
      <w:pPr>
        <w:tabs>
          <w:tab w:val="left" w:pos="720"/>
          <w:tab w:val="left" w:pos="1080"/>
        </w:tabs>
        <w:ind w:firstLine="709"/>
        <w:jc w:val="both"/>
      </w:pPr>
    </w:p>
    <w:p w:rsidR="00781EB5" w:rsidRDefault="00781EB5">
      <w:bookmarkStart w:id="2" w:name="_GoBack"/>
      <w:bookmarkEnd w:id="2"/>
    </w:p>
    <w:sectPr w:rsidR="0078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744A7"/>
    <w:multiLevelType w:val="multilevel"/>
    <w:tmpl w:val="AB1CC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7F5FA1"/>
    <w:multiLevelType w:val="multilevel"/>
    <w:tmpl w:val="AB1CC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77C3"/>
    <w:rsid w:val="00057E1F"/>
    <w:rsid w:val="000D37C2"/>
    <w:rsid w:val="00316101"/>
    <w:rsid w:val="00337900"/>
    <w:rsid w:val="003F0890"/>
    <w:rsid w:val="005C65AF"/>
    <w:rsid w:val="005D7B2F"/>
    <w:rsid w:val="006A1459"/>
    <w:rsid w:val="00781EB5"/>
    <w:rsid w:val="007854B1"/>
    <w:rsid w:val="009A4FE0"/>
    <w:rsid w:val="00A32C54"/>
    <w:rsid w:val="00AD17E0"/>
    <w:rsid w:val="00C47320"/>
    <w:rsid w:val="00DA77C3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3FA17-E02B-4F35-9E83-A3F37DE3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7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A77C3"/>
    <w:pPr>
      <w:spacing w:before="100" w:after="100" w:line="360" w:lineRule="auto"/>
    </w:pPr>
    <w:rPr>
      <w:color w:val="000000"/>
      <w:szCs w:val="22"/>
    </w:rPr>
  </w:style>
  <w:style w:type="paragraph" w:styleId="a4">
    <w:name w:val="Body Text Indent"/>
    <w:basedOn w:val="a"/>
    <w:rsid w:val="00DA77C3"/>
    <w:pPr>
      <w:ind w:firstLine="709"/>
      <w:jc w:val="both"/>
    </w:pPr>
    <w:rPr>
      <w:sz w:val="28"/>
      <w:szCs w:val="22"/>
    </w:rPr>
  </w:style>
  <w:style w:type="paragraph" w:styleId="3">
    <w:name w:val="Body Text Indent 3"/>
    <w:basedOn w:val="a"/>
    <w:rsid w:val="00DA77C3"/>
    <w:pPr>
      <w:tabs>
        <w:tab w:val="left" w:pos="900"/>
      </w:tabs>
      <w:autoSpaceDE w:val="0"/>
      <w:autoSpaceDN w:val="0"/>
      <w:adjustRightInd w:val="0"/>
      <w:ind w:firstLine="900"/>
      <w:jc w:val="both"/>
      <w:outlineLvl w:val="0"/>
    </w:pPr>
    <w:rPr>
      <w:rFonts w:eastAsia="SimSun"/>
      <w:sz w:val="2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№ 1</vt:lpstr>
    </vt:vector>
  </TitlesOfParts>
  <Company/>
  <LinksUpToDate>false</LinksUpToDate>
  <CharactersWithSpaces>11291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№ 1</dc:title>
  <dc:subject/>
  <dc:creator>user</dc:creator>
  <cp:keywords/>
  <dc:description/>
  <cp:lastModifiedBy>Irina</cp:lastModifiedBy>
  <cp:revision>2</cp:revision>
  <dcterms:created xsi:type="dcterms:W3CDTF">2014-08-18T07:37:00Z</dcterms:created>
  <dcterms:modified xsi:type="dcterms:W3CDTF">2014-08-18T07:37:00Z</dcterms:modified>
</cp:coreProperties>
</file>