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1C4" w:rsidRDefault="00120064">
      <w:pPr>
        <w:spacing w:line="480" w:lineRule="auto"/>
        <w:ind w:right="-302" w:firstLine="567"/>
        <w:jc w:val="center"/>
        <w:rPr>
          <w:b/>
          <w:sz w:val="28"/>
          <w:lang w:val="en-US"/>
        </w:rPr>
      </w:pPr>
      <w:r>
        <w:rPr>
          <w:b/>
          <w:sz w:val="28"/>
        </w:rPr>
        <w:t>ПСИХОЛОГІЯ СУДОВОГО ПРОЦЕСУ.</w:t>
      </w:r>
    </w:p>
    <w:p w:rsidR="004F01C4" w:rsidRDefault="00120064">
      <w:pPr>
        <w:spacing w:line="480" w:lineRule="auto"/>
        <w:ind w:right="-302" w:firstLine="567"/>
        <w:jc w:val="both"/>
        <w:rPr>
          <w:sz w:val="28"/>
          <w:u w:val="single"/>
          <w:lang w:val="en-US"/>
        </w:rPr>
      </w:pPr>
      <w:r>
        <w:rPr>
          <w:sz w:val="28"/>
          <w:u w:val="single"/>
        </w:rPr>
        <w:t xml:space="preserve">План </w:t>
      </w:r>
    </w:p>
    <w:p w:rsidR="004F01C4" w:rsidRDefault="00120064">
      <w:pPr>
        <w:numPr>
          <w:ilvl w:val="0"/>
          <w:numId w:val="1"/>
        </w:numPr>
        <w:spacing w:line="480" w:lineRule="auto"/>
        <w:ind w:right="-302"/>
        <w:jc w:val="both"/>
        <w:rPr>
          <w:sz w:val="28"/>
        </w:rPr>
      </w:pPr>
      <w:r>
        <w:rPr>
          <w:sz w:val="28"/>
        </w:rPr>
        <w:t>Психологічна характеристика судового процесу.</w:t>
      </w:r>
    </w:p>
    <w:p w:rsidR="004F01C4" w:rsidRDefault="00120064">
      <w:pPr>
        <w:numPr>
          <w:ilvl w:val="0"/>
          <w:numId w:val="1"/>
        </w:numPr>
        <w:spacing w:line="480" w:lineRule="auto"/>
        <w:ind w:right="-302"/>
        <w:jc w:val="both"/>
        <w:rPr>
          <w:sz w:val="28"/>
        </w:rPr>
      </w:pPr>
      <w:r>
        <w:rPr>
          <w:sz w:val="28"/>
        </w:rPr>
        <w:t>Психологія судових дебатів.</w:t>
      </w:r>
    </w:p>
    <w:p w:rsidR="004F01C4" w:rsidRDefault="00120064">
      <w:pPr>
        <w:numPr>
          <w:ilvl w:val="0"/>
          <w:numId w:val="1"/>
        </w:numPr>
        <w:spacing w:line="480" w:lineRule="auto"/>
        <w:ind w:right="-302"/>
        <w:jc w:val="both"/>
        <w:rPr>
          <w:sz w:val="28"/>
        </w:rPr>
      </w:pPr>
      <w:r>
        <w:rPr>
          <w:sz w:val="28"/>
        </w:rPr>
        <w:t>Психологія прийняття судового рішення.</w:t>
      </w:r>
    </w:p>
    <w:p w:rsidR="004F01C4" w:rsidRDefault="004F01C4">
      <w:pPr>
        <w:spacing w:line="480" w:lineRule="auto"/>
        <w:ind w:right="-302"/>
        <w:rPr>
          <w:sz w:val="28"/>
        </w:rPr>
      </w:pP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 xml:space="preserve">1. Психологічний аналіз судового процесу дає можливість розробити рекомендації, спрямовані на підвищення ефективності правосуддя, культури процесу, максимального виховного впливу на всіх його учасників. 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>Правосуддя, яке в більшій степені, ніж інші види діяльності, виступає як сфера спілкування між людьми, пов’язане з рядом соціально-психологічних явищ, наприклад, ефективністю діяльності соціальних груп, сприйняттям і розумінням людьми один одного, авторитетністю та ін. При цьому в сфері судочинства закономірності соціальної психології можуть служити і покращенню, і погіршенню результатів діяльності.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>Колегіальність при здійсненні судочинства пом’якшує крайності показників психічних процесів всіх членів групи, підвищується ефективність мислення, зменшується дія суб’єктивних факторів, які можуть привести до помилкового результату. Колективна оцінка доказів є найбільш об</w:t>
      </w:r>
      <w:r>
        <w:rPr>
          <w:sz w:val="28"/>
          <w:lang w:val="ru-RU"/>
        </w:rPr>
        <w:t>’</w:t>
      </w:r>
      <w:r>
        <w:rPr>
          <w:sz w:val="28"/>
        </w:rPr>
        <w:t>єктивною.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>На основі аналізу всієї сукупності зібраних по справі доказів, головним критерієм якого є істина, формується обвинувальна або захисна промова, виноситься вирок по справі. Разом з тим докази носять особистісний характер (покази потерпілого, свідка, підсудного, інших учасників кримінального процесу), тому діяльність судді, прокурора, адвоката в судовому засіданні неможливо обмежити формально-логічним групуванням і оцінкою одержаних даних і результатів, вона переходить у сферу етичних взаємовідносин: встановлення довірливого характеру з суб</w:t>
      </w:r>
      <w:r>
        <w:rPr>
          <w:sz w:val="28"/>
          <w:lang w:val="ru-RU"/>
        </w:rPr>
        <w:t>’</w:t>
      </w:r>
      <w:r>
        <w:rPr>
          <w:sz w:val="28"/>
        </w:rPr>
        <w:t>єктами судового розгляду, подолання в них почуття скованості, невпевненості, виявлення причин розходження в оцінці події тими або іншими особами та інші питання, які стосуються моральної сторони злочину, який розглядається.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>Підсудний ніколи не перебуває в спокійному стані. Начальницький тон може ще більше його залякати його. Характеристика підсудного повинна бути об</w:t>
      </w:r>
      <w:r>
        <w:rPr>
          <w:sz w:val="28"/>
          <w:lang w:val="ru-RU"/>
        </w:rPr>
        <w:t>’</w:t>
      </w:r>
      <w:r>
        <w:rPr>
          <w:sz w:val="28"/>
        </w:rPr>
        <w:t xml:space="preserve">єктивною і відповідати всім етичним вимогам. 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 xml:space="preserve">Ознаки, які характеризують особу свідка і визначають специфіку відношення до нього слідчого, прокурора, адвоката: темперамент свідка, стать свідка, вік, поведінка, деякі фізичні вади, які роблять покази свідка односторонніми. 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>Потерпілі від злочину деколи ненавмисно перебільшують обставини або дії, якими порушено їхні права. Найпоширеніший вид неправдивого свідчення – це нав</w:t>
      </w:r>
      <w:r>
        <w:rPr>
          <w:sz w:val="28"/>
          <w:lang w:val="ru-RU"/>
        </w:rPr>
        <w:t>’</w:t>
      </w:r>
      <w:r>
        <w:rPr>
          <w:sz w:val="28"/>
        </w:rPr>
        <w:t>язана брехня, джерелом формування якої є інша особа. В даній ситуації  кращим засобом оцінки достовірності доказів є перехресний допит.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>Процесуальний закон визначає зміст і форму державного обвинувачення, криміналістика – методику участі прокурора і адвоката у дослідженні доказів. Але є і третій компонент, нерозривно пов’язаний з першими двома – це психологічна та етична культура, які дозволяють вияснити моральну основу процесуальних правил і заборон, оцінити допустимість тих чи інших прийомів обвинувачення з точки зору вимог моралі.</w:t>
      </w:r>
    </w:p>
    <w:p w:rsidR="004F01C4" w:rsidRDefault="004F01C4">
      <w:pPr>
        <w:pStyle w:val="a3"/>
        <w:spacing w:line="480" w:lineRule="auto"/>
        <w:ind w:right="-302"/>
        <w:rPr>
          <w:sz w:val="28"/>
        </w:rPr>
      </w:pP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 xml:space="preserve">2. Важливе значення в судовому процесі має встановлення правильних взаємовідносин державного обвинувача із захисником підсудного. Полеміка між ними служить ефективним засобом досягнення істини і допомагає суду прийняти правильне рішення. Відношення прокурора до захисника потребує такту і витримки. Для державного обвинувача важливо вміти донести свої думки до всіх учасників процесу, яким вони адресуються, а також слухати інших учасників процесу. 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 xml:space="preserve">Готуючись до судових дебатів, кожен оратор знає, що його противник прикладе все своє уміння для того, щоб стати переможцем. Але прийоми цієї боротьби повинні відповідати вимогам професійної етики. 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>При розгляді кримінальної справи в суді важлива роль належить формуванню суддівського переконання, яке проходить декілька етапів: 1) попереднє вивчення матеріалів кримінальної справи при призначенні справи до слуханні; 2) планування судового розгляду і висунення судових версій; 3) перевірка матеріалів попереднього слідства в судовому розгляді; 4) судові дебати і співставлення оцінок судді з оцінками обвинувачення і захисту; 5) остаточне формування переконання судді в нарадій кімнаті при виробленні колективного переконання.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 xml:space="preserve">Основна роль у формуванні суддівського переконання належить державному обвинувачу, оскільки саме він повинен доказувати пред’явлене обвинувачення і підтримувати його, а суддя, вивчаючи докази, спрямовує свою діяльність на усунення сумнівів, які можуть виникнути. </w:t>
      </w:r>
    </w:p>
    <w:p w:rsidR="004F01C4" w:rsidRDefault="004F01C4">
      <w:pPr>
        <w:pStyle w:val="a3"/>
        <w:spacing w:line="480" w:lineRule="auto"/>
        <w:ind w:right="-302"/>
        <w:rPr>
          <w:sz w:val="28"/>
        </w:rPr>
      </w:pP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 xml:space="preserve">3. Формування суддівського переконання – це не тільки результат впливу на свідомість суддів певної сукупності доказів, перевіреної в ході судового розгляду. Воно завжди складається на основі раціонального пізнання причинно-наслідкових та інших зв’язків між фактами об’єктивної дійсності, ціннісного до них підходу, їх співвідношення із заборонами кримінального права, чуттєвого переживання одержаних по кримінальній справі результатів. 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>В психологічному аспекті істотним для процесу формування суддівського переконання є переростання сумніву в переконання судді, яке характеризує достовірність одержаних знань і готовність діяти у відповідності до них.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>Як організатор процесу суддя повинен володіти високим рівнем організованості, ціленаправленістю, зібраністю та іншими вольовими якостями. Головуючий в судовому процесі повинен мати високі організаторські здібності, які реалізуються в складних умовах змагальності між сторонами кримінального процесу.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>Виховний вплив суду закладений  вже в специфічній формі його діяльності: повному, об</w:t>
      </w:r>
      <w:r>
        <w:rPr>
          <w:sz w:val="28"/>
          <w:lang w:val="ru-RU"/>
        </w:rPr>
        <w:t>’</w:t>
      </w:r>
      <w:r>
        <w:rPr>
          <w:sz w:val="28"/>
        </w:rPr>
        <w:t>єктивному розгляді в судовому засіданні всіх обставин справи. Ефективність виховного спливу суду полягає у достатній конкретності, наглядності при сприйнятті фактів всіма присутніми незалежно від того, позитивні чи негативні емоції збуджує той чи інший факт.</w:t>
      </w:r>
    </w:p>
    <w:p w:rsidR="004F01C4" w:rsidRDefault="00120064">
      <w:pPr>
        <w:pStyle w:val="a3"/>
        <w:spacing w:line="480" w:lineRule="auto"/>
        <w:ind w:right="-302"/>
        <w:rPr>
          <w:sz w:val="28"/>
        </w:rPr>
      </w:pPr>
      <w:r>
        <w:rPr>
          <w:sz w:val="28"/>
        </w:rPr>
        <w:t>Великий виховний вплив має оголошення вироку. Для цього необхідно, щоб вирок був справедливим, відповідав вимогам закону про відповідність покарання тяжкості скоєного злочину і особи підсудного, а також достатньо чітким, конкретним, зрозумілим для всіх присутніх в залі судового засідання.</w:t>
      </w:r>
    </w:p>
    <w:p w:rsidR="004F01C4" w:rsidRDefault="004F01C4">
      <w:pPr>
        <w:spacing w:line="480" w:lineRule="auto"/>
      </w:pPr>
      <w:bookmarkStart w:id="0" w:name="_GoBack"/>
      <w:bookmarkEnd w:id="0"/>
    </w:p>
    <w:sectPr w:rsidR="004F01C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F5418"/>
    <w:multiLevelType w:val="singleLevel"/>
    <w:tmpl w:val="B728EC2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7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0064"/>
    <w:rsid w:val="00120064"/>
    <w:rsid w:val="004F01C4"/>
    <w:rsid w:val="007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575B79-A079-43DD-A2EF-108BD4DC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right="-1050" w:firstLine="567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ПСИХОЛОГІЯ СУДОВОГО ПРОЦЕСУ</vt:lpstr>
    </vt:vector>
  </TitlesOfParts>
  <Manager>Право. Міжнародні відносини</Manager>
  <Company> Право. Міжнародні відносини</Company>
  <LinksUpToDate>false</LinksUpToDate>
  <CharactersWithSpaces>5936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ПСИХОЛОГІЯ СУДОВОГО ПРОЦЕСУ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dcterms:created xsi:type="dcterms:W3CDTF">2014-04-03T03:08:00Z</dcterms:created>
  <dcterms:modified xsi:type="dcterms:W3CDTF">2014-04-03T03:08:00Z</dcterms:modified>
  <cp:category>Право. Міжнародні відносини</cp:category>
</cp:coreProperties>
</file>