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5E6" w:rsidRPr="007045E6" w:rsidRDefault="00092AAF" w:rsidP="0026781F">
      <w:pPr>
        <w:pStyle w:val="aff"/>
      </w:pPr>
      <w:r w:rsidRPr="007045E6">
        <w:t>Оглавление</w:t>
      </w:r>
    </w:p>
    <w:p w:rsidR="0026781F" w:rsidRDefault="0026781F" w:rsidP="007045E6">
      <w:pPr>
        <w:ind w:firstLine="709"/>
        <w:rPr>
          <w:lang w:eastAsia="en-US"/>
        </w:rPr>
      </w:pP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Введение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Глава 1. Основы функционирования инвестиционных фондов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1.1 Понятие и виды инвестиционных фондов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1.2 Сходства и различия российских и американских фондов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Глава 2. Анализ рынка коллективных инвестиций и деятельности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ПИФов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2.1 Развитие рынка коллективных инвестиций в России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2.2 Обзор рынка ПИФов за 2009 г.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Глава 3. Перспективы развития инвестиционных фондов в России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3.1 Основные перспективы развития инвестиционных фондов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Заключение</w:t>
      </w:r>
    </w:p>
    <w:p w:rsidR="00391637" w:rsidRDefault="00391637">
      <w:pPr>
        <w:pStyle w:val="21"/>
        <w:rPr>
          <w:smallCaps w:val="0"/>
          <w:noProof/>
          <w:sz w:val="24"/>
          <w:szCs w:val="24"/>
          <w:lang w:eastAsia="ru-RU"/>
        </w:rPr>
      </w:pPr>
      <w:r w:rsidRPr="00BE7EA2">
        <w:rPr>
          <w:rStyle w:val="a7"/>
          <w:noProof/>
        </w:rPr>
        <w:t>Список использованной литературы</w:t>
      </w:r>
    </w:p>
    <w:p w:rsidR="00974C23" w:rsidRPr="007045E6" w:rsidRDefault="00974C23" w:rsidP="0026781F">
      <w:pPr>
        <w:pStyle w:val="2"/>
      </w:pPr>
      <w:r w:rsidRPr="007045E6">
        <w:br w:type="page"/>
      </w:r>
      <w:bookmarkStart w:id="0" w:name="_Toc248111016"/>
      <w:bookmarkStart w:id="1" w:name="_Toc248112684"/>
      <w:bookmarkStart w:id="2" w:name="_Toc273269122"/>
      <w:r w:rsidRPr="007045E6">
        <w:t>Введение</w:t>
      </w:r>
      <w:bookmarkEnd w:id="0"/>
      <w:bookmarkEnd w:id="1"/>
      <w:bookmarkEnd w:id="2"/>
    </w:p>
    <w:p w:rsidR="0026781F" w:rsidRDefault="0026781F" w:rsidP="007045E6">
      <w:pPr>
        <w:ind w:firstLine="709"/>
        <w:rPr>
          <w:lang w:eastAsia="en-US"/>
        </w:rPr>
      </w:pPr>
      <w:bookmarkStart w:id="3" w:name="_Toc247700704"/>
      <w:bookmarkStart w:id="4" w:name="_Toc248111017"/>
      <w:bookmarkStart w:id="5" w:name="_Toc248112685"/>
    </w:p>
    <w:p w:rsidR="007045E6" w:rsidRDefault="00B52398" w:rsidP="007045E6">
      <w:pPr>
        <w:ind w:firstLine="709"/>
        <w:rPr>
          <w:lang w:eastAsia="en-US"/>
        </w:rPr>
      </w:pPr>
      <w:r w:rsidRPr="007045E6">
        <w:rPr>
          <w:lang w:eastAsia="en-US"/>
        </w:rPr>
        <w:t>Актуальность работы состоит в том, что с</w:t>
      </w:r>
      <w:r w:rsidR="00447790" w:rsidRPr="007045E6">
        <w:rPr>
          <w:lang w:eastAsia="en-US"/>
        </w:rPr>
        <w:t>овременная экономика во многих странах опирается на потенциал внутреннего фондового рынка, способствующего росту инвестиций и расширенному воспроизводству сбережений населения</w:t>
      </w:r>
      <w:r w:rsidR="007045E6" w:rsidRPr="007045E6">
        <w:rPr>
          <w:lang w:eastAsia="en-US"/>
        </w:rPr>
        <w:t xml:space="preserve">. </w:t>
      </w:r>
      <w:r w:rsidR="00447790" w:rsidRPr="007045E6">
        <w:rPr>
          <w:lang w:eastAsia="en-US"/>
        </w:rPr>
        <w:t>Основные проблемы российского фондового рынка заключаются в том, что он пока еще мало ориентирован на решение приоритетных экономических и социальных проблем нашего общества</w:t>
      </w:r>
      <w:r w:rsidR="007045E6" w:rsidRPr="007045E6">
        <w:rPr>
          <w:lang w:eastAsia="en-US"/>
        </w:rPr>
        <w:t xml:space="preserve">. </w:t>
      </w:r>
      <w:r w:rsidR="00447790" w:rsidRPr="007045E6">
        <w:rPr>
          <w:lang w:eastAsia="en-US"/>
        </w:rPr>
        <w:t>Основными игроками на внутреннем рынке акций и облигаций остаются нерезиденты, российские инвесторы, ориентированные на извлечение прибыли от биржевых спекуляций, и коммерческие банки, заинтересованные в размещении краткосрочных излишков банковской ликвидности</w:t>
      </w:r>
      <w:r w:rsidR="007045E6" w:rsidRPr="007045E6">
        <w:rPr>
          <w:lang w:eastAsia="en-US"/>
        </w:rPr>
        <w:t xml:space="preserve">. </w:t>
      </w:r>
      <w:r w:rsidR="00447790" w:rsidRPr="007045E6">
        <w:rPr>
          <w:lang w:eastAsia="en-US"/>
        </w:rPr>
        <w:t>Доля долгосрочных коллективных инвесторов и граждан на внутреннем рынке остается сравнительно низкой</w:t>
      </w:r>
      <w:r w:rsidR="007045E6" w:rsidRPr="007045E6">
        <w:rPr>
          <w:lang w:eastAsia="en-US"/>
        </w:rPr>
        <w:t>.</w:t>
      </w:r>
      <w:bookmarkEnd w:id="3"/>
      <w:bookmarkEnd w:id="4"/>
      <w:bookmarkEnd w:id="5"/>
    </w:p>
    <w:p w:rsidR="007045E6" w:rsidRDefault="00447790" w:rsidP="007045E6">
      <w:pPr>
        <w:ind w:firstLine="709"/>
        <w:rPr>
          <w:lang w:eastAsia="en-US"/>
        </w:rPr>
      </w:pPr>
      <w:bookmarkStart w:id="6" w:name="_Toc247700705"/>
      <w:bookmarkStart w:id="7" w:name="_Toc248111018"/>
      <w:bookmarkStart w:id="8" w:name="_Toc248112686"/>
      <w:r w:rsidRPr="007045E6">
        <w:rPr>
          <w:lang w:eastAsia="en-US"/>
        </w:rPr>
        <w:t>В этих условиях инвестиционным фондам принадлежит особая роль в привлечении на российский фондовый рынок средств внутренних инвесторов и обеспечении его конкурентоспособности за счет внутренних факторов роста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условиях исчерпания краткосрочных внутренних факторов роста спроса на акции российских эмитентов и осторожного отношения к нему инвесторов первоочередное значение приобретает восстановление доверия инвесторов к финансовым рынкам и повышение надежности и эффективности деятельности финансовых посредников, которым под силу привлечь долгосрочные финансовые ресурсы внутренних инвесторов</w:t>
      </w:r>
      <w:bookmarkEnd w:id="6"/>
      <w:bookmarkEnd w:id="7"/>
      <w:bookmarkEnd w:id="8"/>
      <w:r w:rsidR="007045E6" w:rsidRPr="007045E6">
        <w:rPr>
          <w:lang w:eastAsia="en-US"/>
        </w:rPr>
        <w:t>.</w:t>
      </w:r>
    </w:p>
    <w:p w:rsidR="007045E6" w:rsidRDefault="00447790" w:rsidP="007045E6">
      <w:pPr>
        <w:ind w:firstLine="709"/>
        <w:rPr>
          <w:lang w:eastAsia="en-US"/>
        </w:rPr>
      </w:pPr>
      <w:bookmarkStart w:id="9" w:name="_Toc247700706"/>
      <w:bookmarkStart w:id="10" w:name="_Toc248111019"/>
      <w:bookmarkStart w:id="11" w:name="_Toc248112687"/>
      <w:r w:rsidRPr="007045E6">
        <w:rPr>
          <w:lang w:eastAsia="en-US"/>
        </w:rPr>
        <w:t>Инвестиционные фонды наряду с другими формами коллективных инвестиций могут оказаться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золотым звеном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>в решении проблемы формирования новой сберегательной системы в России, в которой вместе с системой розничных банков важную роль будут играть частные инвестиционные фонды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Вышеперечисленные факторы определяют актуальность выбранной темы</w:t>
      </w:r>
      <w:r w:rsidR="007045E6" w:rsidRPr="007045E6">
        <w:rPr>
          <w:lang w:eastAsia="en-US"/>
        </w:rPr>
        <w:t>.</w:t>
      </w:r>
      <w:bookmarkEnd w:id="9"/>
      <w:bookmarkEnd w:id="10"/>
      <w:bookmarkEnd w:id="11"/>
    </w:p>
    <w:p w:rsidR="007045E6" w:rsidRDefault="00447790" w:rsidP="007045E6">
      <w:pPr>
        <w:ind w:firstLine="709"/>
        <w:rPr>
          <w:lang w:eastAsia="en-US"/>
        </w:rPr>
      </w:pPr>
      <w:r w:rsidRPr="007045E6">
        <w:rPr>
          <w:lang w:eastAsia="en-US"/>
        </w:rPr>
        <w:t>Целью работы является анализ деятельности инвестиционных фондов на фондовом рынке России</w:t>
      </w:r>
      <w:r w:rsidR="007045E6" w:rsidRPr="007045E6">
        <w:rPr>
          <w:lang w:eastAsia="en-US"/>
        </w:rPr>
        <w:t>.</w:t>
      </w:r>
    </w:p>
    <w:p w:rsidR="007045E6" w:rsidRDefault="00447790" w:rsidP="007045E6">
      <w:pPr>
        <w:ind w:firstLine="709"/>
        <w:rPr>
          <w:lang w:eastAsia="en-US"/>
        </w:rPr>
      </w:pPr>
      <w:r w:rsidRPr="007045E6">
        <w:rPr>
          <w:lang w:eastAsia="en-US"/>
        </w:rPr>
        <w:t>Для решения данной цели необходимо решение следующих задач</w:t>
      </w:r>
      <w:r w:rsidR="007045E6" w:rsidRPr="007045E6">
        <w:rPr>
          <w:lang w:eastAsia="en-US"/>
        </w:rPr>
        <w:t>:</w:t>
      </w:r>
    </w:p>
    <w:p w:rsidR="007045E6" w:rsidRDefault="00447790" w:rsidP="007045E6">
      <w:pPr>
        <w:ind w:firstLine="709"/>
        <w:rPr>
          <w:lang w:eastAsia="en-US"/>
        </w:rPr>
      </w:pPr>
      <w:r w:rsidRPr="007045E6">
        <w:rPr>
          <w:lang w:eastAsia="en-US"/>
        </w:rPr>
        <w:t>дать определение понятию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инвестиционный фонд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>и охарактеризовать виды</w:t>
      </w:r>
      <w:r w:rsidR="007045E6" w:rsidRPr="007045E6">
        <w:rPr>
          <w:lang w:eastAsia="en-US"/>
        </w:rPr>
        <w:t>;</w:t>
      </w:r>
    </w:p>
    <w:p w:rsidR="007045E6" w:rsidRDefault="00447790" w:rsidP="007045E6">
      <w:pPr>
        <w:ind w:firstLine="709"/>
        <w:rPr>
          <w:lang w:eastAsia="en-US"/>
        </w:rPr>
      </w:pPr>
      <w:r w:rsidRPr="007045E6">
        <w:rPr>
          <w:lang w:eastAsia="en-US"/>
        </w:rPr>
        <w:t>рассмотреть сходства и различия российских и зарубежных фондов</w:t>
      </w:r>
      <w:r w:rsidR="007045E6" w:rsidRPr="007045E6">
        <w:rPr>
          <w:lang w:eastAsia="en-US"/>
        </w:rPr>
        <w:t>;</w:t>
      </w:r>
    </w:p>
    <w:p w:rsidR="007045E6" w:rsidRDefault="00447790" w:rsidP="007045E6">
      <w:pPr>
        <w:ind w:firstLine="709"/>
        <w:rPr>
          <w:lang w:eastAsia="en-US"/>
        </w:rPr>
      </w:pPr>
      <w:r w:rsidRPr="007045E6">
        <w:rPr>
          <w:lang w:eastAsia="en-US"/>
        </w:rPr>
        <w:t>проанализировать рынок коллективных инвестиций и деятельность инвестиционных компаний</w:t>
      </w:r>
      <w:r w:rsidR="007045E6" w:rsidRPr="007045E6">
        <w:rPr>
          <w:lang w:eastAsia="en-US"/>
        </w:rPr>
        <w:t>.</w:t>
      </w:r>
    </w:p>
    <w:p w:rsidR="00B52398" w:rsidRPr="007045E6" w:rsidRDefault="00B52398" w:rsidP="007045E6">
      <w:pPr>
        <w:ind w:firstLine="709"/>
        <w:rPr>
          <w:lang w:eastAsia="en-US"/>
        </w:rPr>
      </w:pPr>
      <w:r w:rsidRPr="007045E6">
        <w:rPr>
          <w:lang w:eastAsia="en-US"/>
        </w:rPr>
        <w:t>Выделить основные перспективы развития инвестиционных фондов</w:t>
      </w:r>
    </w:p>
    <w:p w:rsidR="007045E6" w:rsidRDefault="003630F7" w:rsidP="007045E6">
      <w:pPr>
        <w:ind w:firstLine="709"/>
        <w:rPr>
          <w:lang w:eastAsia="en-US"/>
        </w:rPr>
      </w:pPr>
      <w:r w:rsidRPr="007045E6">
        <w:rPr>
          <w:lang w:eastAsia="en-US"/>
        </w:rPr>
        <w:t>Объект</w:t>
      </w:r>
      <w:r w:rsidR="00447790" w:rsidRPr="007045E6">
        <w:rPr>
          <w:lang w:eastAsia="en-US"/>
        </w:rPr>
        <w:t xml:space="preserve"> исследования</w:t>
      </w:r>
      <w:r w:rsidR="007045E6" w:rsidRPr="007045E6">
        <w:rPr>
          <w:lang w:eastAsia="en-US"/>
        </w:rPr>
        <w:t xml:space="preserve"> - </w:t>
      </w:r>
      <w:r w:rsidR="00447790" w:rsidRPr="007045E6">
        <w:rPr>
          <w:lang w:eastAsia="en-US"/>
        </w:rPr>
        <w:t>рынок к</w:t>
      </w:r>
      <w:r w:rsidRPr="007045E6">
        <w:rPr>
          <w:lang w:eastAsia="en-US"/>
        </w:rPr>
        <w:t>оллективных инвестиций в России</w:t>
      </w:r>
      <w:r w:rsidR="007045E6" w:rsidRPr="007045E6">
        <w:rPr>
          <w:lang w:eastAsia="en-US"/>
        </w:rPr>
        <w:t>.</w:t>
      </w:r>
    </w:p>
    <w:p w:rsidR="007045E6" w:rsidRDefault="003630F7" w:rsidP="007045E6">
      <w:pPr>
        <w:ind w:firstLine="709"/>
        <w:rPr>
          <w:lang w:eastAsia="en-US"/>
        </w:rPr>
      </w:pPr>
      <w:r w:rsidRPr="007045E6">
        <w:rPr>
          <w:lang w:eastAsia="en-US"/>
        </w:rPr>
        <w:t>П</w:t>
      </w:r>
      <w:r w:rsidR="00447790" w:rsidRPr="007045E6">
        <w:rPr>
          <w:lang w:eastAsia="en-US"/>
        </w:rPr>
        <w:t>редмет</w:t>
      </w:r>
      <w:r w:rsidRPr="007045E6">
        <w:rPr>
          <w:lang w:eastAsia="en-US"/>
        </w:rPr>
        <w:t xml:space="preserve"> исследования</w:t>
      </w:r>
      <w:r w:rsidR="007045E6" w:rsidRPr="007045E6">
        <w:rPr>
          <w:lang w:eastAsia="en-US"/>
        </w:rPr>
        <w:t xml:space="preserve"> </w:t>
      </w:r>
      <w:r w:rsidR="007045E6">
        <w:rPr>
          <w:lang w:eastAsia="en-US"/>
        </w:rPr>
        <w:t>-</w:t>
      </w:r>
      <w:r w:rsidR="007045E6" w:rsidRPr="007045E6">
        <w:rPr>
          <w:lang w:eastAsia="en-US"/>
        </w:rPr>
        <w:t xml:space="preserve"> </w:t>
      </w:r>
      <w:r w:rsidR="00447790" w:rsidRPr="007045E6">
        <w:rPr>
          <w:lang w:eastAsia="en-US"/>
        </w:rPr>
        <w:t xml:space="preserve">деятельность инвестиционных компаний </w:t>
      </w:r>
      <w:r w:rsidR="005F50F8" w:rsidRPr="007045E6">
        <w:rPr>
          <w:lang w:eastAsia="en-US"/>
        </w:rPr>
        <w:t xml:space="preserve">на </w:t>
      </w:r>
      <w:r w:rsidR="00447790" w:rsidRPr="007045E6">
        <w:rPr>
          <w:lang w:eastAsia="en-US"/>
        </w:rPr>
        <w:t>рынке</w:t>
      </w:r>
      <w:r w:rsidR="005F50F8" w:rsidRPr="007045E6">
        <w:rPr>
          <w:lang w:eastAsia="en-US"/>
        </w:rPr>
        <w:t xml:space="preserve"> коллективных инвестиций в России</w:t>
      </w:r>
      <w:r w:rsidR="007045E6" w:rsidRPr="007045E6">
        <w:rPr>
          <w:lang w:eastAsia="en-US"/>
        </w:rPr>
        <w:t>.</w:t>
      </w:r>
    </w:p>
    <w:p w:rsidR="00974C23" w:rsidRPr="007045E6" w:rsidRDefault="00974C23" w:rsidP="0026781F">
      <w:pPr>
        <w:pStyle w:val="2"/>
      </w:pPr>
      <w:r w:rsidRPr="007045E6">
        <w:br w:type="page"/>
      </w:r>
      <w:bookmarkStart w:id="12" w:name="_Toc247700707"/>
      <w:bookmarkStart w:id="13" w:name="_Toc248111020"/>
      <w:bookmarkStart w:id="14" w:name="_Toc248112688"/>
      <w:bookmarkStart w:id="15" w:name="_Toc248112689"/>
      <w:bookmarkStart w:id="16" w:name="_Toc273269123"/>
      <w:r w:rsidRPr="007045E6">
        <w:t>Глава 1</w:t>
      </w:r>
      <w:r w:rsidR="007045E6" w:rsidRPr="007045E6">
        <w:t xml:space="preserve">. </w:t>
      </w:r>
      <w:r w:rsidR="00250289" w:rsidRPr="007045E6">
        <w:t>Основы функционирования инвестиционных фондов</w:t>
      </w:r>
      <w:bookmarkEnd w:id="12"/>
      <w:bookmarkEnd w:id="13"/>
      <w:bookmarkEnd w:id="14"/>
      <w:bookmarkEnd w:id="15"/>
      <w:bookmarkEnd w:id="16"/>
    </w:p>
    <w:p w:rsidR="0026781F" w:rsidRDefault="0026781F" w:rsidP="0026781F">
      <w:pPr>
        <w:pStyle w:val="2"/>
      </w:pPr>
      <w:bookmarkStart w:id="17" w:name="_Toc248112690"/>
    </w:p>
    <w:p w:rsidR="00974C23" w:rsidRPr="007045E6" w:rsidRDefault="007045E6" w:rsidP="0026781F">
      <w:pPr>
        <w:pStyle w:val="2"/>
      </w:pPr>
      <w:bookmarkStart w:id="18" w:name="_Toc273269124"/>
      <w:r>
        <w:t xml:space="preserve">1.1 </w:t>
      </w:r>
      <w:r w:rsidR="00250289" w:rsidRPr="007045E6">
        <w:t>Понятие и виды инвестиционных фондов</w:t>
      </w:r>
      <w:bookmarkEnd w:id="17"/>
      <w:bookmarkEnd w:id="18"/>
    </w:p>
    <w:p w:rsidR="0026781F" w:rsidRDefault="0026781F" w:rsidP="007045E6">
      <w:pPr>
        <w:ind w:firstLine="709"/>
        <w:rPr>
          <w:lang w:eastAsia="en-US"/>
        </w:rPr>
      </w:pP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Фонды, позволяющие частным лицам объединять даже весьма скромные сбережения и коллективно вкладывать их </w:t>
      </w:r>
      <w:r w:rsidRPr="00BE7EA2">
        <w:rPr>
          <w:lang w:eastAsia="en-US"/>
        </w:rPr>
        <w:t>на рынке ценных бумаг</w:t>
      </w:r>
      <w:r w:rsidRPr="007045E6">
        <w:rPr>
          <w:lang w:eastAsia="en-US"/>
        </w:rPr>
        <w:t>, существуют в мире не один десяток лет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Самый первый фонд для коллективных инвестиций населения появился еще в середине XIX 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Бельгии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Паевой фонд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или паевой инвестиционный фонд</w:t>
      </w:r>
      <w:r w:rsidR="007045E6" w:rsidRPr="007045E6">
        <w:rPr>
          <w:lang w:eastAsia="en-US"/>
        </w:rPr>
        <w:t xml:space="preserve">) - </w:t>
      </w:r>
      <w:r w:rsidRPr="007045E6">
        <w:rPr>
          <w:lang w:eastAsia="en-US"/>
        </w:rPr>
        <w:t>это форма коллективного инвестирования, при которой средства пайщиков объединяются Управляющей компанией в</w:t>
      </w:r>
      <w:r w:rsidR="007045E6">
        <w:rPr>
          <w:lang w:eastAsia="en-US"/>
        </w:rPr>
        <w:t xml:space="preserve"> </w:t>
      </w:r>
      <w:r w:rsidRPr="007045E6">
        <w:rPr>
          <w:lang w:eastAsia="en-US"/>
        </w:rPr>
        <w:t>фонд с целью инвестирования в ценные бумаги и получения прибыли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Всю прибыль от</w:t>
      </w:r>
      <w:r w:rsidR="007045E6">
        <w:rPr>
          <w:lang w:eastAsia="en-US"/>
        </w:rPr>
        <w:t xml:space="preserve"> </w:t>
      </w:r>
      <w:r w:rsidRPr="007045E6">
        <w:rPr>
          <w:lang w:eastAsia="en-US"/>
        </w:rPr>
        <w:t>инвестирования, за исключением комиссионных, взимаемых Управляющей компанией за</w:t>
      </w:r>
      <w:r w:rsidR="007045E6">
        <w:rPr>
          <w:lang w:eastAsia="en-US"/>
        </w:rPr>
        <w:t xml:space="preserve"> </w:t>
      </w:r>
      <w:r w:rsidRPr="007045E6">
        <w:rPr>
          <w:lang w:eastAsia="en-US"/>
        </w:rPr>
        <w:t>управление активами, получат пайщики фонда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Паевые фонды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наиболее популярный инструмент инвестирования, насчитывающий более чем 80 летнюю историю развития с момента создания первого фонда в 1924 году в Бостоне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США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Сегодня наибольшее распространение такой способ размещения средств населения получил в США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Количество инвестиционных фондов там давно перевалило за 8000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Многие из них могут похвастаться многолетней историей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Например, фонд Vanguard U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S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Growth Fund Investor Shares работает с 1959 г</w:t>
      </w:r>
      <w:r w:rsidR="007045E6">
        <w:rPr>
          <w:lang w:eastAsia="en-US"/>
        </w:rPr>
        <w:t>.,</w:t>
      </w:r>
      <w:r w:rsidRPr="007045E6">
        <w:rPr>
          <w:lang w:eastAsia="en-US"/>
        </w:rPr>
        <w:t xml:space="preserve"> а Dodge &amp; Cox Income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с 1989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До сих пор в строю один из старейших фондов Pioneer A, созданный еще в 1928 г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Миллионы людей во всём мире доверяют свои сбережения управляющим компаниям, выбирая в качестве основного способа вложения средств инвестирование в паевые фонды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 1996 года паевые фонды работают в России</w:t>
      </w:r>
      <w:r w:rsidR="007045E6" w:rsidRPr="007045E6">
        <w:rPr>
          <w:lang w:eastAsia="en-US"/>
        </w:rPr>
        <w:t>.</w:t>
      </w:r>
    </w:p>
    <w:p w:rsidR="007045E6" w:rsidRDefault="00CE7CC8" w:rsidP="007045E6">
      <w:pPr>
        <w:ind w:firstLine="709"/>
        <w:rPr>
          <w:lang w:eastAsia="en-US"/>
        </w:rPr>
      </w:pPr>
      <w:r w:rsidRPr="007045E6">
        <w:rPr>
          <w:lang w:eastAsia="en-US"/>
        </w:rPr>
        <w:t>Паевый инвестиционный фонд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это объединенные средства инвесторов, переданные в</w:t>
      </w:r>
      <w:r w:rsidR="007045E6">
        <w:rPr>
          <w:lang w:eastAsia="en-US"/>
        </w:rPr>
        <w:t xml:space="preserve"> </w:t>
      </w:r>
      <w:r w:rsidRPr="007045E6">
        <w:rPr>
          <w:lang w:eastAsia="en-US"/>
        </w:rPr>
        <w:t>доверительное управление профессиональным менеджерам управляющей компанией</w:t>
      </w:r>
      <w:r w:rsidR="007045E6" w:rsidRPr="007045E6">
        <w:rPr>
          <w:lang w:eastAsia="en-US"/>
        </w:rPr>
        <w:t>.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УК</w:t>
      </w:r>
      <w:r w:rsidR="007045E6" w:rsidRPr="007045E6">
        <w:rPr>
          <w:lang w:eastAsia="en-US"/>
        </w:rPr>
        <w:t>).</w:t>
      </w:r>
    </w:p>
    <w:p w:rsidR="007045E6" w:rsidRDefault="00CE7CC8" w:rsidP="007045E6">
      <w:pPr>
        <w:ind w:firstLine="709"/>
        <w:rPr>
          <w:lang w:eastAsia="en-US"/>
        </w:rPr>
      </w:pPr>
      <w:r w:rsidRPr="007045E6">
        <w:rPr>
          <w:lang w:eastAsia="en-US"/>
        </w:rPr>
        <w:t>По своей сути ПИФ-ы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паевые фонды</w:t>
      </w:r>
      <w:r w:rsidR="007045E6" w:rsidRPr="007045E6">
        <w:rPr>
          <w:lang w:eastAsia="en-US"/>
        </w:rPr>
        <w:t xml:space="preserve">)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организации, которые аккумулируют средства отдельных людей, чтобы затем использовать их для биржевых операций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Обычно паевые фонды вкладывают деньги инвесторов в ценные бумаги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акции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получая при этом прибыль, которая распределяется между участниками ПИФ в зависимости от того, какой вклад сделал каждый из них в паевые фонды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Иными словами, каждый инвестор владеет в ПИФ своей частью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паем</w:t>
      </w:r>
      <w:r w:rsidR="007045E6" w:rsidRPr="007045E6">
        <w:rPr>
          <w:lang w:eastAsia="en-US"/>
        </w:rPr>
        <w:t>.</w:t>
      </w:r>
    </w:p>
    <w:p w:rsidR="007045E6" w:rsidRDefault="00CE7CC8" w:rsidP="007045E6">
      <w:pPr>
        <w:ind w:firstLine="709"/>
        <w:rPr>
          <w:lang w:eastAsia="en-US"/>
        </w:rPr>
      </w:pPr>
      <w:r w:rsidRPr="007045E6">
        <w:rPr>
          <w:lang w:eastAsia="en-US"/>
        </w:rPr>
        <w:t>Инвесторы могут использовать паевые фонды для получения прибыли различными способами, например, в виде дивидендов и процентов от акций и облигаций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конце финансового года руководство ПИФ делит заработанный ПИФ капитал между инвесторами, причем их доля зависит от того, сколько именно они ранее вложили в паевые фонды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Второй способ заключается в том, что выросший капитал ПИФ передает инвесторам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Это происходит тогда, когда руководство ПИФ продала выросшие в цене активы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Иногда паевые фонды предлагают инвесторам либо получить капитал, либо приобрести дополнительную часть паевого фонда, тем самым увеличить свое участие в нем</w:t>
      </w:r>
      <w:r w:rsidR="007045E6" w:rsidRPr="007045E6">
        <w:rPr>
          <w:lang w:eastAsia="en-US"/>
        </w:rPr>
        <w:t>.</w:t>
      </w:r>
    </w:p>
    <w:p w:rsidR="007045E6" w:rsidRDefault="00CE7CC8" w:rsidP="007045E6">
      <w:pPr>
        <w:ind w:firstLine="709"/>
        <w:rPr>
          <w:lang w:eastAsia="en-US"/>
        </w:rPr>
      </w:pPr>
      <w:r w:rsidRPr="007045E6">
        <w:rPr>
          <w:lang w:eastAsia="en-US"/>
        </w:rPr>
        <w:t>Важным достоинством, которое имеют паевые фонды, заключается в том, что управление капиталом в ПИФ выполняют профессионалы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Ведь на практике вкладчики ПИФ, как правило, не имеют знаний и навыков, позволяющих им самим работать на финансовых рынках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Паевые фонды дают возможность отдавать капитал в доверительное управление профессионалам, что существенно уменьшает возможные риски</w:t>
      </w:r>
      <w:r w:rsidR="007045E6" w:rsidRPr="007045E6">
        <w:rPr>
          <w:lang w:eastAsia="en-US"/>
        </w:rPr>
        <w:t>.</w:t>
      </w:r>
    </w:p>
    <w:p w:rsidR="007045E6" w:rsidRDefault="00CE7CC8" w:rsidP="007045E6">
      <w:pPr>
        <w:ind w:firstLine="709"/>
        <w:rPr>
          <w:lang w:eastAsia="en-US"/>
        </w:rPr>
      </w:pPr>
      <w:r w:rsidRPr="007045E6">
        <w:rPr>
          <w:lang w:eastAsia="en-US"/>
        </w:rPr>
        <w:t>Не менее важным является и то, что паевые фонды при работе со средствами вкладчиков ПИФ используют диверсификацию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Это означает, что паевые фонды вкладывают средства одновременно в ряд различных финансовых инструментов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Рядовые вкладчики ПИФ не смогли бы это сделать как в силу ограниченности средств, так и чисто технически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Обычно ПИФ приобретает ценные бумаги из максимально возможного числа отраслей экономики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Кроме того, ПИФ всегда приобретет акции дешевле, чем рядовой инвестор, если бы тот действовал самостоятельно, минуя ПИФ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Дело в том, что объемы покупок, которые производит ПИФ, как правило, очень велики, следовательно, цена приобретаемых ПИФ ценных бумаг получается ниже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Инвестиционный пай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это именная ценная бумага, удостоверяющая право её владельца на долю в имуществе паевого инвестиционного фонда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Пайщик может в полной мере распоряжаться своими паями, а именно совершать любые сделки с паями, не запрещенные законодательством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Например, пай можно подарить, заложить, завещать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Документом, подтверждающим владение инвестиционными паями, является выписка из</w:t>
      </w:r>
      <w:r w:rsidR="007045E6">
        <w:rPr>
          <w:lang w:eastAsia="en-US"/>
        </w:rPr>
        <w:t xml:space="preserve"> </w:t>
      </w:r>
      <w:r w:rsidRPr="007045E6">
        <w:rPr>
          <w:lang w:eastAsia="en-US"/>
        </w:rPr>
        <w:t>реестра пайщика, предоставляемая специализированным регистратором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Стоимость инвестиционного пая меняется каждый рабочий день за счёт изменения стоимости ценных бумаг, входящих в состав активов паевого инвестиционного фонда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В организации работы паевого инвестиционного фонда принимают участие 4</w:t>
      </w:r>
      <w:r w:rsidR="007045E6">
        <w:rPr>
          <w:lang w:eastAsia="en-US"/>
        </w:rPr>
        <w:t xml:space="preserve"> </w:t>
      </w:r>
      <w:r w:rsidRPr="007045E6">
        <w:rPr>
          <w:lang w:eastAsia="en-US"/>
        </w:rPr>
        <w:t>независимые организации, обладающие государственными лицензиями</w:t>
      </w:r>
      <w:r w:rsidR="007045E6" w:rsidRPr="007045E6">
        <w:rPr>
          <w:lang w:eastAsia="en-US"/>
        </w:rPr>
        <w:t>: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специализированный регистратор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ведёт учёт прав собственности на инвестиционные паи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специализированный депозитарий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ведёт учёт имущества и хранит активы фонда, проверяет поручения Управляющей компании на предмет соответствия законодательству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независимый аудитор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осуществляет финансовую проверку деятельности управляющей компании и инвестиционного фонда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управляющая компания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осуществляет управление активами паевого инвестиционного фонда</w:t>
      </w:r>
      <w:r w:rsidR="007045E6" w:rsidRPr="007045E6">
        <w:rPr>
          <w:lang w:eastAsia="en-US"/>
        </w:rPr>
        <w:t>.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В общем случае работу паевого инвестиционного фонда можно описать следующим образом</w:t>
      </w:r>
      <w:r w:rsidR="007045E6" w:rsidRPr="007045E6">
        <w:rPr>
          <w:lang w:eastAsia="en-US"/>
        </w:rPr>
        <w:t>: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пайщик подаёт необходимые документы для приобретения паев и перечисляет деньги на</w:t>
      </w:r>
      <w:r w:rsidR="007045E6">
        <w:rPr>
          <w:lang w:eastAsia="en-US"/>
        </w:rPr>
        <w:t xml:space="preserve"> </w:t>
      </w:r>
      <w:r w:rsidRPr="007045E6">
        <w:rPr>
          <w:lang w:eastAsia="en-US"/>
        </w:rPr>
        <w:t>расчётный счёт Управляющей компании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регистратор открывает пайщику лицевой счёт для учёта инвестиционных паёв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управляющая компания на основании предоставленных регистратором данных информирует пайщика о количестве начисленных инвестиционных паев и дате проведения операции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управляющая компания приобретает на деньги инвестора ценные бумаги в соответствии с условиями инвестиционной декларации фонда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специализированный депозитарий контролирует каждую операцию управляющей компании по инвестированию средств фонда, проверяет соответствие структуры портфеля инвестиционной декларации паевого фонда</w:t>
      </w:r>
      <w:r w:rsidR="007045E6" w:rsidRPr="007045E6">
        <w:rPr>
          <w:lang w:eastAsia="en-US"/>
        </w:rPr>
        <w:t>;</w:t>
      </w:r>
    </w:p>
    <w:p w:rsidR="007045E6" w:rsidRDefault="00A53465" w:rsidP="007045E6">
      <w:pPr>
        <w:ind w:firstLine="709"/>
        <w:rPr>
          <w:lang w:eastAsia="en-US"/>
        </w:rPr>
      </w:pPr>
      <w:r w:rsidRPr="007045E6">
        <w:rPr>
          <w:lang w:eastAsia="en-US"/>
        </w:rPr>
        <w:t>стоимость пая ежедневно меняется, в любой рабочий день пайщик может погасить принадлежащие ему инвестиционные паи и получить доход в денежном выражении</w:t>
      </w:r>
      <w:r w:rsidR="007045E6" w:rsidRPr="007045E6">
        <w:rPr>
          <w:lang w:eastAsia="en-US"/>
        </w:rPr>
        <w:t>.</w:t>
      </w:r>
    </w:p>
    <w:p w:rsidR="007045E6" w:rsidRDefault="00317008" w:rsidP="007045E6">
      <w:pPr>
        <w:ind w:firstLine="709"/>
        <w:rPr>
          <w:lang w:eastAsia="en-US"/>
        </w:rPr>
      </w:pPr>
      <w:r w:rsidRPr="007045E6">
        <w:rPr>
          <w:lang w:eastAsia="en-US"/>
        </w:rPr>
        <w:t>Федеральный закон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Об инвестиционных фондах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>различает 3 типа паевых инвестиционных фондов</w:t>
      </w:r>
      <w:r w:rsidR="007045E6" w:rsidRPr="007045E6">
        <w:rPr>
          <w:lang w:eastAsia="en-US"/>
        </w:rPr>
        <w:t xml:space="preserve">: </w:t>
      </w:r>
      <w:r w:rsidRPr="007045E6">
        <w:rPr>
          <w:lang w:eastAsia="en-US"/>
        </w:rPr>
        <w:t>открытый, интервальный и закрытый</w:t>
      </w:r>
      <w:r w:rsidR="007045E6" w:rsidRPr="007045E6">
        <w:rPr>
          <w:lang w:eastAsia="en-US"/>
        </w:rPr>
        <w:t>.</w:t>
      </w:r>
    </w:p>
    <w:p w:rsidR="007045E6" w:rsidRDefault="00317008" w:rsidP="007045E6">
      <w:pPr>
        <w:ind w:firstLine="709"/>
        <w:rPr>
          <w:lang w:eastAsia="en-US"/>
        </w:rPr>
      </w:pPr>
      <w:r w:rsidRPr="007045E6">
        <w:rPr>
          <w:lang w:eastAsia="en-US"/>
        </w:rPr>
        <w:t>В случае открытого ПИФа у владельца инвестиционных паев есть право в любой рабочий день требовать от управляющей компании погашения всех принадлежащих ему инвестиционных паев и прекращения тем самым договора доверительного управления паевым инвестиционным фондом между ним и управляющей компанией или погашения части принадлежащих ему инвестиционных паев</w:t>
      </w:r>
      <w:r w:rsidR="007045E6" w:rsidRPr="007045E6">
        <w:rPr>
          <w:lang w:eastAsia="en-US"/>
        </w:rPr>
        <w:t>.</w:t>
      </w:r>
    </w:p>
    <w:p w:rsidR="007045E6" w:rsidRDefault="00317008" w:rsidP="007045E6">
      <w:pPr>
        <w:ind w:firstLine="709"/>
        <w:rPr>
          <w:lang w:eastAsia="en-US"/>
        </w:rPr>
      </w:pPr>
      <w:r w:rsidRPr="007045E6">
        <w:rPr>
          <w:lang w:eastAsia="en-US"/>
        </w:rPr>
        <w:t>Владельцу инвестиционных паев интервального ПИФа предоставляется право в течение срока, установленного правилами доверительного управления паевым инвестиционным фондом, требовать от управляющей компании погашения всех принадлежащих ему инвестиционных паев и прекращения тем самым договора доверительного управления паевым инвестиционным фондом между ним и управляющей компанией или погашения части принадлежащих ему инвестиционных паев</w:t>
      </w:r>
      <w:r w:rsidR="007045E6" w:rsidRPr="007045E6">
        <w:rPr>
          <w:lang w:eastAsia="en-US"/>
        </w:rPr>
        <w:t>.</w:t>
      </w:r>
    </w:p>
    <w:p w:rsidR="007045E6" w:rsidRDefault="00317008" w:rsidP="007045E6">
      <w:pPr>
        <w:ind w:firstLine="709"/>
        <w:rPr>
          <w:lang w:eastAsia="en-US"/>
        </w:rPr>
      </w:pPr>
      <w:r w:rsidRPr="007045E6">
        <w:rPr>
          <w:lang w:eastAsia="en-US"/>
        </w:rPr>
        <w:t>В закрытом ПИФе у владельца инвестиционных паев отсутствует право требовать от управляющей компании прекращения договора доверительного управления паевым инвестиционным фондом до истечения срока его действия иначе, как в случаях, предусмотренных ФЗ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Об инвестиционных фондах</w:t>
      </w:r>
      <w:r w:rsidR="007045E6">
        <w:rPr>
          <w:lang w:eastAsia="en-US"/>
        </w:rPr>
        <w:t>".</w:t>
      </w:r>
    </w:p>
    <w:p w:rsidR="007045E6" w:rsidRDefault="00317008" w:rsidP="007045E6">
      <w:pPr>
        <w:ind w:firstLine="709"/>
        <w:rPr>
          <w:lang w:eastAsia="en-US"/>
        </w:rPr>
      </w:pPr>
      <w:r w:rsidRPr="007045E6">
        <w:rPr>
          <w:lang w:eastAsia="en-US"/>
        </w:rPr>
        <w:t>Правила доверительного управления паевым инвестиционным фондом должны содержать сведения, указанные в статье 17 ФЗ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Об инвестиционных фондах</w:t>
      </w:r>
      <w:r w:rsidR="007045E6">
        <w:rPr>
          <w:lang w:eastAsia="en-US"/>
        </w:rPr>
        <w:t>".</w:t>
      </w:r>
    </w:p>
    <w:p w:rsidR="007045E6" w:rsidRDefault="00317008" w:rsidP="007045E6">
      <w:pPr>
        <w:ind w:firstLine="709"/>
        <w:rPr>
          <w:lang w:eastAsia="en-US"/>
        </w:rPr>
      </w:pPr>
      <w:r w:rsidRPr="007045E6">
        <w:rPr>
          <w:lang w:eastAsia="en-US"/>
        </w:rPr>
        <w:t>В соответствии со ст</w:t>
      </w:r>
      <w:r w:rsidR="007045E6">
        <w:rPr>
          <w:lang w:eastAsia="en-US"/>
        </w:rPr>
        <w:t>. 19</w:t>
      </w:r>
      <w:r w:rsidRPr="007045E6">
        <w:rPr>
          <w:lang w:eastAsia="en-US"/>
        </w:rPr>
        <w:t xml:space="preserve"> ФЗ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Об инвестиционных фондах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>управляющая компания вправе предлагать заключить договор доверительного управления паевым инвестиционным фондом только при условии регистрации в ФСФР правил доверительного управления этим паевым инвестиционным фондом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Порядок регистрации правил доверительного управления паевым инвестиционным фондом, а также изменений и дополнений в них, утвержден Приказом ФСФР от 21 декабря 2006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№06-154/пз-н</w:t>
      </w:r>
      <w:r w:rsidR="007045E6" w:rsidRPr="007045E6">
        <w:rPr>
          <w:lang w:eastAsia="en-US"/>
        </w:rPr>
        <w:t>.</w:t>
      </w:r>
    </w:p>
    <w:p w:rsidR="00AB5159" w:rsidRPr="007045E6" w:rsidRDefault="00AB5159" w:rsidP="007045E6">
      <w:pPr>
        <w:ind w:firstLine="709"/>
        <w:rPr>
          <w:lang w:eastAsia="en-US"/>
        </w:rPr>
      </w:pPr>
      <w:r w:rsidRPr="007045E6">
        <w:rPr>
          <w:lang w:eastAsia="en-US"/>
        </w:rPr>
        <w:t>В зависимости от направления инвестирования средств фонда различают несколько так называемых категорий фондов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Это фонды денежного рынка, облигаций, акций, смешанных инвестиций, особо рисковых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венчурных</w:t>
      </w:r>
      <w:r w:rsidR="007045E6" w:rsidRPr="007045E6">
        <w:rPr>
          <w:lang w:eastAsia="en-US"/>
        </w:rPr>
        <w:t xml:space="preserve">) </w:t>
      </w:r>
      <w:r w:rsidRPr="007045E6">
        <w:rPr>
          <w:lang w:eastAsia="en-US"/>
        </w:rPr>
        <w:t>инвестиций, недвижимости, ипотечные, индексные и фонды фондов</w:t>
      </w:r>
      <w:r w:rsidR="007045E6" w:rsidRPr="007045E6">
        <w:rPr>
          <w:lang w:eastAsia="en-US"/>
        </w:rPr>
        <w:t xml:space="preserve">.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Фонды смешанных инвестиций</w:t>
      </w:r>
      <w:r w:rsidRPr="007045E6">
        <w:rPr>
          <w:lang w:eastAsia="en-US"/>
        </w:rPr>
        <w:t xml:space="preserve"> состоят как из высокодоходных инструментов повышенного риска</w:t>
      </w:r>
      <w:r>
        <w:rPr>
          <w:lang w:eastAsia="en-US"/>
        </w:rPr>
        <w:t xml:space="preserve"> (</w:t>
      </w:r>
      <w:r w:rsidRPr="007045E6">
        <w:rPr>
          <w:lang w:eastAsia="en-US"/>
        </w:rPr>
        <w:t>акции), так и из инструментов с фиксированным доходом</w:t>
      </w:r>
      <w:r>
        <w:rPr>
          <w:lang w:eastAsia="en-US"/>
        </w:rPr>
        <w:t xml:space="preserve"> (</w:t>
      </w:r>
      <w:r w:rsidRPr="007045E6">
        <w:rPr>
          <w:lang w:eastAsia="en-US"/>
        </w:rPr>
        <w:t xml:space="preserve">облигации). Это позволяет не только получать текущий доход и защищать тем самым инвестированные средства от инфляции, но и преумножать их при разумных рисках. Фонды предпочтительны для умеренных инвесторов.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Фонды акций</w:t>
      </w:r>
      <w:r w:rsidRPr="007045E6">
        <w:rPr>
          <w:lang w:eastAsia="en-US"/>
        </w:rPr>
        <w:t>. Стоимость активов таких фондов, состоящих в основном из акций, подвержена сильному колебанию в зависимости от ситуации на рынке. Потенциально являются наиболее доходными</w:t>
      </w:r>
      <w:r>
        <w:rPr>
          <w:lang w:eastAsia="en-US"/>
        </w:rPr>
        <w:t xml:space="preserve"> (</w:t>
      </w:r>
      <w:r w:rsidRPr="007045E6">
        <w:rPr>
          <w:lang w:eastAsia="en-US"/>
        </w:rPr>
        <w:t xml:space="preserve">при долгосрочном инвестировании), но при высоком уровне риска. Фонды ориентированы на агрессивных инвесторов.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Фонды облигаций</w:t>
      </w:r>
      <w:r w:rsidRPr="007045E6">
        <w:rPr>
          <w:lang w:eastAsia="en-US"/>
        </w:rPr>
        <w:t>. Стоимость их активов</w:t>
      </w:r>
      <w:r>
        <w:rPr>
          <w:lang w:eastAsia="en-US"/>
        </w:rPr>
        <w:t xml:space="preserve"> (</w:t>
      </w:r>
      <w:r w:rsidRPr="007045E6">
        <w:rPr>
          <w:lang w:eastAsia="en-US"/>
        </w:rPr>
        <w:t xml:space="preserve">состоящих в основном из облигаций, </w:t>
      </w:r>
      <w:r>
        <w:rPr>
          <w:lang w:eastAsia="en-US"/>
        </w:rPr>
        <w:t>т.е.</w:t>
      </w:r>
      <w:r w:rsidRPr="007045E6">
        <w:rPr>
          <w:lang w:eastAsia="en-US"/>
        </w:rPr>
        <w:t xml:space="preserve"> долговых инструментов) слабо подвержена сильным рыночным колебаниям и позволяет с наименьшими рисками обеспечивать стабильный, но невысокий доход. Фонды ориентированы на консервативных инвесторов. </w:t>
      </w:r>
    </w:p>
    <w:p w:rsidR="0026781F" w:rsidRPr="007045E6" w:rsidRDefault="0026781F" w:rsidP="007045E6">
      <w:pPr>
        <w:ind w:firstLine="709"/>
        <w:rPr>
          <w:i/>
          <w:iCs/>
          <w:lang w:eastAsia="en-US"/>
        </w:rPr>
      </w:pPr>
      <w:r w:rsidRPr="007045E6">
        <w:rPr>
          <w:i/>
          <w:iCs/>
          <w:lang w:eastAsia="en-US"/>
        </w:rPr>
        <w:t>Преимущества ПИФа</w:t>
      </w:r>
    </w:p>
    <w:p w:rsidR="007045E6" w:rsidRDefault="007A458E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Профессиональное управление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Средствами инвесторов в паевых фондах управляют профессиональные менеджеры, квалификация которых подтверждена аттестатами Федеральной службы по финансовым рынкам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ранее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Федеральная комиссия по рынку ценных бумаг</w:t>
      </w:r>
      <w:r w:rsidR="007045E6" w:rsidRPr="007045E6">
        <w:rPr>
          <w:lang w:eastAsia="en-US"/>
        </w:rPr>
        <w:t>).</w:t>
      </w:r>
    </w:p>
    <w:p w:rsidR="007045E6" w:rsidRDefault="007A458E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Диверсификация рисков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Профессиональный управляющий диверсифицирует инвестиции Фонда, что существенно уменьшает зависимость инвестиционного портфеля от падения цен на акции или облигации отдельных компаний</w:t>
      </w:r>
      <w:r w:rsidR="007045E6" w:rsidRPr="007045E6">
        <w:rPr>
          <w:lang w:eastAsia="en-US"/>
        </w:rPr>
        <w:t>.</w:t>
      </w:r>
    </w:p>
    <w:p w:rsidR="007045E6" w:rsidRDefault="007A458E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Многоуровневая система защиты инвестиций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Защита инвестиций в ПИФ обеспечивается следующими мероприятиями</w:t>
      </w:r>
      <w:r w:rsidR="007045E6" w:rsidRPr="007045E6">
        <w:rPr>
          <w:lang w:eastAsia="en-US"/>
        </w:rPr>
        <w:t>: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государственное лицензирование управляющей компании, специализированного депозитария, регистратора и аудитора Фонда;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аттестация специалистов управляющей компании, спецдепозитария и регистратора в ФКЦБ России;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разделение функций управления, хранения и учета имущества Фонда между независимыми структурами;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система ограничений деятельности управляющей компании Фонда, нацеленная на снижение инвестиционных рисков;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контроль за составом и структурой инвестиций Фонда; </w:t>
      </w:r>
    </w:p>
    <w:p w:rsidR="0026781F" w:rsidRPr="007045E6" w:rsidRDefault="0026781F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паевой инвестиционный фонд не может обанкротиться, так как не является юридическим лицом, а средства ПИФа не являются собственностью управляющей компании. Все имущество ПИФа делится на всех владельцев инвестиционных паев, что исключает возможность погашения инвестиционных паев одними пайщиками и потерю своих средств другими. </w:t>
      </w:r>
    </w:p>
    <w:p w:rsidR="007045E6" w:rsidRDefault="007A458E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Удобные условия инвестирования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открытом паевом фонде инвестор может приобретать и предъявить к погашению инвестиционные паи в любой удобный для него момент</w:t>
      </w:r>
      <w:r w:rsidR="007045E6" w:rsidRPr="007045E6">
        <w:rPr>
          <w:lang w:eastAsia="en-US"/>
        </w:rPr>
        <w:t>.</w:t>
      </w:r>
    </w:p>
    <w:p w:rsidR="007045E6" w:rsidRDefault="007A458E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Льготное налогообложение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Прирост имущества паевого фонда, в том числе в виде дивидендов и процентов, налогом на прибыль не облагается</w:t>
      </w:r>
      <w:r w:rsidR="007045E6" w:rsidRPr="007045E6">
        <w:rPr>
          <w:lang w:eastAsia="en-US"/>
        </w:rPr>
        <w:t>.</w:t>
      </w:r>
    </w:p>
    <w:p w:rsidR="007045E6" w:rsidRDefault="007A458E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Инвестиции на фондовом рынке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Паевые фонды дают возможность своим вкладчикам выйти на рынок с высоким потенциалом дохода, доступный лишь крупным инвесторам из-за относительно высоких издержек индивидуальной работы на рынке</w:t>
      </w:r>
      <w:r w:rsidR="007045E6" w:rsidRPr="007045E6">
        <w:rPr>
          <w:lang w:eastAsia="en-US"/>
        </w:rPr>
        <w:t>.</w:t>
      </w:r>
    </w:p>
    <w:p w:rsidR="007045E6" w:rsidRDefault="007A458E" w:rsidP="007045E6">
      <w:pPr>
        <w:ind w:firstLine="709"/>
        <w:rPr>
          <w:lang w:eastAsia="en-US"/>
        </w:rPr>
      </w:pPr>
      <w:r w:rsidRPr="007045E6">
        <w:rPr>
          <w:i/>
          <w:iCs/>
          <w:lang w:eastAsia="en-US"/>
        </w:rPr>
        <w:t>Информационная прозрачность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Управляющие компании паевых фондов обязаны регулярно публиковать и предоставлять всем желающим важную информацию о деятельности фондов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Информацию о стоимости чистых активов и стоимости инвестиционных паев крупнейших ПИФов можно найти на страницах газет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Коммерсант-Daily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>и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Ведомости</w:t>
      </w:r>
      <w:r w:rsidR="007045E6">
        <w:rPr>
          <w:lang w:eastAsia="en-US"/>
        </w:rPr>
        <w:t xml:space="preserve">", </w:t>
      </w:r>
      <w:r w:rsidRPr="007045E6">
        <w:rPr>
          <w:lang w:eastAsia="en-US"/>
        </w:rPr>
        <w:t>а также на сервере Центра коллективных инвестиций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Естественно, информационная прозрачность Фонда не касается данных о конкретных инвесторах и их вкладах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такая информация может быть предоставлена только им, и вопросу сохранения тайны относительно такой информации уделяется большое внимание</w:t>
      </w:r>
      <w:r w:rsidR="007045E6" w:rsidRPr="007045E6">
        <w:rPr>
          <w:lang w:eastAsia="en-US"/>
        </w:rPr>
        <w:t>.</w:t>
      </w:r>
    </w:p>
    <w:p w:rsidR="00B43FBD" w:rsidRDefault="00B43FBD" w:rsidP="007045E6">
      <w:pPr>
        <w:ind w:firstLine="709"/>
        <w:rPr>
          <w:lang w:eastAsia="en-US"/>
        </w:rPr>
      </w:pPr>
    </w:p>
    <w:p w:rsidR="00250289" w:rsidRPr="007045E6" w:rsidRDefault="007045E6" w:rsidP="0026781F">
      <w:pPr>
        <w:pStyle w:val="2"/>
      </w:pPr>
      <w:bookmarkStart w:id="19" w:name="_Toc248112691"/>
      <w:bookmarkStart w:id="20" w:name="_Toc273269125"/>
      <w:r>
        <w:t xml:space="preserve">1.2 </w:t>
      </w:r>
      <w:r w:rsidR="00250289" w:rsidRPr="007045E6">
        <w:t>Сходства и различия российских и американских фондов</w:t>
      </w:r>
      <w:bookmarkEnd w:id="19"/>
      <w:bookmarkEnd w:id="20"/>
    </w:p>
    <w:p w:rsidR="0026781F" w:rsidRDefault="0026781F" w:rsidP="007045E6">
      <w:pPr>
        <w:ind w:firstLine="709"/>
        <w:rPr>
          <w:lang w:eastAsia="en-US"/>
        </w:rPr>
      </w:pP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Основные принципы работы американских фондов и российских </w:t>
      </w:r>
      <w:r w:rsidRPr="00BE7EA2">
        <w:rPr>
          <w:lang w:eastAsia="en-US"/>
        </w:rPr>
        <w:t>ПИФов</w:t>
      </w:r>
      <w:r w:rsidRPr="007045E6">
        <w:rPr>
          <w:lang w:eastAsia="en-US"/>
        </w:rPr>
        <w:t xml:space="preserve"> очень похожи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Все они аккумулируют </w:t>
      </w:r>
      <w:r w:rsidRPr="00BE7EA2">
        <w:rPr>
          <w:lang w:eastAsia="en-US"/>
        </w:rPr>
        <w:t>деньги</w:t>
      </w:r>
      <w:r w:rsidRPr="007045E6">
        <w:rPr>
          <w:lang w:eastAsia="en-US"/>
        </w:rPr>
        <w:t xml:space="preserve"> клиентов, продавая им свои доли, акции или паи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Собранные средства размещаются на финансовом рынке с целью прироста общих активов и увеличения стоимости вложений каждого участника фонда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Доход от таких вложений инвесторы получают после продажи подорожавших долей, а в отдельных случаях и в форме дивидендов на акции фонда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Какие же существуют </w:t>
      </w:r>
      <w:r w:rsidRPr="007045E6">
        <w:rPr>
          <w:rStyle w:val="a8"/>
          <w:b w:val="0"/>
          <w:bCs w:val="0"/>
          <w:color w:val="000000"/>
          <w:lang w:eastAsia="en-US"/>
        </w:rPr>
        <w:t>виды инвестиционных фондов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Самое широкое распространение получили в США открытые акционерные инвестиционные компании более известные как </w:t>
      </w:r>
      <w:r w:rsidRPr="007045E6">
        <w:rPr>
          <w:rStyle w:val="a8"/>
          <w:b w:val="0"/>
          <w:bCs w:val="0"/>
          <w:color w:val="000000"/>
          <w:lang w:eastAsia="en-US"/>
        </w:rPr>
        <w:t>взаимные фонды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open-end companies или mutual funds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). </w:t>
      </w:r>
      <w:r w:rsidRPr="007045E6">
        <w:rPr>
          <w:lang w:eastAsia="en-US"/>
        </w:rPr>
        <w:t>По данным американской национальной ассоциации инвестиционных компаний Investment Company Institute, к концу октября 2004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в США работали 8088 взаимных фондов, </w:t>
      </w:r>
      <w:r w:rsidR="007045E6">
        <w:rPr>
          <w:lang w:eastAsia="en-US"/>
        </w:rPr>
        <w:t>т.е.</w:t>
      </w:r>
      <w:r w:rsidR="007045E6" w:rsidRPr="007045E6">
        <w:rPr>
          <w:lang w:eastAsia="en-US"/>
        </w:rPr>
        <w:t xml:space="preserve"> </w:t>
      </w:r>
      <w:r w:rsidRPr="007045E6">
        <w:rPr>
          <w:lang w:eastAsia="en-US"/>
        </w:rPr>
        <w:t>около 90% общего числа инвестфондов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BE7EA2">
        <w:rPr>
          <w:rStyle w:val="a8"/>
          <w:b w:val="0"/>
          <w:bCs w:val="0"/>
          <w:color w:val="000000"/>
          <w:lang w:eastAsia="en-US"/>
        </w:rPr>
        <w:t>Взаимные фонды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 xml:space="preserve">близнецы наших </w:t>
      </w:r>
      <w:r w:rsidRPr="00BE7EA2">
        <w:rPr>
          <w:lang w:eastAsia="en-US"/>
        </w:rPr>
        <w:t>открытых ПИФов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Цена их долей рассчитывается ежедневно исходя из общей стоимости чистых активов фонда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А у инвесторов есть возможность в любой день купить эти доли или продать их фонду по установленной цене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Операции с долями этих фондов проводят и брокеры-агенты, а вот на биржах они не обращаются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Чаще всего взаимные фонды устанавливают для частных клиентов весьма умеренную стартовую сумму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в среднем $1000-5000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>Как правило, они создаются на неопределенный срок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Но в отличие от российских аналогов взаимные фонды имеют право отказаться от новых средств инвесторов и продолжать управление уже имеющимися активами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Обычно фонд перестает принимать средства в том случае, если его активы увеличиваются настолько, что </w:t>
      </w:r>
      <w:r w:rsidR="003630F7" w:rsidRPr="007045E6">
        <w:rPr>
          <w:lang w:eastAsia="en-US"/>
        </w:rPr>
        <w:t>управлять ими становится сложно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Так, в начале декабря 2004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компания Vanguard объявила о закрытии для новых инвесторов фонда Vanguard Energy в связи с удвоением активов за последний год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Как и в России, в США действуют </w:t>
      </w:r>
      <w:r w:rsidRPr="007045E6">
        <w:rPr>
          <w:rStyle w:val="a8"/>
          <w:b w:val="0"/>
          <w:bCs w:val="0"/>
          <w:color w:val="000000"/>
          <w:lang w:eastAsia="en-US"/>
        </w:rPr>
        <w:t>закрытые паевые фонды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closed-end funds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). </w:t>
      </w:r>
      <w:r w:rsidRPr="007045E6">
        <w:rPr>
          <w:lang w:eastAsia="en-US"/>
        </w:rPr>
        <w:t>Но американские ЗПИФы создаются на неопределенный срок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При их формировании выпускается ограниченное число долей, которые чаще всего выкупаются крупными инвесторами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Затем часть долей поступает во вторичное обращение на биржевые площадки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Только здесь их могут купить или продать мелкие частные инвесторы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отличие от взаимных фондов цена долей закрытых фондов определяется исключительно спросом и предложением и потому не отслеживает реальное изменение стоимости их активов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Обычно инвесторы покупают стандартные биржевые лоты по 100 долей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Поскольку сейчас биржевая стоимость долей таких фондов составляет в среднем $3-40, вложить в них можно всего $300-4000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>У американских закрытых фондов есть особая разновидность</w:t>
      </w:r>
      <w:r w:rsidR="007045E6" w:rsidRPr="007045E6">
        <w:rPr>
          <w:lang w:eastAsia="en-US"/>
        </w:rPr>
        <w:t xml:space="preserve"> - </w:t>
      </w:r>
      <w:r w:rsidRPr="007045E6">
        <w:rPr>
          <w:rStyle w:val="a8"/>
          <w:b w:val="0"/>
          <w:bCs w:val="0"/>
          <w:color w:val="000000"/>
          <w:lang w:eastAsia="en-US"/>
        </w:rPr>
        <w:t>биржевые фонды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еxchange-traded funds, или ETF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). </w:t>
      </w:r>
      <w:r w:rsidRPr="007045E6">
        <w:rPr>
          <w:lang w:eastAsia="en-US"/>
        </w:rPr>
        <w:t>Они появились лишь в 90-х гг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XX 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отличие от традиционных закрытых фондов ETF могут выпускать новые акции и выкупать у инвесторов старые, но только очень крупными пакетами, обычно не меньше 50 000 паев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Поэтому </w:t>
      </w:r>
      <w:r w:rsidRPr="00BE7EA2">
        <w:rPr>
          <w:lang w:eastAsia="en-US"/>
        </w:rPr>
        <w:t>купить или продать акции</w:t>
      </w:r>
      <w:r w:rsidRPr="007045E6">
        <w:rPr>
          <w:lang w:eastAsia="en-US"/>
        </w:rPr>
        <w:t xml:space="preserve"> непосредственно в фонде под силу только очень состоятельным частным клиентам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Сделать небольшие вложения в фонд можно через биржу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>Конечно, инвесторам не стоит думать, что каждый фонд использует весь спектр имеющихся в США финансовых инструментов для размещения средств своих клиентов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Большинство из них специализируются на определенных классах активов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Одни позиционируются как фонды акций, другие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облигаций, третьи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денежного рынка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Очень популярны у инвесторов так называемые </w:t>
      </w:r>
      <w:r w:rsidRPr="007045E6">
        <w:rPr>
          <w:rStyle w:val="a8"/>
          <w:b w:val="0"/>
          <w:bCs w:val="0"/>
          <w:color w:val="000000"/>
          <w:lang w:eastAsia="en-US"/>
        </w:rPr>
        <w:t>индексные фонды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Они </w:t>
      </w:r>
      <w:r w:rsidRPr="00BE7EA2">
        <w:rPr>
          <w:lang w:eastAsia="en-US"/>
        </w:rPr>
        <w:t>вкладывают средства в ценные бумаги</w:t>
      </w:r>
      <w:r w:rsidRPr="007045E6">
        <w:rPr>
          <w:lang w:eastAsia="en-US"/>
        </w:rPr>
        <w:t xml:space="preserve"> компаний, входящих в расчет одного из фондовых индексов в установленной пропорции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Например, взаимный фонд Vanguard 500 и закрытый iShares S&amp;P 500 Index Fund размещают активы в соответствии со структурой индекса Standard &amp; Poor's 500, который считается наиболее популярным среди фондов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>Но фонды могут иметь и отраслевую ориентацию, например инвестировать активы преимущественно в акции фармацевтических корпораций или компаний, занимающихся недвижимостью</w:t>
      </w:r>
      <w:r w:rsidR="007045E6">
        <w:rPr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инвестиционный фонд недвижимости</w:t>
      </w:r>
      <w:r w:rsidR="007045E6" w:rsidRPr="007045E6">
        <w:rPr>
          <w:lang w:eastAsia="en-US"/>
        </w:rPr>
        <w:t>).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>От активов, на которые ориентируется конкретный фонд, во многом зависят будущие прибыли или убытки его участников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Самыми малодоходными, но наиболее надежными считаются </w:t>
      </w:r>
      <w:r w:rsidRPr="007045E6">
        <w:rPr>
          <w:rStyle w:val="a8"/>
          <w:b w:val="0"/>
          <w:bCs w:val="0"/>
          <w:color w:val="000000"/>
          <w:lang w:eastAsia="en-US"/>
        </w:rPr>
        <w:t>фонды денежного рынка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money market funds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). </w:t>
      </w:r>
      <w:r w:rsidRPr="007045E6">
        <w:rPr>
          <w:lang w:eastAsia="en-US"/>
        </w:rPr>
        <w:t>Они гарантируют инвестору почти 100</w:t>
      </w:r>
      <w:r w:rsidR="007045E6">
        <w:rPr>
          <w:lang w:eastAsia="en-US"/>
        </w:rPr>
        <w:t>% -</w:t>
      </w:r>
      <w:r w:rsidRPr="007045E6">
        <w:rPr>
          <w:lang w:eastAsia="en-US"/>
        </w:rPr>
        <w:t>ную сохранность капитала, поскольку инвестируют средства в ультракраткосрочные векселя, казначейские обязательства, ноты, выпускаемые государством, штатами или компаниями и банками с наивысшим кредитным рейтингом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Но средняя доходность фондов денежного рынка составляет не более 1,5-2% годовых в валюте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Более доходны </w:t>
      </w:r>
      <w:r w:rsidRPr="007045E6">
        <w:rPr>
          <w:rStyle w:val="a8"/>
          <w:b w:val="0"/>
          <w:bCs w:val="0"/>
          <w:color w:val="000000"/>
          <w:lang w:eastAsia="en-US"/>
        </w:rPr>
        <w:t>фонды облигаций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bond funds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). </w:t>
      </w:r>
      <w:r w:rsidRPr="007045E6">
        <w:rPr>
          <w:lang w:eastAsia="en-US"/>
        </w:rPr>
        <w:t>Но чем ниже кредитный рейтинг бумаг, включенных в портфель фонда и длиннее срок их обращения, тем более рисковым является фонд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Самыми надежными считаются фонды гособлигаций, их средняя доходность в этом году составила около 0,2-3% годовых, а самыми рисковыми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фонды высокодоходных “мусорных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>облигаций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примерно 5,5-13% годовых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>Наиболее доходные и одновременно рисковые</w:t>
      </w:r>
      <w:r w:rsidR="007045E6" w:rsidRPr="007045E6">
        <w:rPr>
          <w:lang w:eastAsia="en-US"/>
        </w:rPr>
        <w:t xml:space="preserve"> - </w:t>
      </w:r>
      <w:r w:rsidRPr="007045E6">
        <w:rPr>
          <w:rStyle w:val="a8"/>
          <w:b w:val="0"/>
          <w:bCs w:val="0"/>
          <w:color w:val="000000"/>
          <w:lang w:eastAsia="en-US"/>
        </w:rPr>
        <w:t>фонды акций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 итогам 11 месяцев их доходность в зависимости от типа фонда составила от 5-8% до 25-27% годовых</w:t>
      </w:r>
      <w:r w:rsidR="007045E6" w:rsidRPr="007045E6">
        <w:rPr>
          <w:lang w:eastAsia="en-US"/>
        </w:rPr>
        <w:t>.</w:t>
      </w:r>
    </w:p>
    <w:p w:rsidR="007045E6" w:rsidRDefault="00250289" w:rsidP="007045E6">
      <w:pPr>
        <w:ind w:firstLine="709"/>
        <w:rPr>
          <w:lang w:eastAsia="en-US"/>
        </w:rPr>
      </w:pPr>
      <w:r w:rsidRPr="007045E6">
        <w:rPr>
          <w:lang w:eastAsia="en-US"/>
        </w:rPr>
        <w:t>Фонды по-разному выбирают акции для своего портфеля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Так называемые </w:t>
      </w:r>
      <w:r w:rsidRPr="007045E6">
        <w:rPr>
          <w:rStyle w:val="a8"/>
          <w:b w:val="0"/>
          <w:bCs w:val="0"/>
          <w:color w:val="000000"/>
          <w:lang w:eastAsia="en-US"/>
        </w:rPr>
        <w:t>фонды стоимости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value funds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 </w:t>
      </w:r>
      <w:r w:rsidRPr="007045E6">
        <w:rPr>
          <w:lang w:eastAsia="en-US"/>
        </w:rPr>
        <w:t>вкладывают средства преимущественно в акции компаний, выплачивающих высокие дивиденды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Например, General Electric или Wal-Mart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В портфеле </w:t>
      </w:r>
      <w:r w:rsidRPr="007045E6">
        <w:rPr>
          <w:rStyle w:val="a8"/>
          <w:b w:val="0"/>
          <w:bCs w:val="0"/>
          <w:color w:val="000000"/>
          <w:lang w:eastAsia="en-US"/>
        </w:rPr>
        <w:t>фондов роста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growth funds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 </w:t>
      </w:r>
      <w:r w:rsidRPr="007045E6">
        <w:rPr>
          <w:lang w:eastAsia="en-US"/>
        </w:rPr>
        <w:t>основную долю занимают акции, которые растут в цене быстрее, чем их конкуренты или рынок в целом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Например, бумаги крупнейшего американского интернет-магазина eBay или телекоммуникационной компании Gkom</w:t>
      </w:r>
      <w:r w:rsidR="007045E6" w:rsidRPr="007045E6">
        <w:rPr>
          <w:lang w:eastAsia="en-US"/>
        </w:rPr>
        <w:t xml:space="preserve">. </w:t>
      </w:r>
      <w:r w:rsidRPr="007045E6">
        <w:rPr>
          <w:rStyle w:val="a8"/>
          <w:b w:val="0"/>
          <w:bCs w:val="0"/>
          <w:color w:val="000000"/>
          <w:lang w:eastAsia="en-US"/>
        </w:rPr>
        <w:t>Смешанные фонды</w:t>
      </w:r>
      <w:r w:rsidR="007045E6">
        <w:rPr>
          <w:rStyle w:val="a8"/>
          <w:b w:val="0"/>
          <w:bCs w:val="0"/>
          <w:color w:val="000000"/>
          <w:lang w:eastAsia="en-US"/>
        </w:rPr>
        <w:t xml:space="preserve"> (</w:t>
      </w:r>
      <w:r w:rsidRPr="007045E6">
        <w:rPr>
          <w:rStyle w:val="a8"/>
          <w:b w:val="0"/>
          <w:bCs w:val="0"/>
          <w:color w:val="000000"/>
          <w:lang w:eastAsia="en-US"/>
        </w:rPr>
        <w:t>blend funds</w:t>
      </w:r>
      <w:r w:rsidR="007045E6" w:rsidRPr="007045E6">
        <w:rPr>
          <w:rStyle w:val="a8"/>
          <w:b w:val="0"/>
          <w:bCs w:val="0"/>
          <w:color w:val="000000"/>
          <w:lang w:eastAsia="en-US"/>
        </w:rPr>
        <w:t xml:space="preserve">) </w:t>
      </w:r>
      <w:r w:rsidRPr="007045E6">
        <w:rPr>
          <w:lang w:eastAsia="en-US"/>
        </w:rPr>
        <w:t>вкладывают средства в акции обоих типов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Обычно фонды роста считаются более рисковыми</w:t>
      </w:r>
      <w:r w:rsidR="007045E6" w:rsidRPr="007045E6">
        <w:rPr>
          <w:lang w:eastAsia="en-US"/>
        </w:rPr>
        <w:t>.</w:t>
      </w:r>
    </w:p>
    <w:p w:rsidR="0026781F" w:rsidRDefault="00974C23" w:rsidP="0026781F">
      <w:pPr>
        <w:pStyle w:val="2"/>
      </w:pPr>
      <w:r w:rsidRPr="007045E6">
        <w:br w:type="page"/>
      </w:r>
      <w:bookmarkStart w:id="21" w:name="_Toc273269126"/>
      <w:bookmarkStart w:id="22" w:name="_Toc248112692"/>
      <w:r w:rsidRPr="007045E6">
        <w:t>Глава 2</w:t>
      </w:r>
      <w:r w:rsidR="007045E6" w:rsidRPr="007045E6">
        <w:t xml:space="preserve">. </w:t>
      </w:r>
      <w:r w:rsidR="00250289" w:rsidRPr="007045E6">
        <w:t>Анализ рынка коллективных инвестиций и деятельности</w:t>
      </w:r>
      <w:bookmarkEnd w:id="21"/>
      <w:r w:rsidR="00250289" w:rsidRPr="007045E6">
        <w:t xml:space="preserve"> </w:t>
      </w:r>
    </w:p>
    <w:p w:rsidR="00974C23" w:rsidRPr="007045E6" w:rsidRDefault="00250289" w:rsidP="0026781F">
      <w:pPr>
        <w:pStyle w:val="2"/>
      </w:pPr>
      <w:bookmarkStart w:id="23" w:name="_Toc273269127"/>
      <w:r w:rsidRPr="007045E6">
        <w:t>ПИФов</w:t>
      </w:r>
      <w:bookmarkEnd w:id="22"/>
      <w:bookmarkEnd w:id="23"/>
    </w:p>
    <w:p w:rsidR="0026781F" w:rsidRDefault="0026781F" w:rsidP="0026781F">
      <w:pPr>
        <w:pStyle w:val="2"/>
      </w:pPr>
      <w:bookmarkStart w:id="24" w:name="_Toc248112693"/>
    </w:p>
    <w:p w:rsidR="00315992" w:rsidRDefault="007045E6" w:rsidP="0026781F">
      <w:pPr>
        <w:pStyle w:val="2"/>
      </w:pPr>
      <w:bookmarkStart w:id="25" w:name="_Toc273269128"/>
      <w:r>
        <w:t xml:space="preserve">2.1 </w:t>
      </w:r>
      <w:r w:rsidR="00315992" w:rsidRPr="007045E6">
        <w:t>Развитие рынка коллективных инвестиций в России</w:t>
      </w:r>
      <w:bookmarkEnd w:id="24"/>
      <w:bookmarkEnd w:id="25"/>
    </w:p>
    <w:p w:rsidR="0026781F" w:rsidRPr="0026781F" w:rsidRDefault="0026781F" w:rsidP="0026781F">
      <w:pPr>
        <w:ind w:firstLine="709"/>
        <w:rPr>
          <w:lang w:eastAsia="en-US"/>
        </w:rPr>
      </w:pPr>
    </w:p>
    <w:p w:rsidR="007045E6" w:rsidRDefault="00623B43" w:rsidP="007045E6">
      <w:pPr>
        <w:ind w:firstLine="709"/>
        <w:rPr>
          <w:lang w:eastAsia="en-US"/>
        </w:rPr>
      </w:pPr>
      <w:r w:rsidRPr="007045E6">
        <w:rPr>
          <w:lang w:eastAsia="en-US"/>
        </w:rPr>
        <w:t>Перспективы коллективного инвестирования зависят в целом от макроэкономической ситуации в стране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то же время успех модернизации российской экономики во многом зависит от способности создать условия, когда миллиардные накопления граждан, в большинстве своем по-прежнему лежащие в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матрасах</w:t>
      </w:r>
      <w:r w:rsidR="007045E6">
        <w:rPr>
          <w:lang w:eastAsia="en-US"/>
        </w:rPr>
        <w:t xml:space="preserve">", </w:t>
      </w:r>
      <w:r w:rsidRPr="007045E6">
        <w:rPr>
          <w:lang w:eastAsia="en-US"/>
        </w:rPr>
        <w:t>с помощью финансовых посредников будут легко переходить из наличной формы сбережений в долгосрочные инвестиции</w:t>
      </w:r>
      <w:r w:rsidR="007045E6">
        <w:rPr>
          <w:lang w:eastAsia="en-US"/>
        </w:rPr>
        <w:t>.</w:t>
      </w:r>
    </w:p>
    <w:p w:rsidR="007045E6" w:rsidRDefault="00623B43" w:rsidP="007045E6">
      <w:pPr>
        <w:ind w:firstLine="709"/>
        <w:rPr>
          <w:lang w:eastAsia="en-US"/>
        </w:rPr>
      </w:pPr>
      <w:r w:rsidRPr="007045E6">
        <w:rPr>
          <w:lang w:eastAsia="en-US"/>
        </w:rPr>
        <w:t>Стимулирующими факторами здесь являются повышение доверия населения и институциональных инвесторов, а также деятельность правительства в данном направлении</w:t>
      </w:r>
      <w:r w:rsidR="007045E6" w:rsidRPr="007045E6">
        <w:rPr>
          <w:lang w:eastAsia="en-US"/>
        </w:rPr>
        <w:t>.</w:t>
      </w: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В течение 2001-2004 годов в России складывалась в целом благоприятная макроэкономическая ситуация для развития финансового рынка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Динамика прироста ВВП в 2003-04 гг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повысилась до уровня свыше 7%, что свидетельствовало о сохранении общего экономического роста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 xml:space="preserve">4,7%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в 2002, 7,3%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в 2003, 7,1%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в 2004 </w:t>
      </w:r>
      <w:r w:rsidR="007045E6">
        <w:rPr>
          <w:lang w:eastAsia="en-US"/>
        </w:rPr>
        <w:t>гг.)</w:t>
      </w:r>
      <w:r w:rsidR="007045E6" w:rsidRPr="007045E6">
        <w:rPr>
          <w:lang w:eastAsia="en-US"/>
        </w:rPr>
        <w:t>.</w:t>
      </w: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Общее количество зарегистрированных ПИФов за указанное время выросло более чем в 5,5 раз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с 50 на конец 2001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до 283 в 2004 г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при этом количество работающих фондов увеличилось в 6 раз до 273 на конец 2004 г</w:t>
      </w:r>
      <w:r w:rsidR="007045E6" w:rsidRPr="007045E6">
        <w:rPr>
          <w:lang w:eastAsia="en-US"/>
        </w:rPr>
        <w:t>.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45 в 2001 г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Схожими в целом темпами выросло и количество управляющих компаний на рынке</w:t>
      </w:r>
      <w:r w:rsidR="007045E6" w:rsidRPr="007045E6">
        <w:rPr>
          <w:lang w:eastAsia="en-US"/>
        </w:rPr>
        <w:t xml:space="preserve">: </w:t>
      </w:r>
      <w:r w:rsidRPr="007045E6">
        <w:rPr>
          <w:lang w:eastAsia="en-US"/>
        </w:rPr>
        <w:t>в 4,2 раза до 177 в 2004 г</w:t>
      </w:r>
      <w:r w:rsidR="007045E6" w:rsidRPr="007045E6">
        <w:rPr>
          <w:lang w:eastAsia="en-US"/>
        </w:rPr>
        <w:t>.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 xml:space="preserve">42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на конец 2001 г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в том числе число компаний, обладающих работающими ПИФами, увеличилось в 3,7 раза до 103 в 2004 г</w:t>
      </w:r>
      <w:r w:rsidR="007045E6" w:rsidRPr="007045E6">
        <w:rPr>
          <w:lang w:eastAsia="en-US"/>
        </w:rPr>
        <w:t>.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 xml:space="preserve">28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на конец 2001 г</w:t>
      </w:r>
      <w:r w:rsidR="007045E6" w:rsidRPr="007045E6">
        <w:rPr>
          <w:lang w:eastAsia="en-US"/>
        </w:rPr>
        <w:t>).</w:t>
      </w:r>
    </w:p>
    <w:p w:rsidR="00391637" w:rsidRDefault="00391637" w:rsidP="007045E6">
      <w:pPr>
        <w:ind w:firstLine="709"/>
        <w:rPr>
          <w:lang w:eastAsia="en-US"/>
        </w:rPr>
      </w:pPr>
    </w:p>
    <w:p w:rsidR="00BA168B" w:rsidRPr="007045E6" w:rsidRDefault="00B305C5" w:rsidP="007045E6">
      <w:pPr>
        <w:ind w:firstLine="709"/>
        <w:rPr>
          <w:lang w:eastAsia="en-US"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5pt;height:153pt">
            <v:imagedata r:id="rId7" o:title=""/>
          </v:shape>
        </w:pict>
      </w:r>
    </w:p>
    <w:p w:rsidR="007045E6" w:rsidRDefault="007045E6" w:rsidP="007045E6">
      <w:pPr>
        <w:ind w:firstLine="709"/>
        <w:rPr>
          <w:lang w:eastAsia="en-US"/>
        </w:rPr>
      </w:pPr>
      <w:r>
        <w:rPr>
          <w:lang w:eastAsia="en-US"/>
        </w:rPr>
        <w:t>Рис.1</w:t>
      </w:r>
      <w:r w:rsidRPr="007045E6">
        <w:rPr>
          <w:lang w:eastAsia="en-US"/>
        </w:rPr>
        <w:t xml:space="preserve">. </w:t>
      </w:r>
      <w:r w:rsidR="00875BD6" w:rsidRPr="007045E6">
        <w:rPr>
          <w:lang w:eastAsia="en-US"/>
        </w:rPr>
        <w:t>Основные показатели рынка коллективных инвестиций России в 2001-2004 гг</w:t>
      </w:r>
      <w:r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Помимо показателей институциональной структуры, подтверждением активного развития рынка ПИФов также является кратный рост стоимости чистых активов фондов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СЧА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Всего за период 2002-2004 гг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общая СЧА ПИФов выросла более чем в 12 раз</w:t>
      </w:r>
      <w:r w:rsidR="007045E6" w:rsidRPr="007045E6">
        <w:rPr>
          <w:lang w:eastAsia="en-US"/>
        </w:rPr>
        <w:t>.</w:t>
      </w:r>
      <w:r w:rsidR="00391637">
        <w:rPr>
          <w:lang w:eastAsia="en-US"/>
        </w:rPr>
        <w:t xml:space="preserve"> </w:t>
      </w:r>
      <w:r w:rsidRPr="007045E6">
        <w:rPr>
          <w:lang w:eastAsia="en-US"/>
        </w:rPr>
        <w:t>При этом наиболее активная фаза роста пришлась на 2003 г</w:t>
      </w:r>
      <w:r w:rsidR="007045E6" w:rsidRPr="007045E6">
        <w:rPr>
          <w:lang w:eastAsia="en-US"/>
        </w:rPr>
        <w:t>.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объем СЧА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стоимости чистых активов фондов</w:t>
      </w:r>
      <w:r w:rsidR="007045E6" w:rsidRPr="007045E6">
        <w:rPr>
          <w:lang w:eastAsia="en-US"/>
        </w:rPr>
        <w:t xml:space="preserve">) </w:t>
      </w:r>
      <w:r w:rsidRPr="007045E6">
        <w:rPr>
          <w:lang w:eastAsia="en-US"/>
        </w:rPr>
        <w:t>увеличился в 5,5 раз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А с начала 2004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наблюдается замедление годовых темпов прироста СЧА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см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рисунок ниже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На 31 декабря 2004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стоимость чистых активов фондов, по данным Национальной лиги управляющих, составила 109,6 млрд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руб</w:t>
      </w:r>
      <w:r w:rsidR="007045E6" w:rsidRPr="007045E6">
        <w:rPr>
          <w:lang w:eastAsia="en-US"/>
        </w:rPr>
        <w:t>.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$3,95 млрд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увеличившись с начала года на 42% в рублевом выражении</w:t>
      </w:r>
      <w:r w:rsid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BA168B" w:rsidRPr="007045E6" w:rsidRDefault="00B305C5" w:rsidP="007045E6">
      <w:pPr>
        <w:ind w:firstLine="709"/>
        <w:rPr>
          <w:lang w:eastAsia="en-US"/>
        </w:rPr>
      </w:pPr>
      <w:r>
        <w:rPr>
          <w:lang w:eastAsia="en-US"/>
        </w:rPr>
        <w:pict>
          <v:shape id="_x0000_i1026" type="#_x0000_t75" style="width:222.75pt;height:134.25pt">
            <v:imagedata r:id="rId8" o:title=""/>
          </v:shape>
        </w:pict>
      </w:r>
    </w:p>
    <w:p w:rsidR="007045E6" w:rsidRDefault="007045E6" w:rsidP="007045E6">
      <w:pPr>
        <w:ind w:firstLine="709"/>
        <w:rPr>
          <w:lang w:eastAsia="en-US"/>
        </w:rPr>
      </w:pPr>
      <w:r>
        <w:rPr>
          <w:lang w:eastAsia="en-US"/>
        </w:rPr>
        <w:t>Рис.2</w:t>
      </w:r>
      <w:r w:rsidRPr="007045E6">
        <w:rPr>
          <w:lang w:eastAsia="en-US"/>
        </w:rPr>
        <w:t xml:space="preserve">. </w:t>
      </w:r>
      <w:r w:rsidR="00E655A6" w:rsidRPr="007045E6">
        <w:rPr>
          <w:lang w:eastAsia="en-US"/>
        </w:rPr>
        <w:t>Динамика стоимости активов ПИФов в 2001-2004 гг</w:t>
      </w:r>
      <w:r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В структуре рынка ПИФов по временному типу инвестирования наиболее динамичный рост показали закрытые фонды, доля которых всего за первый год их работы увеличилась до 67,8%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52,4 млрд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руб</w:t>
      </w:r>
      <w:r w:rsidR="007045E6" w:rsidRPr="007045E6">
        <w:rPr>
          <w:lang w:eastAsia="en-US"/>
        </w:rPr>
        <w:t xml:space="preserve">.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на конец 2003 г</w:t>
      </w:r>
      <w:r w:rsidR="007045E6" w:rsidRPr="007045E6">
        <w:rPr>
          <w:lang w:eastAsia="en-US"/>
        </w:rPr>
        <w:t xml:space="preserve">) </w:t>
      </w:r>
      <w:r w:rsidRPr="007045E6">
        <w:rPr>
          <w:lang w:eastAsia="en-US"/>
        </w:rPr>
        <w:t>в совокупной СЧА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При этом в 2004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их доля на рынке несколько сократилась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до 65,9%, а темпы прироста СЧА составили 37,9%</w:t>
      </w:r>
      <w:r w:rsidR="007045E6" w:rsidRPr="007045E6">
        <w:rPr>
          <w:lang w:eastAsia="en-US"/>
        </w:rPr>
        <w:t>.</w:t>
      </w: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Изначально на рынке доминировали интервальные ПИФы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Так, на конец 2001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их доля, согласно экспертным оценкам, в общем объеме СЧА составляла почти 88%, однако уже в 2002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упала до 82%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После начала работы закрытых ПИФов по итогам 2003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доля интервальных сократилась до 22%, а в 2004 г</w:t>
      </w:r>
      <w:r w:rsidR="007045E6" w:rsidRPr="007045E6">
        <w:rPr>
          <w:lang w:eastAsia="en-US"/>
        </w:rPr>
        <w:t xml:space="preserve">.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до 20,7%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 этом фоне в 2004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наблюдался активный рост открытых ПИФов, доля которых увеличилась до 13,4%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 xml:space="preserve">10,2%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в 2003 г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притом, что их СЧА выросла на 86,5%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Последнее свидетельствует о более динамичном развитии розничного направления на рынке в условиях сохранения на стабильном уровне роста доходов населения и по-прежнему остающейся колоссальной массы средств на руках у граждан</w:t>
      </w:r>
      <w:r w:rsidR="007045E6" w:rsidRPr="007045E6">
        <w:rPr>
          <w:lang w:eastAsia="en-US"/>
        </w:rPr>
        <w:t>.</w:t>
      </w: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Уже к концу 2007 года российский рынок доверительного управления активами аккумулировал порядка </w:t>
      </w:r>
      <w:r w:rsidR="007045E6">
        <w:rPr>
          <w:lang w:eastAsia="en-US"/>
        </w:rPr>
        <w:t>1.8</w:t>
      </w:r>
      <w:r w:rsidRPr="007045E6">
        <w:rPr>
          <w:lang w:eastAsia="en-US"/>
        </w:rPr>
        <w:t xml:space="preserve"> трлн рублей в виде средств мелких вкладчиков паевых инвестиционных фондов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ПИФ, резервов НПФ, ПФР, страховых компаний, а также крупных индивидуальных и корпоративных инвесторов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Эти средства находились под управлением 256 управляющих компаний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УК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При этом сегмент коллективных инвестиций стал крупнейшим в структуре рынка управления активами, составив 37,5% в денежном выражении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основе механизма коллективного инвестирования в РФ лежит институт паевого инвестиционного фонда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ПИФ</w:t>
      </w:r>
      <w:r w:rsidR="007045E6" w:rsidRPr="007045E6">
        <w:rPr>
          <w:lang w:eastAsia="en-US"/>
        </w:rPr>
        <w:t>).</w:t>
      </w:r>
    </w:p>
    <w:p w:rsidR="00B43FBD" w:rsidRDefault="00B43FBD" w:rsidP="007045E6">
      <w:pPr>
        <w:ind w:firstLine="709"/>
        <w:rPr>
          <w:lang w:eastAsia="en-US"/>
        </w:rPr>
      </w:pPr>
    </w:p>
    <w:p w:rsidR="00391637" w:rsidRDefault="00B305C5" w:rsidP="007045E6">
      <w:pPr>
        <w:ind w:firstLine="709"/>
        <w:rPr>
          <w:lang w:eastAsia="en-US"/>
        </w:rPr>
      </w:pPr>
      <w:r>
        <w:rPr>
          <w:lang w:eastAsia="en-US"/>
        </w:rPr>
        <w:pict>
          <v:shape id="_x0000_i1027" type="#_x0000_t75" style="width:191.25pt;height:231pt">
            <v:imagedata r:id="rId9" o:title=""/>
          </v:shape>
        </w:pict>
      </w:r>
    </w:p>
    <w:p w:rsidR="007045E6" w:rsidRDefault="007045E6" w:rsidP="007045E6">
      <w:pPr>
        <w:ind w:firstLine="709"/>
        <w:rPr>
          <w:lang w:eastAsia="en-US"/>
        </w:rPr>
      </w:pPr>
      <w:r>
        <w:rPr>
          <w:lang w:eastAsia="en-US"/>
        </w:rPr>
        <w:t>Рис.3</w:t>
      </w:r>
      <w:r w:rsidRPr="007045E6">
        <w:rPr>
          <w:lang w:eastAsia="en-US"/>
        </w:rPr>
        <w:t xml:space="preserve">. </w:t>
      </w:r>
      <w:r w:rsidR="00E94EC1" w:rsidRPr="007045E6">
        <w:rPr>
          <w:lang w:eastAsia="en-US"/>
        </w:rPr>
        <w:t>Структура рынка коллективных инвестиций на конец 2007 г</w:t>
      </w:r>
      <w:r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Развитие российской экономики и рост благосостояния граждан обусловили внушительный рост сектора коллективных инвестиций в последние годы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Наблюдается рост всех размерных показателей</w:t>
      </w:r>
      <w:r w:rsidR="007045E6" w:rsidRPr="007045E6">
        <w:rPr>
          <w:lang w:eastAsia="en-US"/>
        </w:rPr>
        <w:t xml:space="preserve">: </w:t>
      </w:r>
      <w:r w:rsidRPr="007045E6">
        <w:rPr>
          <w:lang w:eastAsia="en-US"/>
        </w:rPr>
        <w:t>стоимости чистых активов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СЧА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количества управляющих, количества фондов под управлением, количества клиентов</w:t>
      </w:r>
      <w:r w:rsidR="007045E6"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391637" w:rsidRDefault="00B305C5" w:rsidP="007045E6">
      <w:pPr>
        <w:ind w:firstLine="709"/>
        <w:rPr>
          <w:lang w:eastAsia="en-US"/>
        </w:rPr>
      </w:pPr>
      <w:r>
        <w:rPr>
          <w:lang w:eastAsia="en-US"/>
        </w:rPr>
        <w:pict>
          <v:shape id="_x0000_i1028" type="#_x0000_t75" style="width:262.5pt;height:137.25pt">
            <v:imagedata r:id="rId10" o:title=""/>
          </v:shape>
        </w:pict>
      </w:r>
    </w:p>
    <w:p w:rsidR="007045E6" w:rsidRDefault="007045E6" w:rsidP="007045E6">
      <w:pPr>
        <w:ind w:firstLine="709"/>
        <w:rPr>
          <w:lang w:eastAsia="en-US"/>
        </w:rPr>
      </w:pPr>
      <w:r>
        <w:rPr>
          <w:lang w:eastAsia="en-US"/>
        </w:rPr>
        <w:t>Рис.4</w:t>
      </w:r>
      <w:r w:rsidRPr="007045E6">
        <w:rPr>
          <w:lang w:eastAsia="en-US"/>
        </w:rPr>
        <w:t xml:space="preserve">. </w:t>
      </w:r>
      <w:r w:rsidR="00E655A6" w:rsidRPr="007045E6">
        <w:rPr>
          <w:lang w:eastAsia="en-US"/>
        </w:rPr>
        <w:t>Динамика стоимости активов ПИФов в 2003-2007 гг</w:t>
      </w:r>
      <w:r w:rsidRPr="007045E6">
        <w:rPr>
          <w:lang w:eastAsia="en-US"/>
        </w:rPr>
        <w:t>.</w:t>
      </w:r>
    </w:p>
    <w:p w:rsidR="00E94EC1" w:rsidRPr="007045E6" w:rsidRDefault="00E94EC1" w:rsidP="007045E6">
      <w:pPr>
        <w:ind w:firstLine="709"/>
        <w:rPr>
          <w:lang w:eastAsia="en-US"/>
        </w:rPr>
      </w:pP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Как уже отмечалось выше, развитие современного рынка коллективных инвестиций проходило в несколько этапов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Первый этап пришелся на период с 2003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 середину 2006 года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 протяжении этих лет на фондовом рынке наблюдалось практически безостановочное ралли, и именно в эти годы сформировался сегмент открытых интервальных ПИФов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За три года индекс РТС вырос в три раза, и потому управляющим оказалось легко привлекать массовых инвесторов в инвестиционные фонды, а банкам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в ОФБУ</w:t>
      </w:r>
      <w:r w:rsidR="007045E6"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391637" w:rsidRDefault="00B305C5" w:rsidP="007045E6">
      <w:pPr>
        <w:ind w:firstLine="709"/>
        <w:rPr>
          <w:lang w:eastAsia="en-US"/>
        </w:rPr>
      </w:pPr>
      <w:r>
        <w:rPr>
          <w:lang w:eastAsia="en-US"/>
        </w:rPr>
        <w:pict>
          <v:shape id="_x0000_i1029" type="#_x0000_t75" style="width:329.25pt;height:238.5pt">
            <v:imagedata r:id="rId11" o:title=""/>
          </v:shape>
        </w:pict>
      </w:r>
      <w:r w:rsidR="007045E6">
        <w:rPr>
          <w:lang w:eastAsia="en-US"/>
        </w:rPr>
        <w:t xml:space="preserve"> </w:t>
      </w:r>
    </w:p>
    <w:p w:rsidR="007045E6" w:rsidRDefault="007045E6" w:rsidP="007045E6">
      <w:pPr>
        <w:ind w:firstLine="709"/>
        <w:rPr>
          <w:lang w:eastAsia="en-US"/>
        </w:rPr>
      </w:pPr>
      <w:r>
        <w:rPr>
          <w:lang w:eastAsia="en-US"/>
        </w:rPr>
        <w:t>Рис.5</w:t>
      </w:r>
      <w:r w:rsidRPr="007045E6">
        <w:rPr>
          <w:lang w:eastAsia="en-US"/>
        </w:rPr>
        <w:t xml:space="preserve">. </w:t>
      </w:r>
      <w:r w:rsidR="00E655A6" w:rsidRPr="007045E6">
        <w:rPr>
          <w:lang w:eastAsia="en-US"/>
        </w:rPr>
        <w:t>Динамика количества ПИФов в 2003-2007 гг</w:t>
      </w:r>
      <w:r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Второй этап развития рынка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период с середины 2006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до начала 2007 года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Именно в это время фондовый рынок начал испытывать проблемы, связанные с повышением волатильности, и привыкшие к практически гарантированной доходности инвесторы стали менее охотно покупать паи открытых и интервальных фондов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Вместе с тем, на фоне замедления роста массового сегмента рынка стал агрессивно развиваться закрытый сегмент</w:t>
      </w:r>
      <w:r w:rsidR="007045E6" w:rsidRPr="007045E6">
        <w:rPr>
          <w:lang w:eastAsia="en-US"/>
        </w:rPr>
        <w:t xml:space="preserve">: </w:t>
      </w:r>
      <w:r w:rsidRPr="007045E6">
        <w:rPr>
          <w:lang w:eastAsia="en-US"/>
        </w:rPr>
        <w:t>возрос спрос крупных инвесторов на услуги управляющих, при этом сами УК переключили свое внимание на работу с крупными корпоративными и индивидуальными инвесторами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 xml:space="preserve">в том числе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страховыми компаниями и негосударственными пенсионными фондами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столкнувшись со сложностями работы на розничном сегменте и падении интереса населения к ПИФам</w:t>
      </w:r>
      <w:r w:rsidR="007045E6" w:rsidRPr="007045E6">
        <w:rPr>
          <w:lang w:eastAsia="en-US"/>
        </w:rPr>
        <w:t>.</w:t>
      </w: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Третий этап начался в 2007 году и длится до сих пор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Его главная особенность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высокая волатильность фондового рынка и, соответственно, высокие риски, сопровождающиеся падением доходности вложений в финансовые инструменты фондового рынка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Усиление колебаний рынка, замедление темпов его роста привели к тому, что розничный сегмент рынка коллективных инвестиций практически остановился в развитии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Приток активов новых пайщиков нивелируется уходом старых, не готовых принимать возросшие риски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На фоне стагнации розницы рынок доверительного управления активами получил мощную поддержку со стороны сегмента закрытых фондов, а также вложений институциональных инвесторов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К концу 2007 года закрытые фонды практически сравнялись с открытыми по количеству, при этом значительно опередили их по сумме активов под управлением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Следует отметить, что закрытые фонды можно назвать институтом коллективного инвестирования лишь с оговоркой, поскольку в российской практике через ЗПИФы крупные инвесторы часто реализуют строительные проекты, а крупные собственники структурируют свои активы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Поэтому часто ЗПИФ создается под конкретного клиента, а не под массовый спрос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Однако следует все же отметить возможность вхождения в эти фонды и мелких инвесторов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в основном на вторичном рынке, когда минимальная стоимость вхождения не регламентирована, а крупные дорогие паи могут дробиться при продаже</w:t>
      </w:r>
      <w:r w:rsidR="007045E6" w:rsidRPr="007045E6">
        <w:rPr>
          <w:lang w:eastAsia="en-US"/>
        </w:rPr>
        <w:t>.</w:t>
      </w: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Рынок управления активами ПИФов традиционно характеризовался высокой региональной концентрацией, а также доминированием небольшого числа крупных игроков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последние годы отмечается тенденция к снижению концентрации основной массы активов у крупнейших УК и наблюдается улучшение конкурентной среды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 данным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Эксперт РА</w:t>
      </w:r>
      <w:r w:rsidR="007045E6">
        <w:rPr>
          <w:lang w:eastAsia="en-US"/>
        </w:rPr>
        <w:t xml:space="preserve">", </w:t>
      </w:r>
      <w:r w:rsidRPr="007045E6">
        <w:rPr>
          <w:lang w:eastAsia="en-US"/>
        </w:rPr>
        <w:t>на долю первых пяти компаний по состоянию на начало 2008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приходилось 45% от общей стоимости чистых активов ПИФов, на начало 2007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этот показатель составлял 54%, а вплоть до 2002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он постоянно превышал 90%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качестве основной причины высокой региональной концентрации можно обозначить тот факт, что 76% всех управляющих компаний были зарегистрированы в Москве на конец 2007 года</w:t>
      </w:r>
      <w:r w:rsidR="007045E6" w:rsidRPr="007045E6">
        <w:rPr>
          <w:lang w:eastAsia="en-US"/>
        </w:rPr>
        <w:t>.</w:t>
      </w:r>
    </w:p>
    <w:p w:rsidR="007045E6" w:rsidRDefault="00E94EC1" w:rsidP="007045E6">
      <w:pPr>
        <w:ind w:firstLine="709"/>
        <w:rPr>
          <w:lang w:eastAsia="en-US"/>
        </w:rPr>
      </w:pPr>
      <w:r w:rsidRPr="007045E6">
        <w:rPr>
          <w:lang w:eastAsia="en-US"/>
        </w:rPr>
        <w:t>В масштабах национальной экономики вес рынка коллективных инвестиций невелик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на конец 2007 г</w:t>
      </w:r>
      <w:r w:rsidR="007045E6" w:rsidRPr="007045E6">
        <w:rPr>
          <w:lang w:eastAsia="en-US"/>
        </w:rPr>
        <w:t xml:space="preserve">.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2,3% по отношению к ВВП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при этом позитивной тенденцией являются опережающие темпы роста коллективных инвестиций по сравнению с общим ростом экономики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Так, с 2005 по 2007 г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ВВП вырос в полтора раза с 21,6 трлн рублей до 33 трлн рублей, а активы ПИФов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более чем в 3,5 раза с 210 млрд рублей до 764 млрд рублей</w:t>
      </w:r>
      <w:r w:rsidR="007045E6" w:rsidRPr="007045E6">
        <w:rPr>
          <w:lang w:eastAsia="en-US"/>
        </w:rPr>
        <w:t>.</w:t>
      </w:r>
    </w:p>
    <w:p w:rsidR="007045E6" w:rsidRDefault="00623B43" w:rsidP="007045E6">
      <w:pPr>
        <w:ind w:firstLine="709"/>
        <w:rPr>
          <w:lang w:eastAsia="en-US"/>
        </w:rPr>
      </w:pPr>
      <w:r w:rsidRPr="007045E6">
        <w:rPr>
          <w:lang w:eastAsia="en-US"/>
        </w:rPr>
        <w:t>К 2010 году в целях увеличения рынка инструментов коллективного инвестирования и повышения ликвидности таких инструментов необходимо</w:t>
      </w:r>
      <w:r w:rsidR="007045E6" w:rsidRPr="007045E6">
        <w:rPr>
          <w:lang w:eastAsia="en-US"/>
        </w:rPr>
        <w:t xml:space="preserve"> </w:t>
      </w:r>
      <w:r w:rsidRPr="007045E6">
        <w:rPr>
          <w:lang w:eastAsia="en-US"/>
        </w:rPr>
        <w:t>создание централизованной системы клиринга и расчетов по сделкам обращения, выдачи, обмена и погашения инвестиционных паев</w:t>
      </w:r>
      <w:r w:rsidR="007045E6">
        <w:rPr>
          <w:lang w:eastAsia="en-US"/>
        </w:rPr>
        <w:t>.</w:t>
      </w:r>
    </w:p>
    <w:p w:rsidR="007045E6" w:rsidRDefault="00623B43" w:rsidP="007045E6">
      <w:pPr>
        <w:ind w:firstLine="709"/>
        <w:rPr>
          <w:lang w:eastAsia="en-US"/>
        </w:rPr>
      </w:pPr>
      <w:r w:rsidRPr="007045E6">
        <w:rPr>
          <w:lang w:eastAsia="en-US"/>
        </w:rPr>
        <w:t>Также целесообразно решить вопрос об использовании в расчетах и платежах тех денежных средств, которые учитываются на счете инвестора в отдельных категориях паевых инвестиционных фондов, прежде всего, в состав активов которых входят ликвидные и краткосрочные инвестиционные инструменты</w:t>
      </w:r>
      <w:r w:rsid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i/>
          <w:iCs/>
          <w:lang w:eastAsia="en-US"/>
        </w:rPr>
      </w:pPr>
      <w:bookmarkStart w:id="26" w:name="_Toc248112694"/>
    </w:p>
    <w:p w:rsidR="007045E6" w:rsidRDefault="007045E6" w:rsidP="00391637">
      <w:pPr>
        <w:pStyle w:val="2"/>
      </w:pPr>
      <w:bookmarkStart w:id="27" w:name="_Toc273269129"/>
      <w:r>
        <w:t xml:space="preserve">2.2 </w:t>
      </w:r>
      <w:r w:rsidR="007A58A9" w:rsidRPr="007045E6">
        <w:t xml:space="preserve">Обзор рынка ПИФов </w:t>
      </w:r>
      <w:r w:rsidR="00623B43" w:rsidRPr="007045E6">
        <w:t>за</w:t>
      </w:r>
      <w:r w:rsidR="007A58A9" w:rsidRPr="007045E6">
        <w:t xml:space="preserve"> 2009 г</w:t>
      </w:r>
      <w:r w:rsidRPr="007045E6">
        <w:t>.</w:t>
      </w:r>
      <w:bookmarkEnd w:id="26"/>
      <w:bookmarkEnd w:id="27"/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097AC0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За </w:t>
      </w:r>
      <w:r w:rsidRPr="007045E6">
        <w:rPr>
          <w:lang w:val="en-US" w:eastAsia="en-US"/>
        </w:rPr>
        <w:t>III</w:t>
      </w:r>
      <w:r w:rsidRPr="007045E6">
        <w:rPr>
          <w:lang w:eastAsia="en-US"/>
        </w:rPr>
        <w:t xml:space="preserve"> квартал 2009 года лучшим по доходности стал ПИФ акций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 xml:space="preserve">СТОИК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Металлургия и машиностроение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 xml:space="preserve">Он принес своим пайщикам доход в 57,43% и почти 165% с начала года, по доходности инвестиций в тот же ПИФ за год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с октября 2008 года по октябрь 2009 года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остается отрицательной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-2,52%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То есть даже лидеры среди ПИФов в целом пока не смогли преодолеть последствий обва</w:t>
      </w:r>
      <w:r w:rsidR="009E6E01" w:rsidRPr="007045E6">
        <w:rPr>
          <w:lang w:eastAsia="en-US"/>
        </w:rPr>
        <w:t xml:space="preserve">ла конца 2008 </w:t>
      </w:r>
      <w:r w:rsidR="007045E6">
        <w:rPr>
          <w:lang w:eastAsia="en-US"/>
        </w:rPr>
        <w:t>-</w:t>
      </w:r>
      <w:r w:rsidR="009E6E01" w:rsidRPr="007045E6">
        <w:rPr>
          <w:lang w:eastAsia="en-US"/>
        </w:rPr>
        <w:t>начала 2009 года</w:t>
      </w:r>
      <w:r w:rsidR="007045E6" w:rsidRPr="007045E6">
        <w:rPr>
          <w:lang w:eastAsia="en-US"/>
        </w:rPr>
        <w:t>.</w:t>
      </w:r>
    </w:p>
    <w:p w:rsidR="0058204C" w:rsidRPr="007045E6" w:rsidRDefault="00391637" w:rsidP="00391637">
      <w:pPr>
        <w:ind w:left="708" w:firstLine="1"/>
        <w:rPr>
          <w:lang w:eastAsia="en-US"/>
        </w:rPr>
      </w:pPr>
      <w:r>
        <w:rPr>
          <w:lang w:eastAsia="en-US"/>
        </w:rPr>
        <w:br w:type="page"/>
      </w:r>
      <w:r w:rsidR="0058204C" w:rsidRPr="007045E6">
        <w:rPr>
          <w:lang w:eastAsia="en-US"/>
        </w:rPr>
        <w:t>Таблица 1</w:t>
      </w:r>
      <w:r w:rsidR="007045E6">
        <w:rPr>
          <w:lang w:eastAsia="en-US"/>
        </w:rPr>
        <w:t xml:space="preserve"> "</w:t>
      </w:r>
      <w:r w:rsidR="0058204C" w:rsidRPr="007045E6">
        <w:rPr>
          <w:lang w:eastAsia="en-US"/>
        </w:rPr>
        <w:t xml:space="preserve">Лидеры по доходности среди ПИФов в </w:t>
      </w:r>
      <w:r w:rsidR="0058204C" w:rsidRPr="007045E6">
        <w:rPr>
          <w:lang w:val="en-US" w:eastAsia="en-US"/>
        </w:rPr>
        <w:t>III</w:t>
      </w:r>
      <w:r w:rsidR="0058204C" w:rsidRPr="007045E6">
        <w:rPr>
          <w:lang w:eastAsia="en-US"/>
        </w:rPr>
        <w:t xml:space="preserve"> квартале 2009 года</w:t>
      </w:r>
      <w:r w:rsidR="007045E6">
        <w:rPr>
          <w:lang w:eastAsia="en-US"/>
        </w:rPr>
        <w:t>"</w:t>
      </w:r>
      <w:r w:rsidR="00A81FA6" w:rsidRPr="007045E6">
        <w:rPr>
          <w:rStyle w:val="af3"/>
          <w:b/>
          <w:bCs/>
          <w:color w:val="000000"/>
          <w:lang w:eastAsia="en-US"/>
        </w:rPr>
        <w:footnoteReference w:id="1"/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"/>
        <w:gridCol w:w="2103"/>
        <w:gridCol w:w="1544"/>
        <w:gridCol w:w="1567"/>
        <w:gridCol w:w="1556"/>
        <w:gridCol w:w="1557"/>
      </w:tblGrid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764157" w:rsidRPr="007045E6" w:rsidRDefault="00764157" w:rsidP="00391637">
            <w:pPr>
              <w:pStyle w:val="aff0"/>
            </w:pPr>
            <w:r w:rsidRPr="007045E6">
              <w:t>Место в рейтинге</w:t>
            </w:r>
          </w:p>
        </w:tc>
        <w:tc>
          <w:tcPr>
            <w:tcW w:w="2129" w:type="dxa"/>
            <w:shd w:val="clear" w:color="auto" w:fill="auto"/>
          </w:tcPr>
          <w:p w:rsidR="00764157" w:rsidRPr="007045E6" w:rsidRDefault="00764157" w:rsidP="00391637">
            <w:pPr>
              <w:pStyle w:val="aff0"/>
            </w:pPr>
            <w:r w:rsidRPr="007045E6">
              <w:t>Название ПИФа</w:t>
            </w:r>
          </w:p>
        </w:tc>
        <w:tc>
          <w:tcPr>
            <w:tcW w:w="1595" w:type="dxa"/>
            <w:shd w:val="clear" w:color="auto" w:fill="auto"/>
          </w:tcPr>
          <w:p w:rsidR="00764157" w:rsidRPr="007045E6" w:rsidRDefault="00764157" w:rsidP="00391637">
            <w:pPr>
              <w:pStyle w:val="aff0"/>
            </w:pPr>
            <w:r w:rsidRPr="007045E6">
              <w:t>Тип ПИФа</w:t>
            </w:r>
          </w:p>
        </w:tc>
        <w:tc>
          <w:tcPr>
            <w:tcW w:w="1595" w:type="dxa"/>
            <w:shd w:val="clear" w:color="auto" w:fill="auto"/>
          </w:tcPr>
          <w:p w:rsidR="00764157" w:rsidRPr="007045E6" w:rsidRDefault="00764157" w:rsidP="00391637">
            <w:pPr>
              <w:pStyle w:val="aff0"/>
            </w:pPr>
            <w:r w:rsidRPr="007045E6">
              <w:t>УК</w:t>
            </w:r>
          </w:p>
        </w:tc>
        <w:tc>
          <w:tcPr>
            <w:tcW w:w="1595" w:type="dxa"/>
            <w:shd w:val="clear" w:color="auto" w:fill="auto"/>
          </w:tcPr>
          <w:p w:rsidR="00764157" w:rsidRPr="007045E6" w:rsidRDefault="00764157" w:rsidP="00391637">
            <w:pPr>
              <w:pStyle w:val="aff0"/>
            </w:pPr>
            <w:r w:rsidRPr="007045E6">
              <w:t>Доходность за 3 квартал,</w:t>
            </w:r>
            <w:r w:rsidR="007045E6" w:rsidRPr="007045E6">
              <w:t>%</w:t>
            </w:r>
          </w:p>
        </w:tc>
        <w:tc>
          <w:tcPr>
            <w:tcW w:w="1596" w:type="dxa"/>
            <w:shd w:val="clear" w:color="auto" w:fill="auto"/>
          </w:tcPr>
          <w:p w:rsidR="00764157" w:rsidRPr="007045E6" w:rsidRDefault="00764157" w:rsidP="00391637">
            <w:pPr>
              <w:pStyle w:val="aff0"/>
            </w:pPr>
            <w:r w:rsidRPr="007045E6">
              <w:t>Доходность с начала года,</w:t>
            </w:r>
            <w:r w:rsidR="007045E6" w:rsidRPr="007045E6">
              <w:t>%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764157" w:rsidRPr="007045E6" w:rsidRDefault="00196548" w:rsidP="00391637">
            <w:pPr>
              <w:pStyle w:val="aff0"/>
            </w:pPr>
            <w:r w:rsidRPr="007045E6">
              <w:t>1</w:t>
            </w:r>
          </w:p>
        </w:tc>
        <w:tc>
          <w:tcPr>
            <w:tcW w:w="2129" w:type="dxa"/>
            <w:shd w:val="clear" w:color="auto" w:fill="auto"/>
          </w:tcPr>
          <w:p w:rsidR="00764157" w:rsidRPr="007045E6" w:rsidRDefault="00196548" w:rsidP="00391637">
            <w:pPr>
              <w:pStyle w:val="aff0"/>
            </w:pPr>
            <w:r w:rsidRPr="007045E6">
              <w:t xml:space="preserve">СТОИК </w:t>
            </w:r>
            <w:r w:rsidR="007045E6">
              <w:t>-</w:t>
            </w:r>
            <w:r w:rsidRPr="007045E6">
              <w:t xml:space="preserve"> Металлургия и машиностроение</w:t>
            </w:r>
          </w:p>
        </w:tc>
        <w:tc>
          <w:tcPr>
            <w:tcW w:w="1595" w:type="dxa"/>
            <w:shd w:val="clear" w:color="auto" w:fill="auto"/>
          </w:tcPr>
          <w:p w:rsidR="00764157" w:rsidRPr="007045E6" w:rsidRDefault="00196548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764157" w:rsidRPr="007045E6" w:rsidRDefault="00196548" w:rsidP="00391637">
            <w:pPr>
              <w:pStyle w:val="aff0"/>
            </w:pPr>
            <w:r w:rsidRPr="007045E6">
              <w:t>БФА</w:t>
            </w:r>
          </w:p>
        </w:tc>
        <w:tc>
          <w:tcPr>
            <w:tcW w:w="1595" w:type="dxa"/>
            <w:shd w:val="clear" w:color="auto" w:fill="auto"/>
          </w:tcPr>
          <w:p w:rsidR="00764157" w:rsidRPr="007045E6" w:rsidRDefault="0058204C" w:rsidP="00391637">
            <w:pPr>
              <w:pStyle w:val="aff0"/>
            </w:pPr>
            <w:r w:rsidRPr="007045E6">
              <w:t>57,43</w:t>
            </w:r>
          </w:p>
        </w:tc>
        <w:tc>
          <w:tcPr>
            <w:tcW w:w="1596" w:type="dxa"/>
            <w:shd w:val="clear" w:color="auto" w:fill="auto"/>
          </w:tcPr>
          <w:p w:rsidR="00764157" w:rsidRPr="007045E6" w:rsidRDefault="0058204C" w:rsidP="00391637">
            <w:pPr>
              <w:pStyle w:val="aff0"/>
            </w:pPr>
            <w:r w:rsidRPr="007045E6">
              <w:t>164,98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2</w:t>
            </w:r>
          </w:p>
        </w:tc>
        <w:tc>
          <w:tcPr>
            <w:tcW w:w="2129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 xml:space="preserve">БТБ </w:t>
            </w:r>
            <w:r w:rsidR="007045E6">
              <w:t>-</w:t>
            </w:r>
            <w:r w:rsidRPr="007045E6">
              <w:t xml:space="preserve"> Фонд финансового сектора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БТБ Управление активами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58204C" w:rsidP="00391637">
            <w:pPr>
              <w:pStyle w:val="aff0"/>
            </w:pPr>
            <w:r w:rsidRPr="007045E6">
              <w:t>51,43</w:t>
            </w:r>
          </w:p>
        </w:tc>
        <w:tc>
          <w:tcPr>
            <w:tcW w:w="1596" w:type="dxa"/>
            <w:shd w:val="clear" w:color="auto" w:fill="auto"/>
          </w:tcPr>
          <w:p w:rsidR="00196548" w:rsidRPr="007045E6" w:rsidRDefault="0058204C" w:rsidP="00391637">
            <w:pPr>
              <w:pStyle w:val="aff0"/>
            </w:pPr>
            <w:r w:rsidRPr="007045E6">
              <w:t>124,92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3</w:t>
            </w:r>
          </w:p>
        </w:tc>
        <w:tc>
          <w:tcPr>
            <w:tcW w:w="2129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Эверест</w:t>
            </w:r>
            <w:r w:rsidR="007045E6" w:rsidRPr="007045E6">
              <w:t xml:space="preserve"> - </w:t>
            </w:r>
            <w:r w:rsidRPr="007045E6">
              <w:t>Облигации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Открытый облигаций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Эверест Эссет Менеджмент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58204C" w:rsidP="00391637">
            <w:pPr>
              <w:pStyle w:val="aff0"/>
            </w:pPr>
            <w:r w:rsidRPr="007045E6">
              <w:t>50,93</w:t>
            </w:r>
          </w:p>
        </w:tc>
        <w:tc>
          <w:tcPr>
            <w:tcW w:w="1596" w:type="dxa"/>
            <w:shd w:val="clear" w:color="auto" w:fill="auto"/>
          </w:tcPr>
          <w:p w:rsidR="00196548" w:rsidRPr="007045E6" w:rsidRDefault="0058204C" w:rsidP="00391637">
            <w:pPr>
              <w:pStyle w:val="aff0"/>
            </w:pPr>
            <w:r w:rsidRPr="007045E6">
              <w:t>50,90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4</w:t>
            </w:r>
          </w:p>
        </w:tc>
        <w:tc>
          <w:tcPr>
            <w:tcW w:w="2129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 xml:space="preserve">Русь </w:t>
            </w:r>
            <w:r w:rsidR="007045E6">
              <w:t>-</w:t>
            </w:r>
            <w:r w:rsidRPr="007045E6">
              <w:t xml:space="preserve"> Капитал</w:t>
            </w:r>
            <w:r w:rsidR="007045E6" w:rsidRPr="007045E6">
              <w:t xml:space="preserve"> - </w:t>
            </w:r>
            <w:r w:rsidRPr="007045E6">
              <w:t>Телекоммуникации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196548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58204C" w:rsidP="00391637">
            <w:pPr>
              <w:pStyle w:val="aff0"/>
            </w:pPr>
            <w:r w:rsidRPr="007045E6">
              <w:t>Русь-Капитал</w:t>
            </w:r>
          </w:p>
        </w:tc>
        <w:tc>
          <w:tcPr>
            <w:tcW w:w="1595" w:type="dxa"/>
            <w:shd w:val="clear" w:color="auto" w:fill="auto"/>
          </w:tcPr>
          <w:p w:rsidR="00196548" w:rsidRPr="007045E6" w:rsidRDefault="0058204C" w:rsidP="00391637">
            <w:pPr>
              <w:pStyle w:val="aff0"/>
            </w:pPr>
            <w:r w:rsidRPr="007045E6">
              <w:t>49,90</w:t>
            </w:r>
          </w:p>
        </w:tc>
        <w:tc>
          <w:tcPr>
            <w:tcW w:w="1596" w:type="dxa"/>
            <w:shd w:val="clear" w:color="auto" w:fill="auto"/>
          </w:tcPr>
          <w:p w:rsidR="00196548" w:rsidRPr="007045E6" w:rsidRDefault="0058204C" w:rsidP="00391637">
            <w:pPr>
              <w:pStyle w:val="aff0"/>
            </w:pPr>
            <w:r w:rsidRPr="007045E6">
              <w:t>142,45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5</w:t>
            </w:r>
          </w:p>
        </w:tc>
        <w:tc>
          <w:tcPr>
            <w:tcW w:w="2129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 xml:space="preserve">Арсагера </w:t>
            </w:r>
            <w:r w:rsidR="007045E6">
              <w:t>-</w:t>
            </w:r>
            <w:r w:rsidRPr="007045E6">
              <w:t xml:space="preserve"> Финансовые активы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Арсагера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49,55</w:t>
            </w:r>
          </w:p>
        </w:tc>
        <w:tc>
          <w:tcPr>
            <w:tcW w:w="1596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212</w:t>
            </w:r>
            <w:r w:rsidR="007045E6">
              <w:t>, 19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6</w:t>
            </w:r>
          </w:p>
        </w:tc>
        <w:tc>
          <w:tcPr>
            <w:tcW w:w="2129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 xml:space="preserve">ОЛМА </w:t>
            </w:r>
            <w:r w:rsidR="007045E6">
              <w:t>-</w:t>
            </w:r>
            <w:r w:rsidRPr="007045E6">
              <w:t xml:space="preserve"> Телеком онлайн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ОЛМА</w:t>
            </w:r>
            <w:r w:rsidR="007045E6" w:rsidRPr="007045E6">
              <w:t xml:space="preserve"> - </w:t>
            </w:r>
            <w:r w:rsidRPr="007045E6">
              <w:t>Финанс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48,40</w:t>
            </w:r>
          </w:p>
        </w:tc>
        <w:tc>
          <w:tcPr>
            <w:tcW w:w="1596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151,23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7</w:t>
            </w:r>
          </w:p>
        </w:tc>
        <w:tc>
          <w:tcPr>
            <w:tcW w:w="2129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 xml:space="preserve">Тройка-Диалог </w:t>
            </w:r>
            <w:r w:rsidR="007045E6">
              <w:t>-</w:t>
            </w:r>
            <w:r w:rsidRPr="007045E6">
              <w:t xml:space="preserve"> Финансовый сектор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Тройка-Диалог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47,63</w:t>
            </w:r>
          </w:p>
        </w:tc>
        <w:tc>
          <w:tcPr>
            <w:tcW w:w="1596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117,14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8</w:t>
            </w:r>
          </w:p>
        </w:tc>
        <w:tc>
          <w:tcPr>
            <w:tcW w:w="2129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 xml:space="preserve">Тройка </w:t>
            </w:r>
            <w:r w:rsidR="007045E6">
              <w:t>-</w:t>
            </w:r>
            <w:r w:rsidRPr="007045E6">
              <w:t xml:space="preserve"> Диалог</w:t>
            </w:r>
            <w:r w:rsidR="007045E6" w:rsidRPr="007045E6">
              <w:t xml:space="preserve"> - </w:t>
            </w:r>
            <w:r w:rsidRPr="007045E6">
              <w:t>Телекоммуникации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Тройка-Диалог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47,12</w:t>
            </w:r>
          </w:p>
        </w:tc>
        <w:tc>
          <w:tcPr>
            <w:tcW w:w="1596" w:type="dxa"/>
            <w:shd w:val="clear" w:color="auto" w:fill="auto"/>
          </w:tcPr>
          <w:p w:rsidR="0058204C" w:rsidRPr="007045E6" w:rsidRDefault="00A81FA6" w:rsidP="00391637">
            <w:pPr>
              <w:pStyle w:val="aff0"/>
            </w:pPr>
            <w:r w:rsidRPr="007045E6">
              <w:t>193,88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9</w:t>
            </w:r>
          </w:p>
        </w:tc>
        <w:tc>
          <w:tcPr>
            <w:tcW w:w="2129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Максвелл Телеком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Максвелл</w:t>
            </w:r>
            <w:r w:rsidR="007045E6" w:rsidRPr="007045E6">
              <w:t xml:space="preserve"> </w:t>
            </w:r>
            <w:r w:rsidRPr="007045E6">
              <w:t>Эссет Менеджмент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46,23</w:t>
            </w:r>
          </w:p>
        </w:tc>
        <w:tc>
          <w:tcPr>
            <w:tcW w:w="1596" w:type="dxa"/>
            <w:shd w:val="clear" w:color="auto" w:fill="auto"/>
          </w:tcPr>
          <w:p w:rsidR="0058204C" w:rsidRPr="007045E6" w:rsidRDefault="00A81FA6" w:rsidP="00391637">
            <w:pPr>
              <w:pStyle w:val="aff0"/>
            </w:pPr>
            <w:r w:rsidRPr="007045E6">
              <w:t>151</w:t>
            </w:r>
            <w:r w:rsidR="007045E6">
              <w:t>, 20</w:t>
            </w:r>
          </w:p>
        </w:tc>
      </w:tr>
      <w:tr w:rsidR="007045E6" w:rsidRPr="007045E6" w:rsidTr="00752A1B">
        <w:trPr>
          <w:jc w:val="center"/>
        </w:trPr>
        <w:tc>
          <w:tcPr>
            <w:tcW w:w="1061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10</w:t>
            </w:r>
          </w:p>
        </w:tc>
        <w:tc>
          <w:tcPr>
            <w:tcW w:w="2129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 xml:space="preserve">КИТ Фортис </w:t>
            </w:r>
            <w:r w:rsidR="007045E6">
              <w:t>-</w:t>
            </w:r>
            <w:r w:rsidRPr="007045E6">
              <w:t xml:space="preserve"> Российские Телекоммуникации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Открытый акций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КИТ Фортис Инвестментс</w:t>
            </w:r>
          </w:p>
        </w:tc>
        <w:tc>
          <w:tcPr>
            <w:tcW w:w="1595" w:type="dxa"/>
            <w:shd w:val="clear" w:color="auto" w:fill="auto"/>
          </w:tcPr>
          <w:p w:rsidR="0058204C" w:rsidRPr="007045E6" w:rsidRDefault="0058204C" w:rsidP="00391637">
            <w:pPr>
              <w:pStyle w:val="aff0"/>
            </w:pPr>
            <w:r w:rsidRPr="007045E6">
              <w:t>45,52</w:t>
            </w:r>
          </w:p>
        </w:tc>
        <w:tc>
          <w:tcPr>
            <w:tcW w:w="1596" w:type="dxa"/>
            <w:shd w:val="clear" w:color="auto" w:fill="auto"/>
          </w:tcPr>
          <w:p w:rsidR="0058204C" w:rsidRPr="007045E6" w:rsidRDefault="00A81FA6" w:rsidP="00391637">
            <w:pPr>
              <w:pStyle w:val="aff0"/>
            </w:pPr>
            <w:r w:rsidRPr="007045E6">
              <w:t>166,18</w:t>
            </w:r>
          </w:p>
        </w:tc>
      </w:tr>
    </w:tbl>
    <w:p w:rsidR="00097AC0" w:rsidRPr="007045E6" w:rsidRDefault="00097AC0" w:rsidP="007045E6">
      <w:pPr>
        <w:ind w:firstLine="709"/>
        <w:rPr>
          <w:lang w:val="en-US" w:eastAsia="en-US"/>
        </w:rPr>
      </w:pPr>
    </w:p>
    <w:p w:rsidR="007045E6" w:rsidRDefault="004003D8" w:rsidP="007045E6">
      <w:pPr>
        <w:ind w:firstLine="709"/>
        <w:rPr>
          <w:lang w:eastAsia="en-US"/>
        </w:rPr>
      </w:pPr>
      <w:r w:rsidRPr="007045E6">
        <w:rPr>
          <w:lang w:eastAsia="en-US"/>
        </w:rPr>
        <w:t>Из 384 открытого фонда стоимость паев за ноябр</w:t>
      </w:r>
      <w:r w:rsidR="00DC1BFD" w:rsidRPr="007045E6">
        <w:rPr>
          <w:lang w:eastAsia="en-US"/>
        </w:rPr>
        <w:t>ь</w:t>
      </w:r>
      <w:r w:rsidRPr="007045E6">
        <w:rPr>
          <w:lang w:eastAsia="en-US"/>
        </w:rPr>
        <w:t xml:space="preserve"> удалось увеличить 305 ПИФам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 итогам месяца паи открытых фондов прибавили в среднем по рынку 1,24%, а за три последних месяца показали прирост на 14,27%</w:t>
      </w:r>
      <w:r w:rsidR="007045E6" w:rsidRPr="007045E6">
        <w:rPr>
          <w:lang w:eastAsia="en-US"/>
        </w:rPr>
        <w:t>.</w:t>
      </w:r>
    </w:p>
    <w:p w:rsidR="007045E6" w:rsidRDefault="004003D8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Индексные ПИФы акций в ноябре прибавили в стоимости 1,05%, а по итогам трех месяцев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16,95%</w:t>
      </w:r>
      <w:r w:rsidR="007045E6" w:rsidRPr="007045E6">
        <w:rPr>
          <w:lang w:eastAsia="en-US"/>
        </w:rPr>
        <w:t>.</w:t>
      </w:r>
    </w:p>
    <w:p w:rsidR="007045E6" w:rsidRDefault="004003D8" w:rsidP="007045E6">
      <w:pPr>
        <w:ind w:firstLine="709"/>
        <w:rPr>
          <w:lang w:eastAsia="en-US"/>
        </w:rPr>
      </w:pPr>
      <w:r w:rsidRPr="007045E6">
        <w:rPr>
          <w:lang w:eastAsia="en-US"/>
        </w:rPr>
        <w:t>Паи фондов акций за месяц подорожали в среднем на 1,51%</w:t>
      </w:r>
      <w:r w:rsidR="007045E6" w:rsidRPr="007045E6">
        <w:rPr>
          <w:lang w:eastAsia="en-US"/>
        </w:rPr>
        <w:t>,</w:t>
      </w:r>
      <w:r w:rsidRPr="007045E6">
        <w:rPr>
          <w:lang w:eastAsia="en-US"/>
        </w:rPr>
        <w:t xml:space="preserve"> а за три месяца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на 19,30%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Результат ПИФов акций как за ноябрь, так и за три последний месяца оказался выше результатов других категорий открытых фондов</w:t>
      </w:r>
      <w:r w:rsidR="007045E6" w:rsidRPr="007045E6">
        <w:rPr>
          <w:lang w:eastAsia="en-US"/>
        </w:rPr>
        <w:t>.</w:t>
      </w:r>
    </w:p>
    <w:p w:rsidR="007045E6" w:rsidRDefault="004003D8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Паи фондов смешанных инвестиций в среднем по рынку подорожали за месяц на 0,95%, а за три месяца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на 12,10%</w:t>
      </w:r>
      <w:r w:rsidR="007045E6" w:rsidRPr="007045E6">
        <w:rPr>
          <w:lang w:eastAsia="en-US"/>
        </w:rPr>
        <w:t>.</w:t>
      </w:r>
    </w:p>
    <w:p w:rsidR="007045E6" w:rsidRDefault="004003D8" w:rsidP="007045E6">
      <w:pPr>
        <w:ind w:firstLine="709"/>
        <w:rPr>
          <w:lang w:eastAsia="en-US"/>
        </w:rPr>
      </w:pPr>
      <w:r w:rsidRPr="007045E6">
        <w:rPr>
          <w:lang w:eastAsia="en-US"/>
        </w:rPr>
        <w:t>Фонды облигаций в среднем прибавили 1</w:t>
      </w:r>
      <w:r w:rsidR="007045E6">
        <w:rPr>
          <w:lang w:eastAsia="en-US"/>
        </w:rPr>
        <w:t>,19%</w:t>
      </w:r>
      <w:r w:rsidRPr="007045E6">
        <w:rPr>
          <w:lang w:eastAsia="en-US"/>
        </w:rPr>
        <w:t xml:space="preserve"> за ноябрь и 3,82%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за три последних месяца</w:t>
      </w:r>
      <w:r w:rsidR="007045E6">
        <w:rPr>
          <w:lang w:eastAsia="en-US"/>
        </w:rPr>
        <w:t xml:space="preserve"> (</w:t>
      </w:r>
      <w:r w:rsidR="00643ED2" w:rsidRPr="007045E6">
        <w:rPr>
          <w:lang w:eastAsia="en-US"/>
        </w:rPr>
        <w:t>прибыль обеспечил рост фондового рынка</w:t>
      </w:r>
      <w:r w:rsidR="007045E6" w:rsidRPr="007045E6">
        <w:rPr>
          <w:lang w:eastAsia="en-US"/>
        </w:rPr>
        <w:t xml:space="preserve">: </w:t>
      </w:r>
      <w:r w:rsidR="00643ED2" w:rsidRPr="007045E6">
        <w:rPr>
          <w:lang w:eastAsia="en-US"/>
        </w:rPr>
        <w:t xml:space="preserve">индекс РТС за октябрь вырос на 7,5%, ММВБ </w:t>
      </w:r>
      <w:r w:rsidR="007045E6">
        <w:rPr>
          <w:lang w:eastAsia="en-US"/>
        </w:rPr>
        <w:t>-</w:t>
      </w:r>
      <w:r w:rsidR="00643ED2" w:rsidRPr="007045E6">
        <w:rPr>
          <w:lang w:eastAsia="en-US"/>
        </w:rPr>
        <w:t xml:space="preserve"> на 3,3%</w:t>
      </w:r>
      <w:r w:rsidR="007045E6" w:rsidRPr="007045E6">
        <w:rPr>
          <w:lang w:eastAsia="en-US"/>
        </w:rPr>
        <w:t>).</w:t>
      </w:r>
    </w:p>
    <w:p w:rsidR="007045E6" w:rsidRDefault="004003D8" w:rsidP="007045E6">
      <w:pPr>
        <w:ind w:firstLine="709"/>
        <w:rPr>
          <w:lang w:eastAsia="en-US"/>
        </w:rPr>
      </w:pPr>
      <w:r w:rsidRPr="007045E6">
        <w:rPr>
          <w:lang w:eastAsia="en-US"/>
        </w:rPr>
        <w:t xml:space="preserve">ПИФы денежного рынка показали по итогам работы за месяц прирост стоимости пая на 0,49%, за три последних месяца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на 1,00%</w:t>
      </w:r>
      <w:r w:rsidR="007045E6"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974C23" w:rsidRPr="007045E6" w:rsidRDefault="00B305C5" w:rsidP="007045E6">
      <w:pPr>
        <w:ind w:firstLine="709"/>
        <w:rPr>
          <w:lang w:eastAsia="en-US"/>
        </w:rPr>
      </w:pPr>
      <w:r>
        <w:rPr>
          <w:lang w:eastAsia="en-US"/>
        </w:rPr>
        <w:pict>
          <v:shape id="_x0000_i1030" type="#_x0000_t75" style="width:258pt;height:111.75pt">
            <v:imagedata r:id="rId12" o:title=""/>
          </v:shape>
        </w:pict>
      </w:r>
    </w:p>
    <w:p w:rsidR="007045E6" w:rsidRDefault="007045E6" w:rsidP="007045E6">
      <w:pPr>
        <w:ind w:firstLine="709"/>
        <w:rPr>
          <w:lang w:eastAsia="en-US"/>
        </w:rPr>
      </w:pPr>
      <w:r>
        <w:rPr>
          <w:lang w:eastAsia="en-US"/>
        </w:rPr>
        <w:t>Рис.6</w:t>
      </w:r>
      <w:r w:rsidRPr="007045E6">
        <w:rPr>
          <w:lang w:eastAsia="en-US"/>
        </w:rPr>
        <w:t xml:space="preserve">. </w:t>
      </w:r>
      <w:r w:rsidR="00DB040D" w:rsidRPr="007045E6">
        <w:rPr>
          <w:lang w:eastAsia="en-US"/>
        </w:rPr>
        <w:t>Стоимость чистых активов ПИФов на 30</w:t>
      </w:r>
      <w:r>
        <w:rPr>
          <w:lang w:eastAsia="en-US"/>
        </w:rPr>
        <w:t>.11.20</w:t>
      </w:r>
      <w:r w:rsidR="00DB040D" w:rsidRPr="007045E6">
        <w:rPr>
          <w:lang w:eastAsia="en-US"/>
        </w:rPr>
        <w:t>09 г</w:t>
      </w:r>
      <w:r w:rsidRPr="007045E6">
        <w:rPr>
          <w:lang w:eastAsia="en-US"/>
        </w:rPr>
        <w:t>.</w:t>
      </w:r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Две первые строки достались фондам УК Брокеркредитсервис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ПИФ БКС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Фонд Потребительского Сектора заработал за месяц 9,68%, а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серебро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 xml:space="preserve">досталось БКС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Фонд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Халяль</w:t>
      </w:r>
      <w:r w:rsidR="007045E6">
        <w:rPr>
          <w:lang w:eastAsia="en-US"/>
        </w:rPr>
        <w:t xml:space="preserve">", </w:t>
      </w:r>
      <w:r w:rsidRPr="007045E6">
        <w:rPr>
          <w:lang w:eastAsia="en-US"/>
        </w:rPr>
        <w:t>доходность которого составила 8,41%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Также на импровизированном пьедестале почета расположился БАЛТИНВЕСТ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Фонд электроэнергетики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Балтинвест УК</w:t>
      </w:r>
      <w:r w:rsidR="007045E6" w:rsidRPr="007045E6">
        <w:rPr>
          <w:lang w:eastAsia="en-US"/>
        </w:rPr>
        <w:t xml:space="preserve">; </w:t>
      </w:r>
      <w:r w:rsidRPr="007045E6">
        <w:rPr>
          <w:lang w:eastAsia="en-US"/>
        </w:rPr>
        <w:t>7,60%</w:t>
      </w:r>
      <w:r w:rsidR="007045E6" w:rsidRPr="007045E6">
        <w:rPr>
          <w:lang w:eastAsia="en-US"/>
        </w:rPr>
        <w:t>).</w:t>
      </w: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ПИФы акций по показателю среднего прироста стоимости пая показали наилучшую динамику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+</w:t>
      </w:r>
      <w:r w:rsidR="007045E6">
        <w:rPr>
          <w:lang w:eastAsia="en-US"/>
        </w:rPr>
        <w:t>1.5</w:t>
      </w:r>
      <w:r w:rsidRPr="007045E6">
        <w:rPr>
          <w:lang w:eastAsia="en-US"/>
        </w:rPr>
        <w:t>1%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Консервативные фонды облигаций в среднем заработали немного меньше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+</w:t>
      </w:r>
      <w:r w:rsidR="007045E6">
        <w:rPr>
          <w:lang w:eastAsia="en-US"/>
        </w:rPr>
        <w:t>1.2</w:t>
      </w:r>
      <w:r w:rsidRPr="007045E6">
        <w:rPr>
          <w:lang w:eastAsia="en-US"/>
        </w:rPr>
        <w:t>1</w:t>
      </w:r>
      <w:r w:rsidR="007045E6" w:rsidRPr="007045E6">
        <w:rPr>
          <w:lang w:eastAsia="en-US"/>
        </w:rPr>
        <w:t xml:space="preserve">; </w:t>
      </w:r>
      <w:r w:rsidRPr="007045E6">
        <w:rPr>
          <w:lang w:eastAsia="en-US"/>
        </w:rPr>
        <w:t>лучшим в категории стал УралСиб Фонд Консервативный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УК УралСиб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чей результат достиг 4,65%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ПИФы смешанных инвестиций в среднем показали доходность на уровне 0</w:t>
      </w:r>
      <w:r w:rsidR="007045E6">
        <w:rPr>
          <w:lang w:eastAsia="en-US"/>
        </w:rPr>
        <w:t>.9</w:t>
      </w:r>
      <w:r w:rsidRPr="007045E6">
        <w:rPr>
          <w:lang w:eastAsia="en-US"/>
        </w:rPr>
        <w:t>3%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Первое место в подгруппе занял также фонд УК Брокеркредитсервис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 xml:space="preserve">БКС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Фонд Оптимальный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+4,98%</w:t>
      </w:r>
      <w:r w:rsidR="007045E6" w:rsidRPr="007045E6">
        <w:rPr>
          <w:lang w:eastAsia="en-US"/>
        </w:rPr>
        <w:t>).</w:t>
      </w: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Среди отраслевых ПИФов лидируют специализирующиеся на потребительском секторе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+5</w:t>
      </w:r>
      <w:r w:rsidR="007045E6">
        <w:rPr>
          <w:lang w:eastAsia="en-US"/>
        </w:rPr>
        <w:t>.3</w:t>
      </w:r>
      <w:r w:rsidRPr="007045E6">
        <w:rPr>
          <w:lang w:eastAsia="en-US"/>
        </w:rPr>
        <w:t>2%</w:t>
      </w:r>
      <w:r w:rsidR="007045E6" w:rsidRPr="007045E6">
        <w:rPr>
          <w:lang w:eastAsia="en-US"/>
        </w:rPr>
        <w:t>),</w:t>
      </w:r>
      <w:r w:rsidRPr="007045E6">
        <w:rPr>
          <w:lang w:eastAsia="en-US"/>
        </w:rPr>
        <w:t xml:space="preserve"> хорошие результаты у ПИФов, инвестирующих в компании металлургии и машиностроения</w:t>
      </w:r>
      <w:r w:rsidR="007045E6">
        <w:rPr>
          <w:lang w:eastAsia="en-US"/>
        </w:rPr>
        <w:t xml:space="preserve"> (3.1</w:t>
      </w:r>
      <w:r w:rsidRPr="007045E6">
        <w:rPr>
          <w:lang w:eastAsia="en-US"/>
        </w:rPr>
        <w:t>1%</w:t>
      </w:r>
      <w:r w:rsidR="007045E6" w:rsidRPr="007045E6">
        <w:rPr>
          <w:lang w:eastAsia="en-US"/>
        </w:rPr>
        <w:t xml:space="preserve">). </w:t>
      </w:r>
      <w:r w:rsidRPr="007045E6">
        <w:rPr>
          <w:lang w:eastAsia="en-US"/>
        </w:rPr>
        <w:t>Самые слабые результаты у подгруппы телекоммуникаций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0</w:t>
      </w:r>
      <w:r w:rsidR="007045E6">
        <w:rPr>
          <w:lang w:eastAsia="en-US"/>
        </w:rPr>
        <w:t>.5</w:t>
      </w:r>
      <w:r w:rsidRPr="007045E6">
        <w:rPr>
          <w:lang w:eastAsia="en-US"/>
        </w:rPr>
        <w:t>9%</w:t>
      </w:r>
      <w:r w:rsidR="007045E6" w:rsidRPr="007045E6">
        <w:rPr>
          <w:lang w:eastAsia="en-US"/>
        </w:rPr>
        <w:t>).</w:t>
      </w: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С начала 2009 года ПИФы облигаций показали доходность в среднем на уровне 2</w:t>
      </w:r>
      <w:r w:rsidR="007045E6">
        <w:rPr>
          <w:lang w:eastAsia="en-US"/>
        </w:rPr>
        <w:t>2.2</w:t>
      </w:r>
      <w:r w:rsidRPr="007045E6">
        <w:rPr>
          <w:lang w:eastAsia="en-US"/>
        </w:rPr>
        <w:t>1%, смешанные фонды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+7</w:t>
      </w:r>
      <w:r w:rsidR="007045E6">
        <w:rPr>
          <w:lang w:eastAsia="en-US"/>
        </w:rPr>
        <w:t>2.1</w:t>
      </w:r>
      <w:r w:rsidRPr="007045E6">
        <w:rPr>
          <w:lang w:eastAsia="en-US"/>
        </w:rPr>
        <w:t>8%, а фонды акций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120,43%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Лучший результат показал фонд Арсагера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ФА</w:t>
      </w:r>
      <w:r w:rsidR="007045E6">
        <w:rPr>
          <w:lang w:eastAsia="en-US"/>
        </w:rPr>
        <w:t xml:space="preserve"> (</w:t>
      </w:r>
      <w:r w:rsidRPr="007045E6">
        <w:rPr>
          <w:lang w:eastAsia="en-US"/>
        </w:rPr>
        <w:t>УК Арсагера</w:t>
      </w:r>
      <w:r w:rsidR="007045E6" w:rsidRPr="007045E6">
        <w:rPr>
          <w:lang w:eastAsia="en-US"/>
        </w:rPr>
        <w:t xml:space="preserve">)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прирост стоимости пая составил 241,00%</w:t>
      </w:r>
      <w:r w:rsidR="007045E6" w:rsidRPr="007045E6">
        <w:rPr>
          <w:lang w:eastAsia="en-US"/>
        </w:rPr>
        <w:t>.</w:t>
      </w: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Ноябрь принес хорошие новости для управляющих фондов акций</w:t>
      </w:r>
      <w:r w:rsidR="007045E6" w:rsidRPr="007045E6">
        <w:rPr>
          <w:lang w:eastAsia="en-US"/>
        </w:rPr>
        <w:t xml:space="preserve">: </w:t>
      </w:r>
      <w:r w:rsidRPr="007045E6">
        <w:rPr>
          <w:lang w:eastAsia="en-US"/>
        </w:rPr>
        <w:t>впервые за долгое время приток средств в ПИФы данной категории превзошел отток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За рассматриваемый период пайщики вложили 323,44 млн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рублей, кроме того спросом пользовались и индексные фонды, приток в которые составил 101,73 млн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рублей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 xml:space="preserve">Остальные категории большой популярностью у пайщиков не пользовались и суммарно по всем фондам объем привлечения все же отрицательный </w:t>
      </w:r>
      <w:r w:rsidR="007045E6">
        <w:rPr>
          <w:lang w:eastAsia="en-US"/>
        </w:rPr>
        <w:t>-</w:t>
      </w:r>
      <w:r w:rsidRPr="007045E6">
        <w:rPr>
          <w:lang w:eastAsia="en-US"/>
        </w:rPr>
        <w:t xml:space="preserve"> 11</w:t>
      </w:r>
      <w:r w:rsidR="007045E6">
        <w:rPr>
          <w:lang w:eastAsia="en-US"/>
        </w:rPr>
        <w:t>3.4</w:t>
      </w:r>
      <w:r w:rsidRPr="007045E6">
        <w:rPr>
          <w:lang w:eastAsia="en-US"/>
        </w:rPr>
        <w:t>9 млн</w:t>
      </w:r>
      <w:r w:rsidR="007045E6">
        <w:rPr>
          <w:lang w:eastAsia="en-US"/>
        </w:rPr>
        <w:t>.</w:t>
      </w: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Как и месяцем ранее, особых успехов в привлечении клиентов достигла УК Райффайзен Капитал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общем рэнкинге по привлечению фонды данной управляющей компании занимают 4 места в пятерке лидеров</w:t>
      </w:r>
      <w:r w:rsidR="007045E6" w:rsidRPr="007045E6">
        <w:rPr>
          <w:lang w:eastAsia="en-US"/>
        </w:rPr>
        <w:t>.</w:t>
      </w: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Прошедший месяц был богат на смену фондами управляющих компаний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Целая линейка открытых и одного интервального ПИФов сменили УК АВК Дворцовая площадь на УК Адекта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Новые фонды появились и у УК Открытие</w:t>
      </w:r>
      <w:r w:rsidR="007045E6" w:rsidRPr="007045E6">
        <w:rPr>
          <w:lang w:eastAsia="en-US"/>
        </w:rPr>
        <w:t xml:space="preserve">: </w:t>
      </w:r>
      <w:r w:rsidRPr="007045E6">
        <w:rPr>
          <w:lang w:eastAsia="en-US"/>
        </w:rPr>
        <w:t>ФСФР зарегистрировала изменения в ПДУ фондов УК Атлант, согласно которым они были переданы Открытию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 подомном намерении заявляет УК Алемар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Управляющая компания собирается передать большую часть фондов УК Паллада Эссет Менеджмент</w:t>
      </w:r>
      <w:r w:rsidR="007045E6">
        <w:rPr>
          <w:lang w:eastAsia="en-US"/>
        </w:rPr>
        <w:t>.</w:t>
      </w:r>
    </w:p>
    <w:p w:rsidR="007045E6" w:rsidRDefault="004C6945" w:rsidP="007045E6">
      <w:pPr>
        <w:ind w:firstLine="709"/>
        <w:rPr>
          <w:lang w:eastAsia="en-US"/>
        </w:rPr>
      </w:pPr>
      <w:r w:rsidRPr="007045E6">
        <w:rPr>
          <w:lang w:eastAsia="en-US"/>
        </w:rPr>
        <w:t>Единственный ПИФ, принадлежавший к категории индексных фондов облигаций, AK Барс RuxCbonds сменил стратегию инвестирования на более агрессивную, переименовавшись в АК Барс Нефть и газ и перейдя в категорию ПИФов акций</w:t>
      </w:r>
      <w:r w:rsidR="007045E6" w:rsidRPr="007045E6">
        <w:rPr>
          <w:lang w:eastAsia="en-US"/>
        </w:rPr>
        <w:t>.</w:t>
      </w:r>
    </w:p>
    <w:p w:rsidR="007045E6" w:rsidRDefault="00974C23" w:rsidP="00391637">
      <w:pPr>
        <w:pStyle w:val="2"/>
      </w:pPr>
      <w:r w:rsidRPr="007045E6">
        <w:br w:type="page"/>
      </w:r>
      <w:bookmarkStart w:id="28" w:name="_Toc248112695"/>
      <w:bookmarkStart w:id="29" w:name="_Toc273269130"/>
      <w:r w:rsidR="00672F6B" w:rsidRPr="007045E6">
        <w:t>Глава 3</w:t>
      </w:r>
      <w:r w:rsidR="007045E6" w:rsidRPr="007045E6">
        <w:t xml:space="preserve">. </w:t>
      </w:r>
      <w:r w:rsidR="00672F6B" w:rsidRPr="007045E6">
        <w:t>Перспективы развития инвестиционных фондов в России</w:t>
      </w:r>
      <w:bookmarkEnd w:id="28"/>
      <w:bookmarkEnd w:id="29"/>
    </w:p>
    <w:p w:rsidR="00391637" w:rsidRPr="00391637" w:rsidRDefault="00391637" w:rsidP="00391637">
      <w:pPr>
        <w:ind w:firstLine="709"/>
        <w:rPr>
          <w:lang w:eastAsia="en-US"/>
        </w:rPr>
      </w:pPr>
    </w:p>
    <w:p w:rsidR="007045E6" w:rsidRDefault="00391637" w:rsidP="00391637">
      <w:pPr>
        <w:pStyle w:val="2"/>
      </w:pPr>
      <w:bookmarkStart w:id="30" w:name="_Toc248112696"/>
      <w:bookmarkStart w:id="31" w:name="_Toc273269131"/>
      <w:r>
        <w:t xml:space="preserve">3.1 </w:t>
      </w:r>
      <w:r w:rsidR="00672F6B" w:rsidRPr="007045E6">
        <w:t>Основные перспективы развития инвестиционных фондов</w:t>
      </w:r>
      <w:bookmarkEnd w:id="30"/>
      <w:bookmarkEnd w:id="31"/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672F6B" w:rsidP="007045E6">
      <w:pPr>
        <w:ind w:firstLine="709"/>
        <w:rPr>
          <w:lang w:eastAsia="en-US"/>
        </w:rPr>
      </w:pPr>
      <w:r w:rsidRPr="007045E6">
        <w:rPr>
          <w:lang w:eastAsia="en-US"/>
        </w:rPr>
        <w:t>Российский фондовый рынок оказался в числе наиболее пострадавших вследствие мирового финансового кризиса</w:t>
      </w:r>
      <w:r w:rsidR="007045E6" w:rsidRPr="007045E6">
        <w:rPr>
          <w:lang w:eastAsia="en-US"/>
        </w:rPr>
        <w:t xml:space="preserve">. </w:t>
      </w:r>
      <w:r w:rsidR="003E50B2" w:rsidRPr="007045E6">
        <w:rPr>
          <w:lang w:eastAsia="en-US"/>
        </w:rPr>
        <w:t>Положительные изменения в экономике,</w:t>
      </w:r>
      <w:r w:rsidR="007045E6">
        <w:rPr>
          <w:lang w:eastAsia="en-US"/>
        </w:rPr>
        <w:t xml:space="preserve"> "</w:t>
      </w:r>
      <w:r w:rsidR="003E50B2" w:rsidRPr="007045E6">
        <w:rPr>
          <w:lang w:eastAsia="en-US"/>
        </w:rPr>
        <w:t>высокая</w:t>
      </w:r>
      <w:r w:rsidR="007045E6">
        <w:rPr>
          <w:lang w:eastAsia="en-US"/>
        </w:rPr>
        <w:t xml:space="preserve">" </w:t>
      </w:r>
      <w:r w:rsidR="003E50B2" w:rsidRPr="007045E6">
        <w:rPr>
          <w:lang w:eastAsia="en-US"/>
        </w:rPr>
        <w:t>нефть позитивно влияют на наш фондовый рынок</w:t>
      </w:r>
      <w:r w:rsidR="007045E6" w:rsidRPr="007045E6">
        <w:rPr>
          <w:lang w:eastAsia="en-US"/>
        </w:rPr>
        <w:t xml:space="preserve">. </w:t>
      </w:r>
      <w:r w:rsidR="003E50B2" w:rsidRPr="007045E6">
        <w:rPr>
          <w:lang w:eastAsia="en-US"/>
        </w:rPr>
        <w:t>В последние недели он стабильно растет и уже обновил июньские максимумы этого года</w:t>
      </w:r>
      <w:r w:rsidR="007045E6" w:rsidRPr="007045E6">
        <w:rPr>
          <w:lang w:eastAsia="en-US"/>
        </w:rPr>
        <w:t xml:space="preserve">. </w:t>
      </w:r>
      <w:r w:rsidR="003E50B2" w:rsidRPr="007045E6">
        <w:rPr>
          <w:lang w:eastAsia="en-US"/>
        </w:rPr>
        <w:t>Одновременно обновляет свои максимумы и рынок коллективных инвестиций</w:t>
      </w:r>
      <w:r w:rsidR="007045E6" w:rsidRPr="007045E6">
        <w:rPr>
          <w:lang w:eastAsia="en-US"/>
        </w:rPr>
        <w:t xml:space="preserve">. </w:t>
      </w:r>
      <w:r w:rsidR="003E50B2" w:rsidRPr="007045E6">
        <w:rPr>
          <w:lang w:eastAsia="en-US"/>
        </w:rPr>
        <w:t>Пайщики, рискнувшие вложить день ги в паевые фонды в начале года, на самом деле сегодня удвоили, а то и утроили свои капиталы</w:t>
      </w:r>
      <w:r w:rsidR="007045E6" w:rsidRPr="007045E6">
        <w:rPr>
          <w:lang w:eastAsia="en-US"/>
        </w:rPr>
        <w:t xml:space="preserve">. </w:t>
      </w:r>
      <w:r w:rsidR="003E50B2" w:rsidRPr="007045E6">
        <w:rPr>
          <w:lang w:eastAsia="en-US"/>
        </w:rPr>
        <w:t>К середине сентября наиболее успешные ПИФы акций заработали до 219% дохода</w:t>
      </w:r>
      <w:r w:rsidR="007045E6" w:rsidRPr="007045E6">
        <w:rPr>
          <w:lang w:eastAsia="en-US"/>
        </w:rPr>
        <w:t xml:space="preserve">. </w:t>
      </w:r>
      <w:r w:rsidR="003E50B2" w:rsidRPr="007045E6">
        <w:rPr>
          <w:lang w:eastAsia="en-US"/>
        </w:rPr>
        <w:t>При этом прибыль свыше 100% сейчас у многих фондов</w:t>
      </w:r>
      <w:r w:rsidR="007045E6" w:rsidRPr="007045E6">
        <w:rPr>
          <w:lang w:eastAsia="en-US"/>
        </w:rPr>
        <w:t>.</w:t>
      </w:r>
    </w:p>
    <w:p w:rsidR="007045E6" w:rsidRDefault="003E50B2" w:rsidP="007045E6">
      <w:pPr>
        <w:ind w:firstLine="709"/>
        <w:rPr>
          <w:lang w:eastAsia="en-US"/>
        </w:rPr>
      </w:pPr>
      <w:r w:rsidRPr="007045E6">
        <w:rPr>
          <w:lang w:eastAsia="en-US"/>
        </w:rPr>
        <w:t>Специалисты полагают, что фондовый рынок будет относительно стабильным при условии, что цена на нефть будет оставаться на уровне 65-75 долларов за баррель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этом случае, скорее всего, индекс ММВБ не выйдет за пределы 1000-1200 пунктов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Если нефть поднимется на новые уровни в 80-90 долларов за баррель, возможна переоценка рынка в сторону дальнейшего повышения</w:t>
      </w:r>
      <w:r w:rsidR="007045E6" w:rsidRPr="007045E6">
        <w:rPr>
          <w:lang w:eastAsia="en-US"/>
        </w:rPr>
        <w:t>.</w:t>
      </w:r>
    </w:p>
    <w:p w:rsidR="003E50B2" w:rsidRPr="007045E6" w:rsidRDefault="003E50B2" w:rsidP="007045E6">
      <w:pPr>
        <w:ind w:firstLine="709"/>
        <w:rPr>
          <w:lang w:eastAsia="en-US"/>
        </w:rPr>
      </w:pPr>
      <w:r w:rsidRPr="007045E6">
        <w:rPr>
          <w:lang w:eastAsia="en-US"/>
        </w:rPr>
        <w:t>Сейчас рынок находится в начале длительного восходящего тренда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Длительный восходящий тренд на российском рынке акций начался весной 2009 года, и с тех пор восстановление российского рынка акций идет весьма бурными темпами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Ведущие российские индексы от своих минимумов текущего года уже выросли более чем вдвое в контексте сначала наметившихся признаков стабилизации, а затем и проявившихся позитивных тенденций в экономике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 середины лета текущего года в России наблюдается скромный рост экономики, который, вероятно, будет набирать силу на фоне снижения рублевых процентных ставок и роста доверия к российскому рублю</w:t>
      </w:r>
    </w:p>
    <w:p w:rsidR="007045E6" w:rsidRDefault="003E50B2" w:rsidP="007045E6">
      <w:pPr>
        <w:ind w:firstLine="709"/>
        <w:rPr>
          <w:lang w:eastAsia="en-US"/>
        </w:rPr>
      </w:pPr>
      <w:r w:rsidRPr="007045E6">
        <w:rPr>
          <w:lang w:eastAsia="en-US"/>
        </w:rPr>
        <w:t>Сложившиеся условия крайне благоприятны для фондовых рынков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результате кризиса в мире образовалось много свободных производственных мощностей, и теперь экономика может несколько лет набирать обороты без инфляционного перегрева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Обычно после крупных кризисов рынок восстанавливается к прежним уровням примерно за три года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Пока индекс РТС прошел меньше половины пути к прошлогоднему пику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Это значит, что в следующие два года его значение может удвоиться</w:t>
      </w:r>
      <w:r w:rsidR="007045E6" w:rsidRPr="007045E6">
        <w:rPr>
          <w:lang w:eastAsia="en-US"/>
        </w:rPr>
        <w:t>.</w:t>
      </w:r>
    </w:p>
    <w:p w:rsidR="007045E6" w:rsidRDefault="003E50B2" w:rsidP="007045E6">
      <w:pPr>
        <w:ind w:firstLine="709"/>
        <w:rPr>
          <w:lang w:eastAsia="en-US"/>
        </w:rPr>
      </w:pPr>
      <w:r w:rsidRPr="007045E6">
        <w:rPr>
          <w:lang w:eastAsia="en-US"/>
        </w:rPr>
        <w:t>Однако не стоит надеяться на стабильный, нескончаемый и очень значительный подъем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Аналитики говорят о текущей перекупленности рынка и предсказывают весьма скромный рост до конца года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10-15%</w:t>
      </w:r>
      <w:r w:rsidR="007045E6" w:rsidRPr="007045E6">
        <w:rPr>
          <w:lang w:eastAsia="en-US"/>
        </w:rPr>
        <w:t>.</w:t>
      </w:r>
    </w:p>
    <w:p w:rsidR="007045E6" w:rsidRDefault="003E50B2" w:rsidP="007045E6">
      <w:pPr>
        <w:ind w:firstLine="709"/>
        <w:rPr>
          <w:lang w:eastAsia="en-US"/>
        </w:rPr>
      </w:pPr>
      <w:r w:rsidRPr="007045E6">
        <w:rPr>
          <w:lang w:eastAsia="en-US"/>
        </w:rPr>
        <w:t>Положительные изменения в экономике пока носят двоякий, двусмысленный характер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Среди негативных факторов по-прежнему сокращающаяся занятость населения, сокращающийся доход и, как следствие, сокращение потребления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Положительных изменений не так много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Большая их часть носит характер таких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зеленых ростков</w:t>
      </w:r>
      <w:r w:rsidR="007045E6">
        <w:rPr>
          <w:lang w:eastAsia="en-US"/>
        </w:rPr>
        <w:t>", т.е.</w:t>
      </w:r>
      <w:r w:rsidR="007045E6" w:rsidRPr="007045E6">
        <w:rPr>
          <w:lang w:eastAsia="en-US"/>
        </w:rPr>
        <w:t xml:space="preserve"> </w:t>
      </w:r>
      <w:r w:rsidRPr="007045E6">
        <w:rPr>
          <w:lang w:eastAsia="en-US"/>
        </w:rPr>
        <w:t>пока это только замедление негативных процессов или некая стабилизация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Но не более того</w:t>
      </w:r>
      <w:r w:rsidR="007045E6">
        <w:rPr>
          <w:lang w:eastAsia="en-US"/>
        </w:rPr>
        <w:t xml:space="preserve">". </w:t>
      </w:r>
      <w:r w:rsidRPr="007045E6">
        <w:rPr>
          <w:lang w:eastAsia="en-US"/>
        </w:rPr>
        <w:t>То есть еще будут провалы и коррекции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 мнению экспертов, они будут кратковременны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их надо использовать для входа в рынок на привлекательных условиях</w:t>
      </w:r>
      <w:r w:rsidR="007045E6" w:rsidRPr="007045E6">
        <w:rPr>
          <w:lang w:eastAsia="en-US"/>
        </w:rPr>
        <w:t>.</w:t>
      </w:r>
    </w:p>
    <w:p w:rsidR="007045E6" w:rsidRDefault="003E50B2" w:rsidP="007045E6">
      <w:pPr>
        <w:ind w:firstLine="709"/>
        <w:rPr>
          <w:lang w:eastAsia="en-US"/>
        </w:rPr>
      </w:pPr>
      <w:r w:rsidRPr="007045E6">
        <w:rPr>
          <w:lang w:eastAsia="en-US"/>
        </w:rPr>
        <w:t>Какие ПИФы рекомендуют управляющие для текущих вложений</w:t>
      </w:r>
      <w:r w:rsidR="007045E6" w:rsidRPr="007045E6">
        <w:rPr>
          <w:lang w:eastAsia="en-US"/>
        </w:rPr>
        <w:t xml:space="preserve">? </w:t>
      </w:r>
      <w:r w:rsidRPr="007045E6">
        <w:rPr>
          <w:lang w:eastAsia="en-US"/>
        </w:rPr>
        <w:t>Консервативным инвесторам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традиционно фонды облигаций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облигациях еще есть некий рост, ставки будут снижаться, спрос на облигации довольно серьезный, и даже большое количество новых выпусков не способно охладить энтузиазм участников рынка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Для инвесторов, которым интересно верить или не верить в рынок, предлагают индексные фонды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Для рисковых людей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отраслевые фонды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У них сейчас большой потенциал роста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Это демонстрируют итоги последнего месяца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лидерах доходности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сплошь телекоммуникационные фонды с месячным приростом стоимости пая на 32</w:t>
      </w:r>
      <w:r w:rsidR="007045E6" w:rsidRPr="007045E6">
        <w:rPr>
          <w:lang w:eastAsia="en-US"/>
        </w:rPr>
        <w:t xml:space="preserve"> - </w:t>
      </w:r>
      <w:r w:rsidRPr="007045E6">
        <w:rPr>
          <w:lang w:eastAsia="en-US"/>
        </w:rPr>
        <w:t>42%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 мнению управляющих фаворитами роста по итогам года окажутся потребительский, промышленный и металлургический сектора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Самыми недооцененными активами на рынке называются предприятия энергетики и региональные операторы связи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Капитализация большинства эмитентов в данных секторах занижена в три-четыре раза по сравнению с восстановительной стоимостью производственных мощностей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Переход к свободным ценам на электроэнергию и реструктуризация</w:t>
      </w:r>
      <w:r w:rsidR="007045E6">
        <w:rPr>
          <w:lang w:eastAsia="en-US"/>
        </w:rPr>
        <w:t xml:space="preserve"> "</w:t>
      </w:r>
      <w:r w:rsidRPr="007045E6">
        <w:rPr>
          <w:lang w:eastAsia="en-US"/>
        </w:rPr>
        <w:t>Связьинвеста</w:t>
      </w:r>
      <w:r w:rsidR="007045E6">
        <w:rPr>
          <w:lang w:eastAsia="en-US"/>
        </w:rPr>
        <w:t xml:space="preserve">" </w:t>
      </w:r>
      <w:r w:rsidRPr="007045E6">
        <w:rPr>
          <w:lang w:eastAsia="en-US"/>
        </w:rPr>
        <w:t>помогут этим компаниям конвертировать большой фундаментальный потенциал своих активов в денежные потоки</w:t>
      </w:r>
      <w:r w:rsidR="007045E6" w:rsidRPr="007045E6">
        <w:rPr>
          <w:lang w:eastAsia="en-US"/>
        </w:rPr>
        <w:t>.</w:t>
      </w:r>
    </w:p>
    <w:p w:rsidR="007045E6" w:rsidRDefault="003E50B2" w:rsidP="007045E6">
      <w:pPr>
        <w:ind w:firstLine="709"/>
        <w:rPr>
          <w:lang w:eastAsia="en-US"/>
        </w:rPr>
      </w:pPr>
      <w:r w:rsidRPr="007045E6">
        <w:rPr>
          <w:lang w:eastAsia="en-US"/>
        </w:rPr>
        <w:t>Восстановление глобальной экономики будет растянуто на более продолжительный срок, поэтому ожидать быстрого подъема мировых фондовых индексов в 2009 году не следует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Тем не менее, если это будет происходить, возвращение доверия к российским эмитентам также будет осуществляться ускоренными темпами, и в этом случае значение индекса РТС на конец текущего года может составить до 1250 пунктов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</w:t>
      </w:r>
      <w:r w:rsidR="007045E6" w:rsidRPr="007045E6">
        <w:rPr>
          <w:lang w:eastAsia="en-US"/>
        </w:rPr>
        <w:t xml:space="preserve"> </w:t>
      </w:r>
      <w:r w:rsidRPr="007045E6">
        <w:rPr>
          <w:lang w:eastAsia="en-US"/>
        </w:rPr>
        <w:t>течение 2009 года можно было</w:t>
      </w:r>
      <w:r w:rsidR="007045E6" w:rsidRPr="007045E6">
        <w:rPr>
          <w:lang w:eastAsia="en-US"/>
        </w:rPr>
        <w:t xml:space="preserve"> </w:t>
      </w:r>
      <w:r w:rsidRPr="007045E6">
        <w:rPr>
          <w:lang w:eastAsia="en-US"/>
        </w:rPr>
        <w:t>рассчитывать лишь на ограниченную реализацию данного потенциала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Большая его часть будет воплощена лишь вместе с ростом капитализации мировых рынков, который может начаться к моменту выхода глобальной экономики из рецессии, то есть в 2010 году</w:t>
      </w:r>
      <w:r w:rsidR="007045E6" w:rsidRPr="007045E6">
        <w:rPr>
          <w:lang w:eastAsia="en-US"/>
        </w:rPr>
        <w:t>.</w:t>
      </w:r>
    </w:p>
    <w:p w:rsidR="00974C23" w:rsidRPr="007045E6" w:rsidRDefault="00391637" w:rsidP="00391637">
      <w:pPr>
        <w:pStyle w:val="2"/>
      </w:pPr>
      <w:bookmarkStart w:id="32" w:name="_Toc248112697"/>
      <w:r>
        <w:br w:type="page"/>
      </w:r>
      <w:bookmarkStart w:id="33" w:name="_Toc273269132"/>
      <w:r w:rsidR="00974C23" w:rsidRPr="007045E6">
        <w:t>Заключение</w:t>
      </w:r>
      <w:bookmarkEnd w:id="32"/>
      <w:bookmarkEnd w:id="33"/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BA168B" w:rsidP="007045E6">
      <w:pPr>
        <w:ind w:firstLine="709"/>
        <w:rPr>
          <w:lang w:eastAsia="en-US"/>
        </w:rPr>
      </w:pPr>
      <w:r w:rsidRPr="007045E6">
        <w:rPr>
          <w:lang w:eastAsia="en-US"/>
        </w:rPr>
        <w:t>На основе опыта стран, где различные формы коллективного инвестирования наглядно продемонстрировали свои преимущества, можно сделать несколько выводов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Прежде всего, развитие рынка ПИФов стимулирует рост финансовых рынков в стране за счет аккумуляции и инвестирования значительных объемов финансовых ресурсов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Кроме того, расширяются возможности населения сохранять и приумножать свои сбережения, что само по себе способно защитить их интересы и повысить доверие к финансовым институтам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По мере развития рынка коллективных инвестиций конкурентная борьба между его участниками будет увеличиваться, соответственно, возрастет качество предоставляемых услуг и доступность данных финансовых инструментов</w:t>
      </w:r>
      <w:r w:rsidR="007045E6" w:rsidRPr="007045E6">
        <w:rPr>
          <w:lang w:eastAsia="en-US"/>
        </w:rPr>
        <w:t>.</w:t>
      </w:r>
    </w:p>
    <w:p w:rsidR="007045E6" w:rsidRDefault="00BA168B" w:rsidP="007045E6">
      <w:pPr>
        <w:ind w:firstLine="709"/>
        <w:rPr>
          <w:lang w:eastAsia="en-US"/>
        </w:rPr>
      </w:pPr>
      <w:r w:rsidRPr="007045E6">
        <w:rPr>
          <w:lang w:eastAsia="en-US"/>
        </w:rPr>
        <w:t>Существуют колоссальные резервы для увеличения объемов поступлений инвестиций на российский финансовый рынок, в том числе на рынок ПИФов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то же время, очевидно, что для этого нужно создать условия, которые в первую очередь обеспечат сохранность средств, равные и не меняющиеся для инвесторов правила игры</w:t>
      </w:r>
      <w:r w:rsidR="007045E6" w:rsidRPr="007045E6">
        <w:rPr>
          <w:lang w:eastAsia="en-US"/>
        </w:rPr>
        <w:t>.</w:t>
      </w:r>
    </w:p>
    <w:p w:rsidR="007045E6" w:rsidRDefault="00EC75E4" w:rsidP="007045E6">
      <w:pPr>
        <w:ind w:firstLine="709"/>
        <w:rPr>
          <w:lang w:eastAsia="en-US"/>
        </w:rPr>
      </w:pPr>
      <w:r w:rsidRPr="007045E6">
        <w:rPr>
          <w:lang w:eastAsia="en-US"/>
        </w:rPr>
        <w:t>Р</w:t>
      </w:r>
      <w:r w:rsidR="00BA168B" w:rsidRPr="007045E6">
        <w:rPr>
          <w:lang w:eastAsia="en-US"/>
        </w:rPr>
        <w:t>оссийские граждане готовы к диверсификации своих вложений, и при соответствующем уровне информационной поддержки могут направить существенную часть средств на рынок ПИФов, инструменты которого носят более цивилизованный характер, чем метания между двумя валютами</w:t>
      </w:r>
      <w:r w:rsidR="007045E6" w:rsidRPr="007045E6">
        <w:rPr>
          <w:lang w:eastAsia="en-US"/>
        </w:rPr>
        <w:t xml:space="preserve">. </w:t>
      </w:r>
      <w:r w:rsidR="00BA168B" w:rsidRPr="007045E6">
        <w:rPr>
          <w:lang w:eastAsia="en-US"/>
        </w:rPr>
        <w:t>Безусловно, потенциал привлечения здесь для управляющих компаний огромен, так как анализ показывает, что на покупку валюты население тратит гораздо больше средств, чем на вложения в ПИФы</w:t>
      </w:r>
      <w:r w:rsidR="007045E6" w:rsidRPr="007045E6">
        <w:rPr>
          <w:lang w:eastAsia="en-US"/>
        </w:rPr>
        <w:t>.</w:t>
      </w:r>
    </w:p>
    <w:p w:rsidR="007045E6" w:rsidRDefault="00BA168B" w:rsidP="007045E6">
      <w:pPr>
        <w:ind w:firstLine="709"/>
        <w:rPr>
          <w:lang w:eastAsia="en-US"/>
        </w:rPr>
      </w:pPr>
      <w:r w:rsidRPr="007045E6">
        <w:rPr>
          <w:lang w:eastAsia="en-US"/>
        </w:rPr>
        <w:t>Помимо существующей наличности на руках, очевидно, что для развития рынка паевых фондов нужно искать механизмы использования накопленного потенциала, например, в банковском секторе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Одним из таких механизмов, который уже начал находить свое применение, является выступление банками в роли агентов по распространению паев за соответствующее комиссионное вознаграждение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Однако задействованность банков в этом направлении пока не слишком велика</w:t>
      </w:r>
      <w:r w:rsidR="007045E6" w:rsidRPr="007045E6">
        <w:rPr>
          <w:lang w:eastAsia="en-US"/>
        </w:rPr>
        <w:t xml:space="preserve">. </w:t>
      </w:r>
      <w:r w:rsidRPr="007045E6">
        <w:rPr>
          <w:lang w:eastAsia="en-US"/>
        </w:rPr>
        <w:t>В то же время более активное взаимодействие между УК и банками способно повлиять на привлечение существенного объема средств населения</w:t>
      </w:r>
      <w:r w:rsidR="007045E6" w:rsidRPr="007045E6">
        <w:rPr>
          <w:lang w:eastAsia="en-US"/>
        </w:rPr>
        <w:t>.</w:t>
      </w:r>
    </w:p>
    <w:p w:rsidR="007045E6" w:rsidRPr="007045E6" w:rsidRDefault="00974C23" w:rsidP="00391637">
      <w:pPr>
        <w:pStyle w:val="2"/>
      </w:pPr>
      <w:r w:rsidRPr="007045E6">
        <w:br w:type="page"/>
      </w:r>
      <w:bookmarkStart w:id="34" w:name="_Toc248112698"/>
      <w:bookmarkStart w:id="35" w:name="_Toc273269133"/>
      <w:r w:rsidRPr="007045E6">
        <w:t>Список использованной литературы</w:t>
      </w:r>
      <w:bookmarkEnd w:id="34"/>
      <w:bookmarkEnd w:id="35"/>
    </w:p>
    <w:p w:rsidR="00391637" w:rsidRDefault="00391637" w:rsidP="007045E6">
      <w:pPr>
        <w:ind w:firstLine="709"/>
        <w:rPr>
          <w:lang w:eastAsia="en-US"/>
        </w:rPr>
      </w:pPr>
    </w:p>
    <w:p w:rsidR="007045E6" w:rsidRDefault="00E95BE1" w:rsidP="00391637">
      <w:pPr>
        <w:pStyle w:val="a0"/>
      </w:pPr>
      <w:r w:rsidRPr="007045E6">
        <w:t>Федеральный закон об инвестиционных фондах N 156-ФЗ</w:t>
      </w:r>
      <w:r w:rsidR="007045E6" w:rsidRPr="007045E6">
        <w:t xml:space="preserve"> </w:t>
      </w:r>
      <w:r w:rsidRPr="007045E6">
        <w:t>от 29 ноября 2001г</w:t>
      </w:r>
      <w:r w:rsidR="007045E6" w:rsidRPr="007045E6">
        <w:t>.</w:t>
      </w:r>
    </w:p>
    <w:p w:rsidR="00E95BE1" w:rsidRPr="007045E6" w:rsidRDefault="00E95BE1" w:rsidP="00391637">
      <w:pPr>
        <w:pStyle w:val="a0"/>
      </w:pPr>
      <w:r w:rsidRPr="007045E6">
        <w:t>Арсеньев В</w:t>
      </w:r>
      <w:r w:rsidR="007045E6" w:rsidRPr="007045E6">
        <w:t xml:space="preserve">. </w:t>
      </w:r>
      <w:r w:rsidRPr="007045E6">
        <w:t>Паевые инвестиционные фонды</w:t>
      </w:r>
      <w:r w:rsidR="007045E6" w:rsidRPr="007045E6">
        <w:t>.</w:t>
      </w:r>
      <w:r w:rsidR="007045E6">
        <w:t xml:space="preserve"> "</w:t>
      </w:r>
      <w:r w:rsidRPr="007045E6">
        <w:t>Альпина Паблишер</w:t>
      </w:r>
      <w:r w:rsidR="007045E6">
        <w:t xml:space="preserve">", </w:t>
      </w:r>
      <w:r w:rsidRPr="007045E6">
        <w:t>М</w:t>
      </w:r>
      <w:r w:rsidR="007045E6">
        <w:t>. 20</w:t>
      </w:r>
      <w:r w:rsidRPr="007045E6">
        <w:t>03</w:t>
      </w:r>
    </w:p>
    <w:p w:rsidR="007045E6" w:rsidRDefault="00E95BE1" w:rsidP="00391637">
      <w:pPr>
        <w:pStyle w:val="a0"/>
      </w:pPr>
      <w:r w:rsidRPr="007045E6">
        <w:t>Капитан М</w:t>
      </w:r>
      <w:r w:rsidR="007045E6">
        <w:t xml:space="preserve">.Е. </w:t>
      </w:r>
      <w:r w:rsidRPr="007045E6">
        <w:t>Кто есть кто на рынке коллективных инвестиций</w:t>
      </w:r>
      <w:r w:rsidR="007045E6">
        <w:t xml:space="preserve"> // </w:t>
      </w:r>
      <w:r w:rsidRPr="007045E6">
        <w:t>М</w:t>
      </w:r>
      <w:r w:rsidR="007045E6">
        <w:t>.:</w:t>
      </w:r>
      <w:r w:rsidR="007045E6" w:rsidRPr="007045E6">
        <w:t xml:space="preserve"> </w:t>
      </w:r>
      <w:r w:rsidRPr="007045E6">
        <w:t>Альпина Паблишер, 2003</w:t>
      </w:r>
      <w:r w:rsidR="007045E6" w:rsidRPr="007045E6">
        <w:t>. -</w:t>
      </w:r>
      <w:r w:rsidR="007045E6">
        <w:t xml:space="preserve"> </w:t>
      </w:r>
      <w:r w:rsidRPr="007045E6">
        <w:t>208 с</w:t>
      </w:r>
      <w:r w:rsidR="007045E6" w:rsidRPr="007045E6">
        <w:t>.</w:t>
      </w:r>
    </w:p>
    <w:p w:rsidR="007045E6" w:rsidRDefault="009D44FC" w:rsidP="00391637">
      <w:pPr>
        <w:pStyle w:val="a0"/>
      </w:pPr>
      <w:r w:rsidRPr="007045E6">
        <w:t>Макаров А</w:t>
      </w:r>
      <w:r w:rsidR="007045E6">
        <w:t xml:space="preserve">.В. </w:t>
      </w:r>
      <w:r w:rsidRPr="007045E6">
        <w:t>Инвестируем в паевые инвестиционные фонды</w:t>
      </w:r>
      <w:r w:rsidR="007045E6" w:rsidRPr="007045E6">
        <w:t>. -</w:t>
      </w:r>
      <w:r w:rsidR="007045E6">
        <w:t xml:space="preserve"> </w:t>
      </w:r>
      <w:r w:rsidRPr="007045E6">
        <w:t>М</w:t>
      </w:r>
      <w:r w:rsidR="007045E6" w:rsidRPr="007045E6">
        <w:t xml:space="preserve">: </w:t>
      </w:r>
      <w:r w:rsidRPr="007045E6">
        <w:t>Эксмо</w:t>
      </w:r>
      <w:r w:rsidR="007045E6">
        <w:t>, 20</w:t>
      </w:r>
      <w:r w:rsidRPr="007045E6">
        <w:t>05</w:t>
      </w:r>
      <w:r w:rsidR="007045E6" w:rsidRPr="007045E6">
        <w:t xml:space="preserve">. - </w:t>
      </w:r>
      <w:r w:rsidRPr="007045E6">
        <w:t>96с</w:t>
      </w:r>
      <w:r w:rsidR="007045E6" w:rsidRPr="007045E6">
        <w:t>.</w:t>
      </w:r>
      <w:r w:rsidR="007045E6">
        <w:t xml:space="preserve"> (</w:t>
      </w:r>
      <w:r w:rsidRPr="007045E6">
        <w:t>Юр</w:t>
      </w:r>
      <w:r w:rsidR="007045E6" w:rsidRPr="007045E6">
        <w:t xml:space="preserve">. </w:t>
      </w:r>
      <w:r w:rsidRPr="007045E6">
        <w:t>конс</w:t>
      </w:r>
      <w:r w:rsidR="00B43FBD">
        <w:t>.</w:t>
      </w:r>
      <w:r w:rsidR="007045E6" w:rsidRPr="007045E6">
        <w:t>)</w:t>
      </w:r>
    </w:p>
    <w:p w:rsidR="007045E6" w:rsidRDefault="00E95BE1" w:rsidP="00391637">
      <w:pPr>
        <w:pStyle w:val="a0"/>
      </w:pPr>
      <w:r w:rsidRPr="007045E6">
        <w:t>Миловидов В</w:t>
      </w:r>
      <w:r w:rsidR="007045E6">
        <w:t xml:space="preserve">.Д. </w:t>
      </w:r>
      <w:r w:rsidRPr="007045E6">
        <w:t>Паевые инвестиционные фонды</w:t>
      </w:r>
      <w:r w:rsidR="007045E6">
        <w:t xml:space="preserve"> // </w:t>
      </w:r>
      <w:r w:rsidRPr="007045E6">
        <w:t>М</w:t>
      </w:r>
      <w:r w:rsidR="007045E6">
        <w:t>.:</w:t>
      </w:r>
      <w:r w:rsidR="007045E6" w:rsidRPr="007045E6">
        <w:t xml:space="preserve"> </w:t>
      </w:r>
      <w:r w:rsidRPr="007045E6">
        <w:t>Анкил, ИНФРА-М, 1996</w:t>
      </w:r>
      <w:r w:rsidR="007045E6" w:rsidRPr="007045E6">
        <w:t>. -</w:t>
      </w:r>
      <w:r w:rsidR="007045E6">
        <w:t xml:space="preserve"> </w:t>
      </w:r>
      <w:r w:rsidRPr="007045E6">
        <w:t>416 с</w:t>
      </w:r>
      <w:r w:rsidR="007045E6" w:rsidRPr="007045E6">
        <w:t>.</w:t>
      </w:r>
    </w:p>
    <w:p w:rsidR="007045E6" w:rsidRDefault="00E95BE1" w:rsidP="00391637">
      <w:pPr>
        <w:pStyle w:val="a0"/>
      </w:pPr>
      <w:r w:rsidRPr="007045E6">
        <w:t>Началов А</w:t>
      </w:r>
      <w:r w:rsidR="007045E6">
        <w:t xml:space="preserve">.В., </w:t>
      </w:r>
      <w:r w:rsidR="007045E6" w:rsidRPr="007045E6">
        <w:t>20</w:t>
      </w:r>
      <w:r w:rsidRPr="007045E6">
        <w:t>04</w:t>
      </w:r>
      <w:r w:rsidR="007045E6" w:rsidRPr="007045E6">
        <w:t>;,</w:t>
      </w:r>
      <w:r w:rsidRPr="007045E6">
        <w:t xml:space="preserve"> Паевые инвестиционные фонды,</w:t>
      </w:r>
      <w:r w:rsidR="007045E6">
        <w:t xml:space="preserve"> "</w:t>
      </w:r>
      <w:r w:rsidRPr="007045E6">
        <w:t>Статус-Кво 97</w:t>
      </w:r>
      <w:r w:rsidR="007045E6">
        <w:t xml:space="preserve">", </w:t>
      </w:r>
      <w:r w:rsidRPr="007045E6">
        <w:t>М, 2004</w:t>
      </w:r>
    </w:p>
    <w:p w:rsidR="007045E6" w:rsidRDefault="00E95BE1" w:rsidP="00391637">
      <w:pPr>
        <w:pStyle w:val="a0"/>
      </w:pPr>
      <w:r w:rsidRPr="007045E6">
        <w:t>Путеводитель по российскому рынку капитала</w:t>
      </w:r>
      <w:r w:rsidR="007045E6" w:rsidRPr="007045E6">
        <w:t xml:space="preserve">: </w:t>
      </w:r>
      <w:r w:rsidRPr="007045E6">
        <w:t>Паевые инвестиционные фонды</w:t>
      </w:r>
      <w:r w:rsidR="007045E6">
        <w:t xml:space="preserve"> // </w:t>
      </w:r>
      <w:r w:rsidRPr="007045E6">
        <w:t>М</w:t>
      </w:r>
      <w:r w:rsidR="007045E6">
        <w:t>.:</w:t>
      </w:r>
      <w:r w:rsidR="007045E6" w:rsidRPr="007045E6">
        <w:t xml:space="preserve"> </w:t>
      </w:r>
      <w:r w:rsidRPr="007045E6">
        <w:t>Коммерсант XXI, Альпина Паблишер, 2001</w:t>
      </w:r>
      <w:r w:rsidR="007045E6" w:rsidRPr="007045E6">
        <w:t>. -</w:t>
      </w:r>
      <w:r w:rsidR="007045E6">
        <w:t xml:space="preserve"> </w:t>
      </w:r>
      <w:r w:rsidRPr="007045E6">
        <w:t>160</w:t>
      </w:r>
      <w:r w:rsidR="007045E6">
        <w:t xml:space="preserve"> </w:t>
      </w:r>
      <w:r w:rsidRPr="007045E6">
        <w:t>с</w:t>
      </w:r>
      <w:r w:rsidR="007045E6" w:rsidRPr="007045E6">
        <w:t>.</w:t>
      </w:r>
    </w:p>
    <w:p w:rsidR="007045E6" w:rsidRDefault="00E95BE1" w:rsidP="00391637">
      <w:pPr>
        <w:pStyle w:val="a0"/>
      </w:pPr>
      <w:r w:rsidRPr="007045E6">
        <w:t>Антонец О</w:t>
      </w:r>
      <w:r w:rsidR="007045E6" w:rsidRPr="007045E6">
        <w:t xml:space="preserve">. </w:t>
      </w:r>
      <w:r w:rsidRPr="007045E6">
        <w:t>Выбор фонда</w:t>
      </w:r>
      <w:r w:rsidR="007045E6">
        <w:t xml:space="preserve"> // </w:t>
      </w:r>
      <w:r w:rsidRPr="007045E6">
        <w:t>Директор-Инфо</w:t>
      </w:r>
      <w:r w:rsidR="007045E6" w:rsidRPr="007045E6">
        <w:t>. -</w:t>
      </w:r>
      <w:r w:rsidR="007045E6">
        <w:t xml:space="preserve"> </w:t>
      </w:r>
      <w:r w:rsidRPr="007045E6">
        <w:t>N 5</w:t>
      </w:r>
      <w:r w:rsidR="007045E6">
        <w:t xml:space="preserve"> (</w:t>
      </w:r>
      <w:r w:rsidRPr="007045E6">
        <w:t>70</w:t>
      </w:r>
      <w:r w:rsidR="007045E6" w:rsidRPr="007045E6">
        <w:t>). -</w:t>
      </w:r>
      <w:r w:rsidR="007045E6">
        <w:t xml:space="preserve"> </w:t>
      </w:r>
      <w:r w:rsidRPr="007045E6">
        <w:t>2003</w:t>
      </w:r>
      <w:r w:rsidR="007045E6" w:rsidRPr="007045E6">
        <w:t xml:space="preserve">. </w:t>
      </w:r>
      <w:r w:rsidRPr="007045E6">
        <w:t>С</w:t>
      </w:r>
      <w:r w:rsidR="007045E6">
        <w:t>.1</w:t>
      </w:r>
      <w:r w:rsidRPr="007045E6">
        <w:t>2-16</w:t>
      </w:r>
      <w:r w:rsidR="007045E6" w:rsidRPr="007045E6">
        <w:t>.</w:t>
      </w:r>
    </w:p>
    <w:p w:rsidR="007045E6" w:rsidRDefault="00E95BE1" w:rsidP="00391637">
      <w:pPr>
        <w:pStyle w:val="a0"/>
      </w:pPr>
      <w:r w:rsidRPr="007045E6">
        <w:t>Ладыгин Д</w:t>
      </w:r>
      <w:r w:rsidR="007045E6" w:rsidRPr="007045E6">
        <w:t xml:space="preserve">. </w:t>
      </w:r>
      <w:r w:rsidRPr="007045E6">
        <w:t>Кому доверить все свое</w:t>
      </w:r>
      <w:r w:rsidR="007045E6">
        <w:t xml:space="preserve"> // </w:t>
      </w:r>
      <w:r w:rsidRPr="007045E6">
        <w:t>Коммерсант-Деньги</w:t>
      </w:r>
      <w:r w:rsidR="007045E6">
        <w:t xml:space="preserve"> (</w:t>
      </w:r>
      <w:r w:rsidRPr="007045E6">
        <w:t>Москва</w:t>
      </w:r>
      <w:r w:rsidR="007045E6" w:rsidRPr="007045E6">
        <w:t>). -</w:t>
      </w:r>
      <w:r w:rsidR="007045E6">
        <w:t xml:space="preserve"> </w:t>
      </w:r>
      <w:r w:rsidRPr="007045E6">
        <w:t>26</w:t>
      </w:r>
      <w:r w:rsidR="007045E6">
        <w:t>.12.20</w:t>
      </w:r>
      <w:r w:rsidRPr="007045E6">
        <w:t>01</w:t>
      </w:r>
      <w:r w:rsidR="007045E6" w:rsidRPr="007045E6">
        <w:t>. -</w:t>
      </w:r>
      <w:r w:rsidR="007045E6">
        <w:t xml:space="preserve"> </w:t>
      </w:r>
      <w:r w:rsidRPr="007045E6">
        <w:t>051</w:t>
      </w:r>
      <w:r w:rsidR="007045E6" w:rsidRPr="007045E6">
        <w:t>. -</w:t>
      </w:r>
      <w:r w:rsidR="007045E6">
        <w:t xml:space="preserve"> </w:t>
      </w:r>
      <w:r w:rsidRPr="007045E6">
        <w:t>C</w:t>
      </w:r>
      <w:r w:rsidR="007045E6">
        <w:t>.1</w:t>
      </w:r>
      <w:r w:rsidRPr="007045E6">
        <w:t>0-12</w:t>
      </w:r>
      <w:r w:rsidR="007045E6" w:rsidRPr="007045E6">
        <w:t>.</w:t>
      </w:r>
    </w:p>
    <w:p w:rsidR="00E95BE1" w:rsidRPr="007045E6" w:rsidRDefault="00E95BE1" w:rsidP="00391637">
      <w:pPr>
        <w:pStyle w:val="a0"/>
      </w:pPr>
      <w:r w:rsidRPr="007045E6">
        <w:t>Максимов М</w:t>
      </w:r>
      <w:r w:rsidR="007045E6" w:rsidRPr="007045E6">
        <w:t xml:space="preserve">. </w:t>
      </w:r>
      <w:r w:rsidRPr="007045E6">
        <w:t>Комментарии юриста о ПИФах</w:t>
      </w:r>
      <w:r w:rsidR="007045E6">
        <w:t xml:space="preserve"> (</w:t>
      </w:r>
      <w:r w:rsidRPr="007045E6">
        <w:t>Части 1 и 2</w:t>
      </w:r>
      <w:r w:rsidR="007045E6" w:rsidRPr="007045E6">
        <w:t>)</w:t>
      </w:r>
      <w:r w:rsidR="007045E6">
        <w:t xml:space="preserve"> // </w:t>
      </w:r>
      <w:r w:rsidRPr="007045E6">
        <w:t>Валютный спекулянт</w:t>
      </w:r>
      <w:r w:rsidR="007045E6">
        <w:t xml:space="preserve"> (</w:t>
      </w:r>
      <w:r w:rsidRPr="007045E6">
        <w:t>Москва</w:t>
      </w:r>
      <w:r w:rsidR="007045E6" w:rsidRPr="007045E6">
        <w:t>). -</w:t>
      </w:r>
      <w:r w:rsidR="007045E6">
        <w:t xml:space="preserve"> </w:t>
      </w:r>
      <w:r w:rsidRPr="007045E6">
        <w:t>17</w:t>
      </w:r>
      <w:r w:rsidR="007045E6">
        <w:t>.06.20</w:t>
      </w:r>
      <w:r w:rsidRPr="007045E6">
        <w:t>02</w:t>
      </w:r>
      <w:r w:rsidR="007045E6" w:rsidRPr="007045E6">
        <w:t>. -</w:t>
      </w:r>
      <w:r w:rsidR="007045E6">
        <w:t xml:space="preserve"> </w:t>
      </w:r>
      <w:r w:rsidRPr="007045E6">
        <w:t>C</w:t>
      </w:r>
      <w:r w:rsidR="007045E6">
        <w:t>.2</w:t>
      </w:r>
      <w:r w:rsidRPr="007045E6">
        <w:t>8-30</w:t>
      </w:r>
      <w:r w:rsidR="007045E6">
        <w:t>.2</w:t>
      </w:r>
      <w:r w:rsidRPr="007045E6">
        <w:t>9</w:t>
      </w:r>
      <w:r w:rsidR="007045E6">
        <w:t>.07.20</w:t>
      </w:r>
      <w:r w:rsidRPr="007045E6">
        <w:t>02</w:t>
      </w:r>
      <w:r w:rsidR="007045E6" w:rsidRPr="007045E6">
        <w:t>. -</w:t>
      </w:r>
      <w:r w:rsidR="007045E6">
        <w:t xml:space="preserve"> </w:t>
      </w:r>
      <w:r w:rsidRPr="007045E6">
        <w:t>C</w:t>
      </w:r>
      <w:r w:rsidR="007045E6">
        <w:t>.4</w:t>
      </w:r>
      <w:r w:rsidRPr="007045E6">
        <w:t>6-49</w:t>
      </w:r>
    </w:p>
    <w:p w:rsidR="007045E6" w:rsidRDefault="00E95BE1" w:rsidP="00391637">
      <w:pPr>
        <w:pStyle w:val="a0"/>
      </w:pPr>
      <w:r w:rsidRPr="007045E6">
        <w:t>Перцев А</w:t>
      </w:r>
      <w:r w:rsidR="007045E6">
        <w:t xml:space="preserve">.П. </w:t>
      </w:r>
      <w:r w:rsidRPr="007045E6">
        <w:t>Инвестирование через паевые фонды</w:t>
      </w:r>
      <w:r w:rsidR="007045E6" w:rsidRPr="007045E6">
        <w:t xml:space="preserve">: </w:t>
      </w:r>
      <w:r w:rsidRPr="007045E6">
        <w:t>нормы законодательства и особенности налогообложения</w:t>
      </w:r>
      <w:r w:rsidR="007045E6">
        <w:t xml:space="preserve"> // </w:t>
      </w:r>
      <w:r w:rsidRPr="007045E6">
        <w:t>Рынок ценных бумаг, N 17, 2000 г</w:t>
      </w:r>
      <w:r w:rsidR="007045E6" w:rsidRPr="007045E6">
        <w:t xml:space="preserve">. </w:t>
      </w:r>
      <w:r w:rsidRPr="007045E6">
        <w:t>С</w:t>
      </w:r>
      <w:r w:rsidR="007045E6">
        <w:t>.8</w:t>
      </w:r>
      <w:r w:rsidRPr="007045E6">
        <w:t>2-83</w:t>
      </w:r>
      <w:r w:rsidR="007045E6" w:rsidRPr="007045E6">
        <w:t>.</w:t>
      </w:r>
    </w:p>
    <w:p w:rsidR="007045E6" w:rsidRDefault="00E95BE1" w:rsidP="00391637">
      <w:pPr>
        <w:pStyle w:val="a0"/>
      </w:pPr>
      <w:r w:rsidRPr="007045E6">
        <w:t>Черкасов Д</w:t>
      </w:r>
      <w:r w:rsidR="007045E6" w:rsidRPr="007045E6">
        <w:t xml:space="preserve">. </w:t>
      </w:r>
      <w:r w:rsidRPr="007045E6">
        <w:t>Курс молодого инвестора</w:t>
      </w:r>
      <w:r w:rsidR="007045E6">
        <w:t xml:space="preserve"> // </w:t>
      </w:r>
      <w:r w:rsidRPr="007045E6">
        <w:t>Компания</w:t>
      </w:r>
      <w:r w:rsidR="007045E6" w:rsidRPr="007045E6">
        <w:t>. -</w:t>
      </w:r>
      <w:r w:rsidR="007045E6">
        <w:t xml:space="preserve"> </w:t>
      </w:r>
      <w:r w:rsidRPr="007045E6">
        <w:t>2003</w:t>
      </w:r>
      <w:r w:rsidR="007045E6" w:rsidRPr="007045E6">
        <w:t>. -</w:t>
      </w:r>
      <w:r w:rsidR="007045E6">
        <w:t xml:space="preserve"> </w:t>
      </w:r>
      <w:r w:rsidRPr="007045E6">
        <w:t>N 2</w:t>
      </w:r>
      <w:r w:rsidR="007045E6">
        <w:t xml:space="preserve"> (</w:t>
      </w:r>
      <w:r w:rsidRPr="007045E6">
        <w:t>10 февраля</w:t>
      </w:r>
      <w:r w:rsidR="007045E6" w:rsidRPr="007045E6">
        <w:t>).</w:t>
      </w:r>
    </w:p>
    <w:p w:rsidR="009D44FC" w:rsidRPr="007045E6" w:rsidRDefault="009D44FC" w:rsidP="00391637">
      <w:pPr>
        <w:pStyle w:val="a0"/>
      </w:pPr>
      <w:r w:rsidRPr="007045E6">
        <w:t>Материалы брошюры,</w:t>
      </w:r>
      <w:r w:rsidR="007045E6">
        <w:t xml:space="preserve"> "</w:t>
      </w:r>
      <w:r w:rsidRPr="007045E6">
        <w:t>Паевые инвестиционные фонды</w:t>
      </w:r>
      <w:r w:rsidR="007045E6">
        <w:t xml:space="preserve">", </w:t>
      </w:r>
      <w:r w:rsidRPr="007045E6">
        <w:t>Федеральная служба по финансовым, рынкам М, 2005</w:t>
      </w:r>
    </w:p>
    <w:p w:rsidR="007045E6" w:rsidRPr="007045E6" w:rsidRDefault="009E6E01" w:rsidP="00391637">
      <w:pPr>
        <w:pStyle w:val="a0"/>
      </w:pPr>
      <w:r w:rsidRPr="007045E6">
        <w:t>Газета МК, экономический вторник №34,38 октябрь-ноябрь 2009 года</w:t>
      </w:r>
    </w:p>
    <w:p w:rsidR="007045E6" w:rsidRDefault="00E95BE1" w:rsidP="00391637">
      <w:pPr>
        <w:pStyle w:val="a0"/>
      </w:pPr>
      <w:r w:rsidRPr="007045E6">
        <w:t xml:space="preserve">Интернет-ресурс </w:t>
      </w:r>
      <w:r w:rsidR="007045E6">
        <w:t>http://www.</w:t>
      </w:r>
      <w:r w:rsidRPr="007045E6">
        <w:t>rbc</w:t>
      </w:r>
      <w:r w:rsidR="007045E6">
        <w:t>.ru (</w:t>
      </w:r>
      <w:r w:rsidRPr="007045E6">
        <w:t>Информационной агентство</w:t>
      </w:r>
      <w:r w:rsidR="007045E6">
        <w:t xml:space="preserve"> "</w:t>
      </w:r>
      <w:r w:rsidRPr="007045E6">
        <w:t>Росбизнесконсалтинг</w:t>
      </w:r>
      <w:r w:rsidR="007045E6">
        <w:t>"</w:t>
      </w:r>
      <w:r w:rsidR="007045E6" w:rsidRPr="007045E6">
        <w:t>)</w:t>
      </w:r>
    </w:p>
    <w:p w:rsidR="007045E6" w:rsidRDefault="00E95BE1" w:rsidP="00391637">
      <w:pPr>
        <w:pStyle w:val="a0"/>
      </w:pPr>
      <w:r w:rsidRPr="007045E6">
        <w:t xml:space="preserve">Интернет-ресурс </w:t>
      </w:r>
      <w:r w:rsidR="007045E6">
        <w:t>http://www.</w:t>
      </w:r>
      <w:r w:rsidRPr="007045E6">
        <w:t>management</w:t>
      </w:r>
      <w:r w:rsidR="007045E6" w:rsidRPr="007045E6">
        <w:t xml:space="preserve">. </w:t>
      </w:r>
      <w:r w:rsidRPr="007045E6">
        <w:t>nikoil</w:t>
      </w:r>
      <w:r w:rsidR="007045E6">
        <w:t>.ru (</w:t>
      </w:r>
      <w:r w:rsidRPr="007045E6">
        <w:t>Управляющая компания</w:t>
      </w:r>
      <w:r w:rsidR="007045E6">
        <w:t xml:space="preserve"> "</w:t>
      </w:r>
      <w:r w:rsidRPr="007045E6">
        <w:t>НИКойл</w:t>
      </w:r>
      <w:r w:rsidR="007045E6">
        <w:t>"</w:t>
      </w:r>
      <w:r w:rsidR="007045E6" w:rsidRPr="007045E6">
        <w:t>)</w:t>
      </w:r>
    </w:p>
    <w:p w:rsidR="00E95BE1" w:rsidRPr="007045E6" w:rsidRDefault="00E95BE1" w:rsidP="00391637">
      <w:pPr>
        <w:pStyle w:val="a0"/>
      </w:pPr>
      <w:r w:rsidRPr="007045E6">
        <w:t xml:space="preserve">Интернет-ресурс </w:t>
      </w:r>
      <w:r w:rsidR="007045E6">
        <w:t>http://www.</w:t>
      </w:r>
      <w:r w:rsidRPr="007045E6">
        <w:t>brocompany</w:t>
      </w:r>
      <w:r w:rsidR="007045E6">
        <w:t>.ru</w:t>
      </w:r>
      <w:r w:rsidRPr="007045E6">
        <w:t>/</w:t>
      </w:r>
    </w:p>
    <w:p w:rsidR="00E95BE1" w:rsidRPr="007045E6" w:rsidRDefault="00E95BE1" w:rsidP="00391637">
      <w:pPr>
        <w:pStyle w:val="a0"/>
      </w:pPr>
      <w:r w:rsidRPr="007045E6">
        <w:t xml:space="preserve">Интернет-ресурс </w:t>
      </w:r>
      <w:r w:rsidR="007045E6">
        <w:t>www.</w:t>
      </w:r>
      <w:r w:rsidRPr="007045E6">
        <w:t>financecenter</w:t>
      </w:r>
      <w:r w:rsidR="007045E6">
        <w:t>.ru</w:t>
      </w:r>
      <w:bookmarkStart w:id="36" w:name="_GoBack"/>
      <w:bookmarkEnd w:id="36"/>
    </w:p>
    <w:sectPr w:rsidR="00E95BE1" w:rsidRPr="007045E6" w:rsidSect="0026781F">
      <w:headerReference w:type="default" r:id="rId13"/>
      <w:footerReference w:type="default" r:id="rId14"/>
      <w:type w:val="continuous"/>
      <w:pgSz w:w="11906" w:h="16838" w:code="9"/>
      <w:pgMar w:top="1134" w:right="851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A1B" w:rsidRDefault="00752A1B">
      <w:pPr>
        <w:ind w:firstLine="709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:rsidR="00752A1B" w:rsidRDefault="00752A1B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82A" w:rsidRDefault="009F082A" w:rsidP="00A5346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A1B" w:rsidRDefault="00752A1B">
      <w:pPr>
        <w:ind w:firstLine="709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:rsidR="00752A1B" w:rsidRDefault="00752A1B">
      <w:pPr>
        <w:ind w:firstLine="709"/>
        <w:rPr>
          <w:lang w:eastAsia="en-US"/>
        </w:rPr>
      </w:pPr>
      <w:r>
        <w:rPr>
          <w:lang w:eastAsia="en-US"/>
        </w:rPr>
        <w:continuationSeparator/>
      </w:r>
    </w:p>
  </w:footnote>
  <w:footnote w:id="1">
    <w:p w:rsidR="00752A1B" w:rsidRDefault="009F082A">
      <w:pPr>
        <w:pStyle w:val="af1"/>
      </w:pPr>
      <w:r>
        <w:rPr>
          <w:rStyle w:val="af3"/>
          <w:sz w:val="20"/>
          <w:szCs w:val="20"/>
        </w:rPr>
        <w:footnoteRef/>
      </w:r>
      <w:r>
        <w:t xml:space="preserve"> </w:t>
      </w:r>
      <w:r>
        <w:rPr>
          <w:lang w:val="en-US"/>
        </w:rPr>
        <w:t xml:space="preserve">Pif.investfunds.ru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82A" w:rsidRDefault="00BE7EA2" w:rsidP="007045E6">
    <w:pPr>
      <w:pStyle w:val="ac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9F082A" w:rsidRDefault="009F082A" w:rsidP="007045E6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A491A78"/>
    <w:multiLevelType w:val="hybridMultilevel"/>
    <w:tmpl w:val="E174A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C47B57"/>
    <w:multiLevelType w:val="hybridMultilevel"/>
    <w:tmpl w:val="F6360880"/>
    <w:lvl w:ilvl="0" w:tplc="163EB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8C3C04"/>
    <w:multiLevelType w:val="multilevel"/>
    <w:tmpl w:val="4FDE6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A341135"/>
    <w:multiLevelType w:val="hybridMultilevel"/>
    <w:tmpl w:val="B6B4AAF4"/>
    <w:lvl w:ilvl="0" w:tplc="0419000F">
      <w:start w:val="1"/>
      <w:numFmt w:val="decimal"/>
      <w:lvlText w:val="%1."/>
      <w:lvlJc w:val="left"/>
      <w:pPr>
        <w:tabs>
          <w:tab w:val="num" w:pos="1622"/>
        </w:tabs>
        <w:ind w:left="162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2"/>
        </w:tabs>
        <w:ind w:left="234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2"/>
        </w:tabs>
        <w:ind w:left="306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2"/>
        </w:tabs>
        <w:ind w:left="378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2"/>
        </w:tabs>
        <w:ind w:left="450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2"/>
        </w:tabs>
        <w:ind w:left="522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2"/>
        </w:tabs>
        <w:ind w:left="594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2"/>
        </w:tabs>
        <w:ind w:left="666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2"/>
        </w:tabs>
        <w:ind w:left="7382" w:hanging="180"/>
      </w:pPr>
    </w:lvl>
  </w:abstractNum>
  <w:abstractNum w:abstractNumId="7">
    <w:nsid w:val="3DC453F9"/>
    <w:multiLevelType w:val="multilevel"/>
    <w:tmpl w:val="925A1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E98165D"/>
    <w:multiLevelType w:val="multilevel"/>
    <w:tmpl w:val="47E45DA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0E96329"/>
    <w:multiLevelType w:val="hybridMultilevel"/>
    <w:tmpl w:val="F56A7A0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0">
    <w:nsid w:val="411F0323"/>
    <w:multiLevelType w:val="hybridMultilevel"/>
    <w:tmpl w:val="F2F64CB8"/>
    <w:lvl w:ilvl="0" w:tplc="163EB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3604A6"/>
    <w:multiLevelType w:val="hybridMultilevel"/>
    <w:tmpl w:val="EF40EC9E"/>
    <w:lvl w:ilvl="0" w:tplc="04190001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2"/>
        </w:tabs>
        <w:ind w:left="23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2"/>
        </w:tabs>
        <w:ind w:left="30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2"/>
        </w:tabs>
        <w:ind w:left="37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2"/>
        </w:tabs>
        <w:ind w:left="45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2"/>
        </w:tabs>
        <w:ind w:left="52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2"/>
        </w:tabs>
        <w:ind w:left="59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2"/>
        </w:tabs>
        <w:ind w:left="66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2"/>
        </w:tabs>
        <w:ind w:left="7382" w:hanging="360"/>
      </w:pPr>
      <w:rPr>
        <w:rFonts w:ascii="Wingdings" w:hAnsi="Wingdings" w:cs="Wingdings" w:hint="default"/>
      </w:rPr>
    </w:lvl>
  </w:abstractNum>
  <w:abstractNum w:abstractNumId="12">
    <w:nsid w:val="73525910"/>
    <w:multiLevelType w:val="multilevel"/>
    <w:tmpl w:val="E286B3FE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7B9838A9"/>
    <w:multiLevelType w:val="hybridMultilevel"/>
    <w:tmpl w:val="E9202B32"/>
    <w:lvl w:ilvl="0" w:tplc="163EB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9"/>
  </w:num>
  <w:num w:numId="5">
    <w:abstractNumId w:val="2"/>
  </w:num>
  <w:num w:numId="6">
    <w:abstractNumId w:val="10"/>
  </w:num>
  <w:num w:numId="7">
    <w:abstractNumId w:val="13"/>
  </w:num>
  <w:num w:numId="8">
    <w:abstractNumId w:val="1"/>
  </w:num>
  <w:num w:numId="9">
    <w:abstractNumId w:val="6"/>
  </w:num>
  <w:num w:numId="10">
    <w:abstractNumId w:val="8"/>
  </w:num>
  <w:num w:numId="11">
    <w:abstractNumId w:val="12"/>
  </w:num>
  <w:num w:numId="12">
    <w:abstractNumId w:val="3"/>
  </w:num>
  <w:num w:numId="13">
    <w:abstractNumId w:val="4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C23"/>
    <w:rsid w:val="00092AAF"/>
    <w:rsid w:val="00097AC0"/>
    <w:rsid w:val="000B6503"/>
    <w:rsid w:val="00196548"/>
    <w:rsid w:val="001A26AE"/>
    <w:rsid w:val="00217007"/>
    <w:rsid w:val="00250289"/>
    <w:rsid w:val="0026781F"/>
    <w:rsid w:val="002924E2"/>
    <w:rsid w:val="002A647E"/>
    <w:rsid w:val="00315992"/>
    <w:rsid w:val="00317008"/>
    <w:rsid w:val="003630F7"/>
    <w:rsid w:val="00377A00"/>
    <w:rsid w:val="00391637"/>
    <w:rsid w:val="003D4E5B"/>
    <w:rsid w:val="003D69DC"/>
    <w:rsid w:val="003E50B2"/>
    <w:rsid w:val="003E6661"/>
    <w:rsid w:val="004003D8"/>
    <w:rsid w:val="00447790"/>
    <w:rsid w:val="00450B8F"/>
    <w:rsid w:val="004C6945"/>
    <w:rsid w:val="00501D31"/>
    <w:rsid w:val="00556055"/>
    <w:rsid w:val="0058204C"/>
    <w:rsid w:val="005A388C"/>
    <w:rsid w:val="005F50F8"/>
    <w:rsid w:val="00623B43"/>
    <w:rsid w:val="00643ED2"/>
    <w:rsid w:val="00672F6B"/>
    <w:rsid w:val="007045E6"/>
    <w:rsid w:val="007170EB"/>
    <w:rsid w:val="00752A1B"/>
    <w:rsid w:val="00753F97"/>
    <w:rsid w:val="00764157"/>
    <w:rsid w:val="00795F0C"/>
    <w:rsid w:val="007A458E"/>
    <w:rsid w:val="007A58A9"/>
    <w:rsid w:val="007A7D91"/>
    <w:rsid w:val="007C5D51"/>
    <w:rsid w:val="00875BD6"/>
    <w:rsid w:val="00963C21"/>
    <w:rsid w:val="00964595"/>
    <w:rsid w:val="00974C23"/>
    <w:rsid w:val="009D44FC"/>
    <w:rsid w:val="009E6E01"/>
    <w:rsid w:val="009F082A"/>
    <w:rsid w:val="00A12CCD"/>
    <w:rsid w:val="00A37471"/>
    <w:rsid w:val="00A4002E"/>
    <w:rsid w:val="00A51763"/>
    <w:rsid w:val="00A53465"/>
    <w:rsid w:val="00A77806"/>
    <w:rsid w:val="00A81FA6"/>
    <w:rsid w:val="00AB5159"/>
    <w:rsid w:val="00B305C5"/>
    <w:rsid w:val="00B4261C"/>
    <w:rsid w:val="00B43FBD"/>
    <w:rsid w:val="00B52398"/>
    <w:rsid w:val="00B94758"/>
    <w:rsid w:val="00BA168B"/>
    <w:rsid w:val="00BA7E0F"/>
    <w:rsid w:val="00BE7EA2"/>
    <w:rsid w:val="00CB4433"/>
    <w:rsid w:val="00CE7CC8"/>
    <w:rsid w:val="00CF2C4C"/>
    <w:rsid w:val="00D84312"/>
    <w:rsid w:val="00DB040D"/>
    <w:rsid w:val="00DB3FFF"/>
    <w:rsid w:val="00DC1BFD"/>
    <w:rsid w:val="00E121DE"/>
    <w:rsid w:val="00E17F2D"/>
    <w:rsid w:val="00E655A6"/>
    <w:rsid w:val="00E94EC1"/>
    <w:rsid w:val="00E95BE1"/>
    <w:rsid w:val="00EA081E"/>
    <w:rsid w:val="00EC75E4"/>
    <w:rsid w:val="00F5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88F3FFD7-CC2F-4946-9A50-36ED3D277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045E6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7045E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  <w:lang w:eastAsia="en-US"/>
    </w:rPr>
  </w:style>
  <w:style w:type="paragraph" w:styleId="2">
    <w:name w:val="heading 2"/>
    <w:basedOn w:val="a2"/>
    <w:next w:val="a2"/>
    <w:link w:val="20"/>
    <w:autoRedefine/>
    <w:uiPriority w:val="99"/>
    <w:qFormat/>
    <w:rsid w:val="007045E6"/>
    <w:pPr>
      <w:keepNext/>
      <w:ind w:firstLine="0"/>
      <w:jc w:val="center"/>
      <w:outlineLvl w:val="1"/>
    </w:pPr>
    <w:rPr>
      <w:b/>
      <w:bCs/>
      <w:i/>
      <w:iCs/>
      <w:smallCaps/>
      <w:lang w:eastAsia="en-US"/>
    </w:rPr>
  </w:style>
  <w:style w:type="paragraph" w:styleId="3">
    <w:name w:val="heading 3"/>
    <w:basedOn w:val="a2"/>
    <w:next w:val="a2"/>
    <w:link w:val="30"/>
    <w:uiPriority w:val="99"/>
    <w:qFormat/>
    <w:rsid w:val="007045E6"/>
    <w:pPr>
      <w:keepNext/>
      <w:ind w:firstLine="709"/>
      <w:outlineLvl w:val="2"/>
    </w:pPr>
    <w:rPr>
      <w:b/>
      <w:bCs/>
      <w:noProof/>
      <w:lang w:eastAsia="en-US"/>
    </w:rPr>
  </w:style>
  <w:style w:type="paragraph" w:styleId="4">
    <w:name w:val="heading 4"/>
    <w:basedOn w:val="a2"/>
    <w:next w:val="a2"/>
    <w:link w:val="40"/>
    <w:uiPriority w:val="99"/>
    <w:qFormat/>
    <w:rsid w:val="007045E6"/>
    <w:pPr>
      <w:keepNext/>
      <w:ind w:firstLine="709"/>
      <w:jc w:val="center"/>
      <w:outlineLvl w:val="3"/>
    </w:pPr>
    <w:rPr>
      <w:i/>
      <w:iCs/>
      <w:noProof/>
      <w:lang w:eastAsia="en-US"/>
    </w:rPr>
  </w:style>
  <w:style w:type="paragraph" w:styleId="5">
    <w:name w:val="heading 5"/>
    <w:basedOn w:val="a2"/>
    <w:next w:val="a2"/>
    <w:link w:val="50"/>
    <w:uiPriority w:val="99"/>
    <w:qFormat/>
    <w:rsid w:val="007045E6"/>
    <w:pPr>
      <w:keepNext/>
      <w:ind w:left="737" w:firstLine="709"/>
      <w:jc w:val="left"/>
      <w:outlineLvl w:val="4"/>
    </w:pPr>
    <w:rPr>
      <w:lang w:eastAsia="en-US"/>
    </w:rPr>
  </w:style>
  <w:style w:type="paragraph" w:styleId="6">
    <w:name w:val="heading 6"/>
    <w:basedOn w:val="a2"/>
    <w:next w:val="a2"/>
    <w:link w:val="60"/>
    <w:uiPriority w:val="99"/>
    <w:qFormat/>
    <w:rsid w:val="007045E6"/>
    <w:pPr>
      <w:keepNext/>
      <w:ind w:firstLine="709"/>
      <w:jc w:val="center"/>
      <w:outlineLvl w:val="5"/>
    </w:pPr>
    <w:rPr>
      <w:b/>
      <w:bCs/>
      <w:sz w:val="30"/>
      <w:szCs w:val="30"/>
      <w:lang w:eastAsia="en-US"/>
    </w:rPr>
  </w:style>
  <w:style w:type="paragraph" w:styleId="7">
    <w:name w:val="heading 7"/>
    <w:basedOn w:val="a2"/>
    <w:next w:val="a2"/>
    <w:link w:val="70"/>
    <w:uiPriority w:val="99"/>
    <w:qFormat/>
    <w:rsid w:val="007045E6"/>
    <w:pPr>
      <w:keepNext/>
      <w:ind w:firstLine="709"/>
      <w:outlineLvl w:val="6"/>
    </w:pPr>
    <w:rPr>
      <w:sz w:val="24"/>
      <w:szCs w:val="24"/>
      <w:lang w:eastAsia="en-US"/>
    </w:rPr>
  </w:style>
  <w:style w:type="paragraph" w:styleId="8">
    <w:name w:val="heading 8"/>
    <w:basedOn w:val="a2"/>
    <w:next w:val="a2"/>
    <w:link w:val="80"/>
    <w:uiPriority w:val="99"/>
    <w:qFormat/>
    <w:rsid w:val="007045E6"/>
    <w:pPr>
      <w:keepNext/>
      <w:ind w:firstLine="709"/>
      <w:outlineLvl w:val="7"/>
    </w:pPr>
    <w:rPr>
      <w:rFonts w:ascii="Arial" w:hAnsi="Arial" w:cs="Arial"/>
      <w:b/>
      <w:bCs/>
      <w:sz w:val="32"/>
      <w:szCs w:val="32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7045E6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Hyperlink"/>
    <w:uiPriority w:val="99"/>
    <w:rsid w:val="007045E6"/>
    <w:rPr>
      <w:color w:val="auto"/>
      <w:sz w:val="28"/>
      <w:szCs w:val="28"/>
      <w:u w:val="single"/>
      <w:vertAlign w:val="baseline"/>
    </w:rPr>
  </w:style>
  <w:style w:type="character" w:styleId="a8">
    <w:name w:val="Strong"/>
    <w:uiPriority w:val="99"/>
    <w:qFormat/>
    <w:rsid w:val="00250289"/>
    <w:rPr>
      <w:b/>
      <w:bCs/>
    </w:rPr>
  </w:style>
  <w:style w:type="paragraph" w:styleId="a9">
    <w:name w:val="footer"/>
    <w:basedOn w:val="a2"/>
    <w:link w:val="aa"/>
    <w:uiPriority w:val="99"/>
    <w:semiHidden/>
    <w:rsid w:val="007045E6"/>
    <w:pPr>
      <w:tabs>
        <w:tab w:val="center" w:pos="4819"/>
        <w:tab w:val="right" w:pos="9639"/>
      </w:tabs>
      <w:ind w:firstLine="709"/>
    </w:pPr>
    <w:rPr>
      <w:lang w:eastAsia="en-US"/>
    </w:rPr>
  </w:style>
  <w:style w:type="character" w:customStyle="1" w:styleId="ab">
    <w:name w:val="Верхний колонтитул Знак"/>
    <w:link w:val="ac"/>
    <w:uiPriority w:val="99"/>
    <w:semiHidden/>
    <w:locked/>
    <w:rsid w:val="007045E6"/>
    <w:rPr>
      <w:rFonts w:eastAsia="Times New Roman"/>
      <w:noProof/>
      <w:kern w:val="16"/>
      <w:sz w:val="28"/>
      <w:szCs w:val="28"/>
      <w:lang w:val="ru-RU" w:eastAsia="en-US"/>
    </w:rPr>
  </w:style>
  <w:style w:type="character" w:styleId="ad">
    <w:name w:val="page number"/>
    <w:uiPriority w:val="99"/>
    <w:rsid w:val="007045E6"/>
    <w:rPr>
      <w:rFonts w:ascii="Times New Roman" w:hAnsi="Times New Roman" w:cs="Times New Roman"/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7045E6"/>
    <w:pPr>
      <w:tabs>
        <w:tab w:val="right" w:leader="dot" w:pos="1400"/>
      </w:tabs>
      <w:ind w:firstLine="709"/>
    </w:pPr>
    <w:rPr>
      <w:lang w:eastAsia="en-US"/>
    </w:rPr>
  </w:style>
  <w:style w:type="paragraph" w:styleId="21">
    <w:name w:val="toc 2"/>
    <w:basedOn w:val="a2"/>
    <w:next w:val="a2"/>
    <w:autoRedefine/>
    <w:uiPriority w:val="99"/>
    <w:semiHidden/>
    <w:rsid w:val="007045E6"/>
    <w:pPr>
      <w:tabs>
        <w:tab w:val="left" w:leader="dot" w:pos="3500"/>
      </w:tabs>
      <w:ind w:firstLine="0"/>
      <w:jc w:val="left"/>
    </w:pPr>
    <w:rPr>
      <w:smallCaps/>
      <w:lang w:eastAsia="en-US"/>
    </w:rPr>
  </w:style>
  <w:style w:type="character" w:styleId="ae">
    <w:name w:val="Emphasis"/>
    <w:uiPriority w:val="99"/>
    <w:qFormat/>
    <w:rsid w:val="00E94EC1"/>
    <w:rPr>
      <w:i/>
      <w:iCs/>
    </w:rPr>
  </w:style>
  <w:style w:type="character" w:customStyle="1" w:styleId="black">
    <w:name w:val="black"/>
    <w:uiPriority w:val="99"/>
    <w:rsid w:val="00317008"/>
  </w:style>
  <w:style w:type="paragraph" w:customStyle="1" w:styleId="af">
    <w:name w:val="Знак Знак Знак Знак"/>
    <w:basedOn w:val="a2"/>
    <w:uiPriority w:val="99"/>
    <w:rsid w:val="00447790"/>
    <w:pPr>
      <w:spacing w:after="160" w:line="240" w:lineRule="exact"/>
      <w:ind w:firstLine="709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rt">
    <w:name w:val="art"/>
    <w:basedOn w:val="a2"/>
    <w:uiPriority w:val="99"/>
    <w:rsid w:val="00447790"/>
    <w:pPr>
      <w:spacing w:before="75" w:after="100"/>
      <w:ind w:firstLine="250"/>
    </w:pPr>
    <w:rPr>
      <w:rFonts w:ascii="Microsoft Sans Serif" w:hAnsi="Microsoft Sans Serif" w:cs="Microsoft Sans Serif"/>
      <w:sz w:val="20"/>
      <w:szCs w:val="20"/>
      <w:lang w:eastAsia="en-US"/>
    </w:rPr>
  </w:style>
  <w:style w:type="character" w:customStyle="1" w:styleId="ei">
    <w:name w:val="ei"/>
    <w:uiPriority w:val="99"/>
    <w:rsid w:val="00E95BE1"/>
  </w:style>
  <w:style w:type="table" w:styleId="af0">
    <w:name w:val="Table Grid"/>
    <w:basedOn w:val="a4"/>
    <w:uiPriority w:val="99"/>
    <w:rsid w:val="007045E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f1">
    <w:name w:val="footnote text"/>
    <w:basedOn w:val="a2"/>
    <w:link w:val="af2"/>
    <w:autoRedefine/>
    <w:uiPriority w:val="99"/>
    <w:semiHidden/>
    <w:rsid w:val="007045E6"/>
    <w:pPr>
      <w:ind w:firstLine="709"/>
    </w:pPr>
    <w:rPr>
      <w:color w:val="000000"/>
      <w:sz w:val="20"/>
      <w:szCs w:val="20"/>
      <w:lang w:eastAsia="en-US"/>
    </w:rPr>
  </w:style>
  <w:style w:type="character" w:customStyle="1" w:styleId="af2">
    <w:name w:val="Текст сноски Знак"/>
    <w:link w:val="af1"/>
    <w:uiPriority w:val="99"/>
    <w:locked/>
    <w:rsid w:val="007045E6"/>
    <w:rPr>
      <w:rFonts w:eastAsia="Times New Roman"/>
      <w:color w:val="000000"/>
      <w:lang w:val="ru-RU" w:eastAsia="en-US"/>
    </w:rPr>
  </w:style>
  <w:style w:type="character" w:styleId="af3">
    <w:name w:val="footnote reference"/>
    <w:uiPriority w:val="99"/>
    <w:semiHidden/>
    <w:rsid w:val="007045E6"/>
    <w:rPr>
      <w:sz w:val="28"/>
      <w:szCs w:val="28"/>
      <w:vertAlign w:val="superscript"/>
    </w:rPr>
  </w:style>
  <w:style w:type="table" w:styleId="-1">
    <w:name w:val="Table Web 1"/>
    <w:basedOn w:val="a4"/>
    <w:uiPriority w:val="99"/>
    <w:rsid w:val="007045E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f4"/>
    <w:link w:val="ab"/>
    <w:uiPriority w:val="99"/>
    <w:rsid w:val="007045E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  <w:lang w:eastAsia="en-US"/>
    </w:rPr>
  </w:style>
  <w:style w:type="character" w:styleId="af5">
    <w:name w:val="endnote reference"/>
    <w:uiPriority w:val="99"/>
    <w:semiHidden/>
    <w:rsid w:val="007045E6"/>
    <w:rPr>
      <w:vertAlign w:val="superscript"/>
    </w:rPr>
  </w:style>
  <w:style w:type="paragraph" w:styleId="af4">
    <w:name w:val="Body Text"/>
    <w:basedOn w:val="a2"/>
    <w:link w:val="af6"/>
    <w:uiPriority w:val="99"/>
    <w:rsid w:val="007045E6"/>
    <w:pPr>
      <w:ind w:firstLine="709"/>
    </w:pPr>
    <w:rPr>
      <w:lang w:eastAsia="en-US"/>
    </w:rPr>
  </w:style>
  <w:style w:type="character" w:customStyle="1" w:styleId="af6">
    <w:name w:val="Основной текст Знак"/>
    <w:link w:val="af4"/>
    <w:uiPriority w:val="99"/>
    <w:semiHidden/>
    <w:rPr>
      <w:sz w:val="28"/>
      <w:szCs w:val="28"/>
    </w:rPr>
  </w:style>
  <w:style w:type="paragraph" w:customStyle="1" w:styleId="af7">
    <w:name w:val="выделение"/>
    <w:uiPriority w:val="99"/>
    <w:rsid w:val="007045E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8"/>
    <w:uiPriority w:val="99"/>
    <w:rsid w:val="007045E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7045E6"/>
    <w:pPr>
      <w:shd w:val="clear" w:color="auto" w:fill="FFFFFF"/>
      <w:spacing w:before="192"/>
      <w:ind w:right="-5" w:firstLine="360"/>
    </w:pPr>
    <w:rPr>
      <w:lang w:eastAsia="en-US"/>
    </w:rPr>
  </w:style>
  <w:style w:type="character" w:customStyle="1" w:styleId="af9">
    <w:name w:val="Основной текст с отступом Знак"/>
    <w:link w:val="af8"/>
    <w:uiPriority w:val="99"/>
    <w:semiHidden/>
    <w:rPr>
      <w:sz w:val="28"/>
      <w:szCs w:val="28"/>
    </w:rPr>
  </w:style>
  <w:style w:type="character" w:customStyle="1" w:styleId="13">
    <w:name w:val="Текст Знак1"/>
    <w:link w:val="afa"/>
    <w:uiPriority w:val="99"/>
    <w:locked/>
    <w:rsid w:val="007045E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3"/>
    <w:uiPriority w:val="99"/>
    <w:rsid w:val="007045E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7045E6"/>
    <w:rPr>
      <w:rFonts w:eastAsia="Times New Roman"/>
      <w:sz w:val="28"/>
      <w:szCs w:val="28"/>
      <w:lang w:val="ru-RU" w:eastAsia="en-US"/>
    </w:rPr>
  </w:style>
  <w:style w:type="paragraph" w:customStyle="1" w:styleId="a0">
    <w:name w:val="лит"/>
    <w:autoRedefine/>
    <w:uiPriority w:val="99"/>
    <w:rsid w:val="007045E6"/>
    <w:pPr>
      <w:numPr>
        <w:numId w:val="12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7045E6"/>
    <w:pPr>
      <w:numPr>
        <w:numId w:val="13"/>
      </w:numPr>
    </w:pPr>
  </w:style>
  <w:style w:type="paragraph" w:customStyle="1" w:styleId="afc">
    <w:name w:val="литера"/>
    <w:uiPriority w:val="99"/>
    <w:rsid w:val="007045E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d">
    <w:name w:val="номер страницы"/>
    <w:uiPriority w:val="99"/>
    <w:rsid w:val="007045E6"/>
    <w:rPr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7045E6"/>
    <w:pPr>
      <w:ind w:firstLine="709"/>
    </w:pPr>
    <w:rPr>
      <w:lang w:eastAsia="en-US"/>
    </w:rPr>
  </w:style>
  <w:style w:type="paragraph" w:styleId="31">
    <w:name w:val="toc 3"/>
    <w:basedOn w:val="a2"/>
    <w:next w:val="a2"/>
    <w:autoRedefine/>
    <w:uiPriority w:val="99"/>
    <w:semiHidden/>
    <w:rsid w:val="007045E6"/>
    <w:pPr>
      <w:ind w:firstLine="709"/>
      <w:jc w:val="left"/>
    </w:pPr>
    <w:rPr>
      <w:lang w:eastAsia="en-US"/>
    </w:rPr>
  </w:style>
  <w:style w:type="paragraph" w:styleId="41">
    <w:name w:val="toc 4"/>
    <w:basedOn w:val="a2"/>
    <w:next w:val="a2"/>
    <w:autoRedefine/>
    <w:uiPriority w:val="99"/>
    <w:semiHidden/>
    <w:rsid w:val="007045E6"/>
    <w:pPr>
      <w:tabs>
        <w:tab w:val="right" w:leader="dot" w:pos="9345"/>
      </w:tabs>
      <w:ind w:firstLine="709"/>
    </w:pPr>
    <w:rPr>
      <w:noProof/>
      <w:lang w:eastAsia="en-US"/>
    </w:rPr>
  </w:style>
  <w:style w:type="paragraph" w:styleId="51">
    <w:name w:val="toc 5"/>
    <w:basedOn w:val="a2"/>
    <w:next w:val="a2"/>
    <w:autoRedefine/>
    <w:uiPriority w:val="99"/>
    <w:semiHidden/>
    <w:rsid w:val="007045E6"/>
    <w:pPr>
      <w:ind w:left="958" w:firstLine="709"/>
    </w:pPr>
    <w:rPr>
      <w:lang w:eastAsia="en-US"/>
    </w:rPr>
  </w:style>
  <w:style w:type="paragraph" w:styleId="23">
    <w:name w:val="Body Text Indent 2"/>
    <w:basedOn w:val="a2"/>
    <w:link w:val="24"/>
    <w:uiPriority w:val="99"/>
    <w:rsid w:val="007045E6"/>
    <w:pPr>
      <w:shd w:val="clear" w:color="auto" w:fill="FFFFFF"/>
      <w:tabs>
        <w:tab w:val="left" w:pos="163"/>
      </w:tabs>
      <w:ind w:firstLine="360"/>
    </w:pPr>
    <w:rPr>
      <w:lang w:eastAsia="en-US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045E6"/>
    <w:pPr>
      <w:shd w:val="clear" w:color="auto" w:fill="FFFFFF"/>
      <w:tabs>
        <w:tab w:val="left" w:pos="4262"/>
        <w:tab w:val="left" w:pos="5640"/>
      </w:tabs>
      <w:ind w:left="720" w:firstLine="709"/>
    </w:pPr>
    <w:rPr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paragraph" w:customStyle="1" w:styleId="aff">
    <w:name w:val="содержание"/>
    <w:uiPriority w:val="99"/>
    <w:rsid w:val="007045E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045E6"/>
    <w:pPr>
      <w:numPr>
        <w:numId w:val="1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045E6"/>
    <w:pPr>
      <w:numPr>
        <w:numId w:val="1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045E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045E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045E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045E6"/>
    <w:rPr>
      <w:i/>
      <w:iCs/>
    </w:rPr>
  </w:style>
  <w:style w:type="paragraph" w:customStyle="1" w:styleId="aff0">
    <w:name w:val="ТАБЛИЦА"/>
    <w:next w:val="a2"/>
    <w:autoRedefine/>
    <w:uiPriority w:val="99"/>
    <w:rsid w:val="007045E6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f0"/>
    <w:next w:val="a2"/>
    <w:autoRedefine/>
    <w:uiPriority w:val="99"/>
    <w:rsid w:val="007045E6"/>
  </w:style>
  <w:style w:type="paragraph" w:customStyle="1" w:styleId="aff1">
    <w:name w:val="Стиль ТАБЛИЦА + Междустр.интервал:  полуторный"/>
    <w:basedOn w:val="aff0"/>
    <w:uiPriority w:val="99"/>
    <w:rsid w:val="007045E6"/>
  </w:style>
  <w:style w:type="paragraph" w:customStyle="1" w:styleId="14">
    <w:name w:val="Стиль ТАБЛИЦА + Междустр.интервал:  полуторный1"/>
    <w:basedOn w:val="aff0"/>
    <w:autoRedefine/>
    <w:uiPriority w:val="99"/>
    <w:rsid w:val="007045E6"/>
  </w:style>
  <w:style w:type="table" w:customStyle="1" w:styleId="15">
    <w:name w:val="Стиль таблицы1"/>
    <w:uiPriority w:val="99"/>
    <w:rsid w:val="007045E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хема"/>
    <w:autoRedefine/>
    <w:uiPriority w:val="99"/>
    <w:rsid w:val="007045E6"/>
    <w:pPr>
      <w:jc w:val="center"/>
    </w:pPr>
  </w:style>
  <w:style w:type="paragraph" w:styleId="aff3">
    <w:name w:val="endnote text"/>
    <w:basedOn w:val="a2"/>
    <w:link w:val="aff4"/>
    <w:autoRedefine/>
    <w:uiPriority w:val="99"/>
    <w:semiHidden/>
    <w:rsid w:val="007045E6"/>
    <w:pPr>
      <w:ind w:firstLine="709"/>
    </w:pPr>
    <w:rPr>
      <w:sz w:val="20"/>
      <w:szCs w:val="20"/>
      <w:lang w:eastAsia="en-US"/>
    </w:rPr>
  </w:style>
  <w:style w:type="character" w:customStyle="1" w:styleId="aff4">
    <w:name w:val="Текст концевой сноски Знак"/>
    <w:link w:val="aff3"/>
    <w:uiPriority w:val="99"/>
    <w:semiHidden/>
    <w:rPr>
      <w:sz w:val="20"/>
      <w:szCs w:val="20"/>
    </w:rPr>
  </w:style>
  <w:style w:type="paragraph" w:customStyle="1" w:styleId="aff5">
    <w:name w:val="титут"/>
    <w:autoRedefine/>
    <w:uiPriority w:val="99"/>
    <w:rsid w:val="007045E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49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9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9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4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49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6235</Words>
  <Characters>35546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Diapsalmata</Company>
  <LinksUpToDate>false</LinksUpToDate>
  <CharactersWithSpaces>41698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Наивная</dc:creator>
  <cp:keywords/>
  <dc:description/>
  <cp:lastModifiedBy>admin</cp:lastModifiedBy>
  <cp:revision>2</cp:revision>
  <dcterms:created xsi:type="dcterms:W3CDTF">2014-03-01T17:05:00Z</dcterms:created>
  <dcterms:modified xsi:type="dcterms:W3CDTF">2014-03-01T17:05:00Z</dcterms:modified>
</cp:coreProperties>
</file>