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7FB" w:rsidRDefault="00AC1BB1">
      <w:pPr>
        <w:pStyle w:val="1"/>
        <w:jc w:val="center"/>
      </w:pPr>
      <w:r>
        <w:t>Обеспечение устойчивого развития и повышения инвестиционной привлекательности предпринимательских структур в молочном бизнесе</w:t>
      </w:r>
    </w:p>
    <w:p w:rsidR="00B457FB" w:rsidRPr="00AC1BB1" w:rsidRDefault="00AC1BB1">
      <w:pPr>
        <w:pStyle w:val="a3"/>
      </w:pPr>
      <w:r>
        <w:t> </w:t>
      </w:r>
    </w:p>
    <w:p w:rsidR="00B457FB" w:rsidRDefault="00AC1BB1">
      <w:pPr>
        <w:pStyle w:val="a3"/>
      </w:pPr>
      <w:r>
        <w:t>Л.В. Плахова, д-р экон. наук, профессор, Орловский государственный институт экономики и торговли</w:t>
      </w:r>
    </w:p>
    <w:p w:rsidR="00B457FB" w:rsidRDefault="00AC1BB1">
      <w:pPr>
        <w:pStyle w:val="a3"/>
      </w:pPr>
      <w:r>
        <w:t>Н.В. Захаркина, канд. экон. наук, доцент, Орловский государственный институт экономики и торговли</w:t>
      </w:r>
    </w:p>
    <w:p w:rsidR="00B457FB" w:rsidRDefault="00AC1BB1">
      <w:pPr>
        <w:pStyle w:val="a3"/>
      </w:pPr>
      <w:r>
        <w:t>Участие России во Всемирной торговой организации требует от отечественных предпринимателей серьезной корректировки бизнес-стратегий. Бесспорно, существуют различные точки зрения и взгляды на данную проблему. Одни предприниматели полагают, что подобные условия создадут риск существованию отдельных отраслей экономики, другие, напротив, утверждают об открытии дополнительных возможностей существования и развития бизнеса.</w:t>
      </w:r>
    </w:p>
    <w:p w:rsidR="00B457FB" w:rsidRDefault="00AC1BB1">
      <w:pPr>
        <w:pStyle w:val="a3"/>
      </w:pPr>
      <w:r>
        <w:t>По данным опроса топ-менеджеров российских компаний, проведенного Strategy Partners и «Деловой Россией» в декабре 2011 года — январе 2012-го, только 6% крупных отечественных предприятий разработали стратегию адаптации своего бизнеса к правилам ВТО, еще 11% намерены сделать это в ближайшее время, а 34% уверены, что им готовиться к ВТО не нужно. При этом 22% компаний уверены в том, что на экономике РФ присоединение к ВТО практически не отразится. Больше половины опрошенных говорят о «позитивном» и «исключительно позитивном» влиянии этого события, и только 24% отзываются о нем в «негативном» или «исключительно негативном» ключе. Однако оценка респондентами влияния присоединения к ВТО на их собственный бизнес чуть хуже: 48% уверены в «позитивном» и «крайне позитивном» влиянии правил и процедур ВТО на их компании, а 46% — в «негативном».</w:t>
      </w:r>
    </w:p>
    <w:p w:rsidR="00B457FB" w:rsidRDefault="00AC1BB1">
      <w:pPr>
        <w:pStyle w:val="a3"/>
      </w:pPr>
      <w:r>
        <w:t>Однако, прежде всего, следует помнить о потребителях. Вступление России в ВТО позволит им получать прямую пользу от того, что в результате конкуренции будет расширяться выбор товаров и услуг, снижаться цены на них и возрастать их качество. Среди аргументов, что не все отрасли разорятся, можно выделить тот факт, что за последние годы качество отечественной мясомолочной продукции кардинально улучшилось, расширился ее ассортимент, и большинство российских семей сегодня отдает предпочтение именно отечественной продукции.</w:t>
      </w:r>
    </w:p>
    <w:p w:rsidR="00B457FB" w:rsidRDefault="00AC1BB1">
      <w:pPr>
        <w:pStyle w:val="a3"/>
      </w:pPr>
      <w:r>
        <w:t>Критериями продовольственной безопасности являются производство 75-80% общего объема основных видов продовольствия за счет отечественных товаропроизводителей; потребление населением биологически полноценной продукции с рекомендуемым уровнем калорийности - не ниже 3000 Ккал в сутки; создание продовольственных запасов на уровне 20% от общего объема потребления.</w:t>
      </w:r>
    </w:p>
    <w:p w:rsidR="00B457FB" w:rsidRDefault="00AC1BB1">
      <w:pPr>
        <w:pStyle w:val="a3"/>
      </w:pPr>
      <w:r>
        <w:t>Несомненно, обеспечение страны продовольствием имеет первостепенное социальное и политическое значение, при этом большая роль отводится молочной отрасли. По данным Росстата в 2010 г. в РФ было произведено 31, 9 млн. тонн молока. Объем производства молока в России более или менее стабилен - в 2009 г. произведено 32, 6 млн.тонн, в 2008 - 32,4 млн.тонн. Однако, этого не достаточно для покрытия нужд страны - личное потребление молочной продукции составило в 2010 г. 35 млн. тонн. Недостаток производства компенсирован за счет импорта.</w:t>
      </w:r>
    </w:p>
    <w:p w:rsidR="00B457FB" w:rsidRDefault="00AC1BB1">
      <w:pPr>
        <w:pStyle w:val="a3"/>
      </w:pPr>
      <w:r>
        <w:t>Товаром на рынке закупки молочного сырья перерабатывающими предприятиями является сырое молоко коровье. Структура производства молочного сырья в России свидетельствует об относительно низкой концентрации рынка. Так, только 44% молока произведено сельхоз организациями; 4,7% - фермерскими хозяйствами; 50,4% всего произведенного молока приходится на долю хозяйств населения, что составило в 2010 г. ни много ни мало 16,1 млн. тонн [8].</w:t>
      </w:r>
    </w:p>
    <w:p w:rsidR="00B457FB" w:rsidRDefault="00AC1BB1">
      <w:pPr>
        <w:pStyle w:val="a3"/>
      </w:pPr>
      <w:r>
        <w:t>Производство молочных продуктов, как и все обрабатывающие производства в России, распределено по стране неравномерно. Так, 53% производства цельномолочной продукции обеспечено в 2009 г. Центральным и Приволжским федеральными округами. В производстве животных масел доля этих округов составляет 61, 9%, в производстве сыров - 64, 4%. Доля Сибирского федерального округа составляет 12%, 13% и 20% соответственно.</w:t>
      </w:r>
    </w:p>
    <w:p w:rsidR="00B457FB" w:rsidRDefault="00AC1BB1">
      <w:pPr>
        <w:pStyle w:val="a3"/>
      </w:pPr>
      <w:r>
        <w:t>Все действующие молокозаводы производят закупку молочного сырья для производства собственной готовой молочной продукции. Переработка молочного сырья на давальческих условиях осуществляется комбинатами крайне редко. Например, по данной схеме в 2009 году работало ООО «Железногорск- молоко», переработка давальческого сырья за 2009 г. составила - 6014 тонн.</w:t>
      </w:r>
    </w:p>
    <w:p w:rsidR="00B457FB" w:rsidRDefault="00AC1BB1">
      <w:pPr>
        <w:pStyle w:val="a3"/>
      </w:pPr>
      <w:r>
        <w:t>По данным Курскстата, объем молочного сырья, произведенного хозяйствами всех категорий Курской области составил 405,02 тыс. тонн в 2008г., 384,4 тыс. тонн в 2009 г. и 372,3 тыс. тонн в 2010г. Потребление молока на душу населения на территории Курской области составило: в 2008 г. - 235 кг; в 2009 г. - 236 кг; в 2010 г. - 238 кг [1].</w:t>
      </w:r>
    </w:p>
    <w:p w:rsidR="00B457FB" w:rsidRDefault="00AC1BB1">
      <w:pPr>
        <w:pStyle w:val="a3"/>
      </w:pPr>
      <w:r>
        <w:t>Бесспорно, в молочном бизнесе существует множество проблем, однако значимость его требует их незамедлительного решения. Минэкономразвития представил прогноз социально экономического развития страны на 2012-2014 года. Согласно представленным материалам, производство молока в России в 2014 году может снизиться на 1% по сравнению с показателем за 2010 год. В подобных условиях прогнозируется дефицит собственного молочного сырья и растущие поставки импортной продукции в основном из стран СНГ, где действует беспошлинный режим торговли.</w:t>
      </w:r>
    </w:p>
    <w:p w:rsidR="00B457FB" w:rsidRDefault="0079101A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07.25pt;height:149.25pt">
            <v:imagedata r:id="rId4" o:title=""/>
          </v:shape>
        </w:pict>
      </w:r>
    </w:p>
    <w:p w:rsidR="00B457FB" w:rsidRDefault="00AC1BB1">
      <w:pPr>
        <w:pStyle w:val="a3"/>
      </w:pPr>
      <w:r>
        <w:t>□ объем молочного сырья, тыс.тонн □ потребеление молока на душу населения, кг</w:t>
      </w:r>
    </w:p>
    <w:p w:rsidR="00B457FB" w:rsidRDefault="00AC1BB1">
      <w:pPr>
        <w:pStyle w:val="a3"/>
      </w:pPr>
      <w:r>
        <w:t>Рис. Динамика рынка молочной продукции в Курской области</w:t>
      </w:r>
    </w:p>
    <w:p w:rsidR="00B457FB" w:rsidRDefault="00AC1BB1">
      <w:pPr>
        <w:pStyle w:val="a3"/>
      </w:pPr>
      <w:r>
        <w:t>Так, импорт молока и молочных продуктов в 2014 году может увеличиться на 17,6% по сравнению с 2010 годом - до 9,4 млн тонн: в 2011 году его объем может составить 8,7 млн тонн, в 2012 году - 9,1 млн тонн, в 2013 году - 9,3 млн тонн. Удельный вес отечественной молочной продукции в ресурсах в 2014 году составит 74% против 76% в 2010 году.</w:t>
      </w:r>
    </w:p>
    <w:p w:rsidR="00B457FB" w:rsidRDefault="00AC1BB1">
      <w:pPr>
        <w:pStyle w:val="a3"/>
      </w:pPr>
      <w:r>
        <w:t>Эксперты утверждают, что за последние годы в процессе интенсификации производства происходит существенный рост продуктивности коров. Однако это не компенсирует сокращение объемов производства молока, происходящее из- за снижения поголовья коров. Положение отечественных производителей осложняет ценовая ситуация в молочной отрасли. Так, спад производства молока и рост затрат на производство привели к повышению себестоимости одного литра молока, что отразилось на цене по всей товаропроизводящей цепочке.</w:t>
      </w:r>
    </w:p>
    <w:p w:rsidR="00B457FB" w:rsidRDefault="00AC1BB1">
      <w:pPr>
        <w:pStyle w:val="a3"/>
      </w:pPr>
      <w:r>
        <w:t>Значительное место в решении проблемы обеспечения населения молочными продуктами занимают регионы. В связи с этим особую актуальность приобретает разработка эффективного механизма функционирования предприятий с учетом региональных особенностей, обоснование методики оценки их деятельности, а также интеграции хозяйственных процессов переработки и производства молочной продукции, расширение ассортимента и повышение качества, более глубокая и полная переработка сырья.</w:t>
      </w:r>
    </w:p>
    <w:p w:rsidR="00B457FB" w:rsidRDefault="00AC1BB1">
      <w:pPr>
        <w:pStyle w:val="a3"/>
      </w:pPr>
      <w:r>
        <w:t>Курская область - развитый и в то же время достаточно экологически чистый промышленно-аграрный регион Центрального федерального округа. Экономический потенциал региона является базой, которая позволяет Администрации области строить свою работу по созданию благоприятных условий для развития бизнеса и привлечения инвестиций.</w:t>
      </w:r>
    </w:p>
    <w:p w:rsidR="00B457FB" w:rsidRDefault="00AC1BB1">
      <w:pPr>
        <w:pStyle w:val="a3"/>
      </w:pPr>
      <w:r>
        <w:t>Стратегией социально-экономического развития Курской области на период до 2020 года и другими программными документами предусмотрено дальнейшее развитие как промышленности, так и агропромышленного комплекса, причем это развитие будет осуществляться на инновационной основе.</w:t>
      </w:r>
    </w:p>
    <w:p w:rsidR="00B457FB" w:rsidRDefault="00AC1BB1">
      <w:pPr>
        <w:pStyle w:val="a3"/>
      </w:pPr>
      <w:r>
        <w:t>Следует отметить, что руководство области проводит активную политику относительно развития молочной отрасли. На долю Курской области приходится 6% молока, произведенного в Центральном федеральном округе. При этом Курская область является крупным производителем зерновых культур, сахарной свеклы, картофеля, мясных, молочных продуктов и поставщиком сельскохозяйственной продукции и продуктов питания в другие регионы страны (59 место в Российской Федерации).</w:t>
      </w:r>
    </w:p>
    <w:p w:rsidR="00B457FB" w:rsidRDefault="00AC1BB1">
      <w:pPr>
        <w:pStyle w:val="a3"/>
      </w:pPr>
      <w:r>
        <w:t>По данным комитета агропромышленного комплекса в Курской области производство молока сырого осуществляют 227 предприятий различной организационно-правовой формы и фермерские хозяйства.</w:t>
      </w:r>
    </w:p>
    <w:p w:rsidR="00B457FB" w:rsidRDefault="00AC1BB1">
      <w:pPr>
        <w:pStyle w:val="a3"/>
      </w:pPr>
      <w:r>
        <w:t>Однако с 2008 по 2010 год отмечается постоянный спад производства молока. В указанный период производство сократилось на 7,46 %. Основной причиной снижения объемов производства молока остается сокращение поголовья коров, которое в 2010 году имело место в хозяйствах всех категорий. Поголовье крупного рогатого скота сократилось с 104,537 тыс. голов до 90,985 тыс. голов или на 19,96 %.</w:t>
      </w:r>
    </w:p>
    <w:p w:rsidR="00B457FB" w:rsidRDefault="00AC1BB1">
      <w:pPr>
        <w:pStyle w:val="a3"/>
      </w:pPr>
      <w:r>
        <w:t>Так, областная целевая программа «Развитие молочного скотоводства Курской области на 2009 - 2012 годы» направлена на техническое и технологическое перевооружение молочного скотоводства. Целями программы на четырехлетний период являются:увеличение производства молока; насыщение рынка качественной молочной продукцией курских производителей; повышение инвестиционной привлекательности молочного скотоводства; повышение финансовой устойчивости сельскохозяйственных товаропроизводителей области, осуществляющих производство молока. Реализация мероприятий, предусмотренных программой, позволит:</w:t>
      </w:r>
    </w:p>
    <w:p w:rsidR="00B457FB" w:rsidRDefault="00AC1BB1">
      <w:pPr>
        <w:pStyle w:val="a3"/>
      </w:pPr>
      <w:r>
        <w:t>повысить продуктивность дойного стада к 2012 году до 5100 кг/гол.;</w:t>
      </w:r>
    </w:p>
    <w:p w:rsidR="00B457FB" w:rsidRDefault="00AC1BB1">
      <w:pPr>
        <w:pStyle w:val="a3"/>
      </w:pPr>
      <w:r>
        <w:t>обеспечить производство молока: 2009 год - 424 тыс. тонн; 2010 год - 448 тыс. тонн; 2011 год - 468 тыс. тонн; 2012 год - 490 тыс. тонн; - выход телят на 100 маток к 2012 году довести до 82 голов; производство молока на душу населения к 2012 году довести до уровня 422 кг.[9].</w:t>
      </w:r>
    </w:p>
    <w:p w:rsidR="00B457FB" w:rsidRDefault="00AC1BB1">
      <w:pPr>
        <w:pStyle w:val="a3"/>
      </w:pPr>
      <w:r>
        <w:t>Очевидно, что молочное производство в России в целом и Курской области в частности имеет огромный потенциал для развития. При грамотных инвестициях и при поддержке отрасли со стороны государства, этот сектор способен демонстрировать высокие темпы роста, что постепенно снизит импортозависимость молочного рынка РФ. Присоединение России к ВТО приведет к существенному приросту иностранных инвестиций. Вступление в ВТО, как ожидается, не только позволит наращивать экспорт, снимать барьеры для экспорта, но и сделает более привлекательными условия для привлечения иностранных инвестиций.</w:t>
      </w:r>
    </w:p>
    <w:p w:rsidR="00B457FB" w:rsidRDefault="00AC1BB1">
      <w:pPr>
        <w:pStyle w:val="a3"/>
      </w:pPr>
      <w:r>
        <w:t>Согласно последним исследованиям инвестиционного климата, проведенным рейтинговым агентством «Эксперт», Курская область входит в категорию 3B1 «Пониженный потенциал - умеренный риск». По инвестиционному потенциалу Курская область занимает 38 место среди российских регионов, по инвестиционному риску - 26 место. Администрация области постоянно работает над тем, чтобы обеспечить инвесторам наиболее комфортные условия для ведения бизнеса. В региональное законодательство в сфере инвестиционной деятельности были внесены изменения, направленные на его совершенствование. Расширен перечень форм государственной поддержки инвесторов и упрощены условия ее предоставления.</w:t>
      </w:r>
    </w:p>
    <w:p w:rsidR="00B457FB" w:rsidRDefault="00AC1BB1">
      <w:pPr>
        <w:pStyle w:val="a3"/>
      </w:pPr>
      <w:r>
        <w:t>В 2011 году впервые проведен конкурс по предоставлению инвесторам субсидий на уплату процентов по привлеченным кредитам. Разработана и утверждена областная целевая программа «Создание благоприятных условий для привлечения инвестиций в экономику Курской области на 2011-2015 годы», предусматривающая реализацию целого комплекса мероприятий, направленных на дальнейшее привлечение инвестиций. Создан Совет по улучшению инвестиционного климата и взаимодействию с инвесторами. В целях повышения инвестиционной привлекательности региона и повышения доступности привлекаемых кредитных ресурсов планируется проведение работы по присвоению Курской области кредитного рейтинга по классификации международных рейтинговых агентств [5].</w:t>
      </w:r>
    </w:p>
    <w:p w:rsidR="00B457FB" w:rsidRDefault="00AC1BB1">
      <w:pPr>
        <w:pStyle w:val="a3"/>
      </w:pPr>
      <w:r>
        <w:t>Для сохранения рыночных позиций и достижения лидерства в отрасли предприятия вынуждены постоянно развиваться, осваивать новые технологии и расширять сферы деятельности. В подобных условиях развитие предприятия невозможно без притока инвестиций. Результатом же любого выбранного способа вложения инвестиционных средств должно являться повышение эффективности деятельности предприятия. В результате актуальной является проблема оценки инвестиционной привлекательности предприятия как объекта будущего вложения капитала.</w:t>
      </w:r>
    </w:p>
    <w:p w:rsidR="00B457FB" w:rsidRDefault="00AC1BB1">
      <w:pPr>
        <w:pStyle w:val="a3"/>
      </w:pPr>
      <w:r>
        <w:t>Существуют различные взгляды и точки зрения теоретиков и практиков на понятие «инвестиционная привлекательность». Так, Ройзман И.И. определяет инвестиционную привлекательность как «совокупность различных объективных признаков, свойств, средств, возможностей, обуславливающих потенциальный платежеспособный спрос на инвестиции в основной капитал» [11].</w:t>
      </w:r>
    </w:p>
    <w:p w:rsidR="00B457FB" w:rsidRDefault="00AC1BB1">
      <w:pPr>
        <w:pStyle w:val="a3"/>
      </w:pPr>
      <w:r>
        <w:t>Иванов А.П считает, что «инвестиционная привлекательность предприятия- это совокупность экономических и финансовых показателей предприятия, определяющих возможность получения максимальной прибыли в результате вложения капитала при минимальном риске вложения средств» [3].</w:t>
      </w:r>
    </w:p>
    <w:p w:rsidR="00B457FB" w:rsidRDefault="00AC1BB1">
      <w:pPr>
        <w:pStyle w:val="a3"/>
      </w:pPr>
      <w:r>
        <w:t>Белых Л.П. определяет инвестиционную привлекательность как «соотношение уровня риска и ставки доходности» [4].</w:t>
      </w:r>
    </w:p>
    <w:p w:rsidR="00B457FB" w:rsidRDefault="00AC1BB1">
      <w:pPr>
        <w:pStyle w:val="a3"/>
      </w:pPr>
      <w:r>
        <w:t>По мнению Севрюгина Ю.В. «инвестиционная привлекательность - это система количественных и качественных факторов, характеризующих платежеспособный спрос предприятия на инвестиции» [2].</w:t>
      </w:r>
    </w:p>
    <w:p w:rsidR="00B457FB" w:rsidRDefault="00AC1BB1">
      <w:pPr>
        <w:pStyle w:val="a3"/>
      </w:pPr>
      <w:r>
        <w:t>С точки зрения Трясициной Н.Ю. инвестиционная привлекательность организации характеризуется как «комплекс показателей его деятельности, который определяет для инвестора область предпочтительных значений инвестиционного поведения; имеет ряд аспектов, среди которых: технический, коммерческий, экологический, институциональный, социальный, финансовый» [13].</w:t>
      </w:r>
    </w:p>
    <w:p w:rsidR="00B457FB" w:rsidRDefault="00AC1BB1">
      <w:pPr>
        <w:pStyle w:val="a3"/>
      </w:pPr>
      <w:r>
        <w:t>Крейнина М.Н. под инвестиционной привлекательностью понимает «наличие экономического эффекта (дохода) от вложения денег в финансовые активы при минимальном уровне риска [7].</w:t>
      </w:r>
    </w:p>
    <w:p w:rsidR="00B457FB" w:rsidRDefault="00AC1BB1">
      <w:pPr>
        <w:pStyle w:val="a3"/>
      </w:pPr>
      <w:r>
        <w:t>Однако, на наш взгляд, наиболее систематизированным определением данного понятия с точки зрения проблематики исследования молочного бизнеса является следующее. Инвестиционная привлекательность предприятия - это система экономических отношений между субъектами хозяйствования по поводу эффективного развития бизнеса и поддержания его конкурентоспособности. Данные отношения оцениваются совокупностью показателей эффективности аспектов деятельности предприятия, которые разделяются на формальные показатели (ликвидности, платежеспособности, финансовой устойчивости, деловой активности и другие), рассчитываемые на основании данных финансовой отчетности, и неформальные, не имеющие четкого набора исходных данных и оцениваемые экспертным путем. К ним можно отнести: рынки сбыта, конкурентов и т.д. [12].</w:t>
      </w:r>
    </w:p>
    <w:p w:rsidR="00B457FB" w:rsidRDefault="00AC1BB1">
      <w:pPr>
        <w:pStyle w:val="a3"/>
      </w:pPr>
      <w:r>
        <w:t>Таким образом, инвестиционная привлекательность может быть оценена с помощью системы количественных и качественных критериев, при этом предпочтение в оценке отдается первой группе критериев в силу их объективности.</w:t>
      </w:r>
    </w:p>
    <w:p w:rsidR="00B457FB" w:rsidRDefault="00AC1BB1">
      <w:pPr>
        <w:pStyle w:val="a3"/>
      </w:pPr>
      <w:r>
        <w:t>Существует большое разнообразие методик оценки инвестиционной привлекательности предприятия. Но в большинстве своем их можно подразделить на две группы. Первые оценивают уровень инвестиционной привлекательности с позиции финансового состояния предприятия. Вторая группа методик обращена к внутренним и внешним факторам, оказывающим влияние на инвестиционную привлекательность.</w:t>
      </w:r>
    </w:p>
    <w:p w:rsidR="00B457FB" w:rsidRDefault="00AC1BB1">
      <w:pPr>
        <w:pStyle w:val="a3"/>
      </w:pPr>
      <w:r>
        <w:t>Методика Ендовицкого Д.А. и Бабушкиной В.А. отражает роль рыночной капитализации в качестве индикатора инвестиционной привлекательности компании. Также систематизированы факторы риска, присущие долгосрочному инвестированию и методы управления ими, наиболее часто применяемые российскими коммерческими организациями.</w:t>
      </w:r>
    </w:p>
    <w:p w:rsidR="00B457FB" w:rsidRDefault="00AC1BB1">
      <w:pPr>
        <w:pStyle w:val="a3"/>
      </w:pPr>
      <w:r>
        <w:t>Методика Ямпольского Ю.П. основана на определении инвестиционной привлекательности территориальных генерирующих компаний и выдаче рекомендаций о возможности приобретения компании. В рамках интегральной оценки учитывается ряд параметров, таких как эффективность использования производственных мощностей, показатели ликвидности, финансовой устойчивости, рентабельности, капитализации и деловой активности.</w:t>
      </w:r>
    </w:p>
    <w:p w:rsidR="00B457FB" w:rsidRDefault="00AC1BB1">
      <w:pPr>
        <w:pStyle w:val="a3"/>
      </w:pPr>
      <w:r>
        <w:t>Методика Федорович Т.В. позволяет дать системную оценку инвестиционной привлекательности, однако в наибольшей степени напоминает этапы данной процедуры: оценка положения предприятия на рынке, оценка делового имиджа, исследование зависимости предприятия от поставщиков и покупателей, оценка акционеров и анализ критериев уровня руководства [2].</w:t>
      </w:r>
    </w:p>
    <w:p w:rsidR="00B457FB" w:rsidRDefault="00AC1BB1">
      <w:pPr>
        <w:pStyle w:val="a3"/>
      </w:pPr>
      <w:r>
        <w:t>Методика Севрюгина Ю.В. позволяет методом средневзвешенной оценки проанализировать три локальных и один интегральный показатель инвестиционной привлекательности предприятий разных организационно-правовых форм. Однако наибольшая часть показателей носит качественный характер, а следовательно, существует риск потери объективности процедуры оценки [4].</w:t>
      </w:r>
    </w:p>
    <w:p w:rsidR="00B457FB" w:rsidRDefault="00AC1BB1">
      <w:pPr>
        <w:pStyle w:val="a3"/>
      </w:pPr>
      <w:r>
        <w:t>Особый интерес для оценки инвестиционной привлекательности предприятий молочной отрасли представляет методика, предложенная Перцуховым, согласно которой индекс инвестиционной привлекательности является интегрированным образованием четырех групп показателей (рис.) [10].</w:t>
      </w:r>
    </w:p>
    <w:p w:rsidR="00B457FB" w:rsidRDefault="00AC1BB1">
      <w:pPr>
        <w:pStyle w:val="a3"/>
      </w:pPr>
      <w:r>
        <w:t>Представим краткую интерпретацию данных показателей для проведения оценочных процедур.</w:t>
      </w:r>
    </w:p>
    <w:p w:rsidR="00B457FB" w:rsidRDefault="00AC1BB1">
      <w:pPr>
        <w:pStyle w:val="a3"/>
      </w:pPr>
      <w:r>
        <w:t>Общий коэффициент покрытия (L3) показывает достаточность оборотных средств у предприятия, которые могут быть использованы для погашения своих краткосрочных обязательств.</w:t>
      </w:r>
    </w:p>
    <w:p w:rsidR="00B457FB" w:rsidRDefault="00AC1BB1">
      <w:pPr>
        <w:pStyle w:val="a3"/>
      </w:pPr>
      <w:r>
        <w:t>Доля собственных оборотных средств в общей их сумме (L7) характеризует ту часть стоимости запасов, которая покрывается собственными оборотными средствами, а также традиционно имеет большое значение в анализе финансового состояния.</w:t>
      </w:r>
    </w:p>
    <w:p w:rsidR="00B457FB" w:rsidRDefault="00AC1BB1">
      <w:pPr>
        <w:pStyle w:val="a3"/>
      </w:pPr>
      <w:r>
        <w:t>Коэффициент концентрации собственного капитала (FU1) определяет долю средств, инвестированных в деятельность предприятия его владельцами. Рассчитывается путем отношения величины собственного капитала к валюте баланса. Чем выше значение этого коэффициента, тем более финансово устойчиво, стабильно и независимо от внешних кредиторов предприятие.</w:t>
      </w:r>
    </w:p>
    <w:p w:rsidR="00B457FB" w:rsidRDefault="00AC1BB1">
      <w:pPr>
        <w:pStyle w:val="a3"/>
      </w:pPr>
      <w:r>
        <w:t>Оборачиваемость собственного капитала (DA13) рассчитывается по формуле, где числитель - чистая выручка от реализации, знаменатель - средний за период объем собственного капитала. Если данный коэффициент слишком высок, то это означает значительное превышение уровня продаж над вложенным капиталом, что влечет за собой увеличение кредитных ресурсов и возможность достижения того предела, когда кредиторы больше участвуют в деле, чем собственники. В этом случае отношение обязательств к собственному капиталу увеличивается, снижается безопасность кредиторов, и предприятие может иметь серьезные затруднения, связанные с уменьшением доходов. Напротив, низкий коэффициент означает бездействие части собственных средств. В этом случае коэффициент указывает на необходимость вложения собственных средств в другой, более соответствующий данным условиям источник дохода.</w:t>
      </w:r>
    </w:p>
    <w:p w:rsidR="00B457FB" w:rsidRDefault="00AC1BB1">
      <w:pPr>
        <w:pStyle w:val="a3"/>
      </w:pPr>
      <w:r>
        <w:t>Оборачиваемость основного капитала (DA14) показывает уровень вложений в основные средства и количество денежных средств, которое приносит каждая единица фондов. Данный показатель рассчитывается как отношение выручки к среднегодовой стоимости основных средств.</w:t>
      </w:r>
    </w:p>
    <w:p w:rsidR="00B457FB" w:rsidRDefault="0079101A">
      <w:pPr>
        <w:pStyle w:val="a3"/>
      </w:pPr>
      <w:r>
        <w:rPr>
          <w:noProof/>
        </w:rPr>
        <w:pict>
          <v:shape id="_x0000_i1031" type="#_x0000_t75" style="width:459.75pt;height:141.75pt">
            <v:imagedata r:id="rId5" o:title=""/>
          </v:shape>
        </w:pict>
      </w:r>
    </w:p>
    <w:p w:rsidR="00B457FB" w:rsidRDefault="00AC1BB1">
      <w:pPr>
        <w:pStyle w:val="a3"/>
      </w:pPr>
      <w:r>
        <w:t>Рис. Формирование индекса инвестиционной привлекательности предпринимательских структур</w:t>
      </w:r>
    </w:p>
    <w:p w:rsidR="00B457FB" w:rsidRDefault="00AC1BB1">
      <w:pPr>
        <w:pStyle w:val="a3"/>
      </w:pPr>
      <w:r>
        <w:t>В системе показателей оценки инвестиционной привлекательности предприятий важнейшее место принадлежит рентабельности. Рентабельность представляет собой такое использование средств, при котором организация не только покрывает свои затраты доходами, но и получает прибыль. Доходность, т.е. прибыльность предприятия, может быть оценена при помощи как абсолютных, так и относительных показателей. Абсолютные показатели выражают прибыль, и измеряются в стоимостном выражении, т.е. в рублях. Относительные показатели характеризуют рентабельность и измеряются в процентах или в виде коэффициентов.</w:t>
      </w:r>
    </w:p>
    <w:p w:rsidR="00B457FB" w:rsidRDefault="00AC1BB1">
      <w:pPr>
        <w:pStyle w:val="a3"/>
      </w:pPr>
      <w:r>
        <w:t>Рентабельность продукции или рентабельность производственной деятельности (R1) может быть определена путем отношения прибыли, остающейся в распоряжении предприятия к полной себестоимости реализованной продукции. В числителе этой формулы может быть также использован показатель прибыли от реализации продукции. Данная формула показывает, какую прибыль имеет предприятие с каждого рубля, затраченного на производство и реализацию продукции. В ряде случаев рентабельность продукции может быть исчислена как отношение прибыли, остающейся в распоряжении предприятия (прибыли от реализации продукции) к сумме выручки от реализации продукции.</w:t>
      </w:r>
    </w:p>
    <w:p w:rsidR="00B457FB" w:rsidRDefault="00AC1BB1">
      <w:pPr>
        <w:pStyle w:val="a3"/>
      </w:pPr>
      <w:r>
        <w:t>Рентабельность продукции, рассчитанная в целом по организации, зависит от трех факторов:</w:t>
      </w:r>
    </w:p>
    <w:p w:rsidR="00B457FB" w:rsidRDefault="00AC1BB1">
      <w:pPr>
        <w:pStyle w:val="a3"/>
      </w:pPr>
      <w:r>
        <w:t>от изменения структуры реализованной продукции. Увеличение удельного веса более рентабельных видов продукции в общей сумме продукции способствует повышению уровня рентабельности продукции;</w:t>
      </w:r>
    </w:p>
    <w:p w:rsidR="00B457FB" w:rsidRDefault="00AC1BB1">
      <w:pPr>
        <w:pStyle w:val="a3"/>
      </w:pPr>
      <w:r>
        <w:t>изменение себестоимости продукции оказывает обратное влияние на уровень рентабельности продукции;</w:t>
      </w:r>
    </w:p>
    <w:p w:rsidR="00B457FB" w:rsidRDefault="00AC1BB1">
      <w:pPr>
        <w:pStyle w:val="a3"/>
      </w:pPr>
      <w:r>
        <w:t>изменение среднего уровня реализационных цен. Этот фактор оказывает прямое влияние на уровень рентабельности продукции.</w:t>
      </w:r>
    </w:p>
    <w:p w:rsidR="00B457FB" w:rsidRDefault="00AC1BB1">
      <w:pPr>
        <w:pStyle w:val="a3"/>
      </w:pPr>
      <w:r>
        <w:t>Таблица 1</w:t>
      </w:r>
    </w:p>
    <w:p w:rsidR="00B457FB" w:rsidRDefault="00AC1BB1">
      <w:pPr>
        <w:pStyle w:val="a3"/>
      </w:pPr>
      <w:r>
        <w:t>Базовые критерии кластеризации хозяйствующих субъектов по параметрам</w:t>
      </w:r>
    </w:p>
    <w:p w:rsidR="00B457FB" w:rsidRDefault="00AC1BB1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6"/>
        <w:gridCol w:w="96"/>
        <w:gridCol w:w="96"/>
        <w:gridCol w:w="96"/>
        <w:gridCol w:w="96"/>
      </w:tblGrid>
      <w:tr w:rsidR="00B457FB">
        <w:trPr>
          <w:trHeight w:val="27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B457FB" w:rsidRDefault="00AC1BB1">
            <w:r>
              <w:t>Показатели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B457FB" w:rsidRDefault="00AC1BB1">
            <w:r>
              <w:t>Оценки параметров</w:t>
            </w:r>
          </w:p>
        </w:tc>
      </w:tr>
      <w:tr w:rsidR="00B457FB">
        <w:trPr>
          <w:trHeight w:val="76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7FB" w:rsidRDefault="00B457FB"/>
        </w:tc>
        <w:tc>
          <w:tcPr>
            <w:tcW w:w="0" w:type="auto"/>
            <w:vAlign w:val="center"/>
            <w:hideMark/>
          </w:tcPr>
          <w:p w:rsidR="00B457FB" w:rsidRPr="00AC1BB1" w:rsidRDefault="00AC1BB1">
            <w:pPr>
              <w:pStyle w:val="a3"/>
            </w:pPr>
            <w:r w:rsidRPr="00AC1BB1">
              <w:t>крайне</w:t>
            </w:r>
          </w:p>
          <w:p w:rsidR="00B457FB" w:rsidRPr="00AC1BB1" w:rsidRDefault="00AC1BB1">
            <w:pPr>
              <w:pStyle w:val="a3"/>
            </w:pPr>
            <w:r w:rsidRPr="00AC1BB1">
              <w:t>неудовлет</w:t>
            </w:r>
          </w:p>
          <w:p w:rsidR="00B457FB" w:rsidRPr="00AC1BB1" w:rsidRDefault="00AC1BB1">
            <w:pPr>
              <w:pStyle w:val="a3"/>
            </w:pPr>
            <w:r w:rsidRPr="00AC1BB1">
              <w:t>ворительно</w:t>
            </w:r>
          </w:p>
        </w:tc>
        <w:tc>
          <w:tcPr>
            <w:tcW w:w="0" w:type="auto"/>
            <w:vAlign w:val="center"/>
            <w:hideMark/>
          </w:tcPr>
          <w:p w:rsidR="00B457FB" w:rsidRPr="00AC1BB1" w:rsidRDefault="00AC1BB1">
            <w:pPr>
              <w:pStyle w:val="a3"/>
            </w:pPr>
            <w:r w:rsidRPr="00AC1BB1">
              <w:t>неудовлет</w:t>
            </w:r>
          </w:p>
          <w:p w:rsidR="00B457FB" w:rsidRPr="00AC1BB1" w:rsidRDefault="00AC1BB1">
            <w:pPr>
              <w:pStyle w:val="a3"/>
            </w:pPr>
            <w:r w:rsidRPr="00AC1BB1">
              <w:t>ворительно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в районе допустимых значений</w:t>
            </w:r>
          </w:p>
        </w:tc>
        <w:tc>
          <w:tcPr>
            <w:tcW w:w="0" w:type="auto"/>
            <w:vAlign w:val="center"/>
            <w:hideMark/>
          </w:tcPr>
          <w:p w:rsidR="00B457FB" w:rsidRPr="00AC1BB1" w:rsidRDefault="00AC1BB1">
            <w:pPr>
              <w:pStyle w:val="a3"/>
            </w:pPr>
            <w:r w:rsidRPr="00AC1BB1">
              <w:t>удовлет</w:t>
            </w:r>
          </w:p>
          <w:p w:rsidR="00B457FB" w:rsidRPr="00AC1BB1" w:rsidRDefault="00AC1BB1">
            <w:pPr>
              <w:pStyle w:val="a3"/>
            </w:pPr>
            <w:r w:rsidRPr="00AC1BB1">
              <w:t>ворительно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хорошо</w:t>
            </w:r>
          </w:p>
        </w:tc>
      </w:tr>
      <w:tr w:rsidR="00B457FB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1. Общий коэффициент покрытия Ь3,ед.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&lt;0,8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0,8-1,0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1,0-1,2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1,2-1,5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&gt;1,5</w:t>
            </w:r>
          </w:p>
        </w:tc>
      </w:tr>
      <w:tr w:rsidR="00B457FB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2. Доля собственных оборотных средств в общей их сумме L7,%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&lt;-10%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-10-0%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0-10%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10-25%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&gt;25%</w:t>
            </w:r>
          </w:p>
        </w:tc>
      </w:tr>
      <w:tr w:rsidR="00B457FB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3. Коэффициент концентрации собст-венного капитала FU1,%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&lt;5%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5-10%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10-20%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20-50%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&gt;50%</w:t>
            </w:r>
          </w:p>
        </w:tc>
      </w:tr>
      <w:tr w:rsidR="00B457FB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4. Оборачиваемость собственного капитала DA13, ед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&lt;0,4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0,4-0,6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0,6-0,8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0,8-1,0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&gt;1,0</w:t>
            </w:r>
          </w:p>
        </w:tc>
      </w:tr>
      <w:tr w:rsidR="00B457FB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5. Оборачиваемость основного капитала DA14, ед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&lt;0,2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0,2-0,4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0,4-0,6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0,6-0,8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&gt;0,8</w:t>
            </w:r>
          </w:p>
        </w:tc>
      </w:tr>
      <w:tr w:rsidR="00B457FB">
        <w:trPr>
          <w:trHeight w:val="51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6. Рентабельность продукции R1, 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&lt;-20%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-20-0%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0-5%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5-20%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&gt;20%</w:t>
            </w:r>
          </w:p>
        </w:tc>
      </w:tr>
      <w:tr w:rsidR="00B457FB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7. Рентабельность собственного капитала R4, 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&lt;-30%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-30-0%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0-20%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20-50%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&gt;50%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Оценки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+2</w:t>
            </w:r>
          </w:p>
        </w:tc>
      </w:tr>
    </w:tbl>
    <w:p w:rsidR="00B457FB" w:rsidRPr="00AC1BB1" w:rsidRDefault="00AC1BB1">
      <w:pPr>
        <w:pStyle w:val="a3"/>
      </w:pPr>
      <w:r>
        <w:t>Важную роль в финансовом анализе играет показатель рентабельности собственного капитала (R4). Он характеризует наличие прибыли в расчете на вложенный собственниками данной организации (акционерами) капитал.</w:t>
      </w:r>
    </w:p>
    <w:p w:rsidR="00B457FB" w:rsidRDefault="00AC1BB1">
      <w:pPr>
        <w:pStyle w:val="a3"/>
      </w:pPr>
      <w:r>
        <w:t>Отдача собственного капитала повышается, если удельный вес заемных источников в общей сумме источников формирования активов возрастает.</w:t>
      </w:r>
    </w:p>
    <w:p w:rsidR="00B457FB" w:rsidRDefault="00AC1BB1">
      <w:pPr>
        <w:pStyle w:val="a3"/>
      </w:pPr>
      <w:r>
        <w:t>Таким образом, данные показатели принадлежат разным группам индикаторов оценки тенденций финансовохозяйственной деятельности предприятий. Базовые критерии оценки параметров, составляющих формируемую модель, представлены в таблице 1.</w:t>
      </w:r>
    </w:p>
    <w:p w:rsidR="00B457FB" w:rsidRDefault="00AC1BB1">
      <w:pPr>
        <w:pStyle w:val="a3"/>
      </w:pPr>
      <w:r>
        <w:t>В целом результирующий признак представляет собой комплексный показатель, уровень которого определяется как сумма репрезентативных параметров, ха- растеризующих различные аспекты эффективности деятельности и устойчивости финансового состояния предприятия. В качестве репрезентативных параметров в данном случае рассматриваются количественные оценки кластеризации хозяйствующих субъектов по параметрам.</w:t>
      </w:r>
    </w:p>
    <w:p w:rsidR="00B457FB" w:rsidRDefault="00AC1BB1">
      <w:pPr>
        <w:pStyle w:val="a3"/>
      </w:pPr>
      <w:r>
        <w:t>Следует отметить тот факт, что для адекватной оценки результирующего признака необходимо использовать обоснованный алгоритм расчёта, позволяющий представить этот индикатор в качестве интегрального показателя. В настоящее время для подобных целей используются следующие подходы:</w:t>
      </w:r>
    </w:p>
    <w:p w:rsidR="00B457FB" w:rsidRDefault="00AC1BB1">
      <w:pPr>
        <w:pStyle w:val="a3"/>
      </w:pPr>
      <w:r>
        <w:t>свод численных значений факториальных параметров на основе их сложения (с учётом весовых нагрузок рассматриваемых параметров или без их учёта);</w:t>
      </w:r>
    </w:p>
    <w:p w:rsidR="00B457FB" w:rsidRDefault="00AC1BB1">
      <w:pPr>
        <w:pStyle w:val="a3"/>
      </w:pPr>
      <w:r>
        <w:t>свод численных значений факториальных параметров по формуле средней (с учётом весовых нагрузок рассматриваемых параметров или без их учёта);</w:t>
      </w:r>
    </w:p>
    <w:p w:rsidR="00B457FB" w:rsidRDefault="00AC1BB1">
      <w:pPr>
        <w:pStyle w:val="a3"/>
      </w:pPr>
      <w:r>
        <w:t>свод численных значений факториальных параметров по формуле многомерной средней (с учётом весовых нагрузок рассматриваемых параметров или без их учёта).</w:t>
      </w:r>
    </w:p>
    <w:p w:rsidR="00B457FB" w:rsidRDefault="00AC1BB1">
      <w:pPr>
        <w:pStyle w:val="a3"/>
      </w:pPr>
      <w:r>
        <w:t>Поскольку для расчёта интегрального показателя результирующего признака используются количественные оценки кластеризации хозяйствующих субъектов по параметрам, то особой разницы в использовании того или иного подхода оценки интегрального результирующего признака не наблюдается.</w:t>
      </w:r>
    </w:p>
    <w:p w:rsidR="00B457FB" w:rsidRDefault="00AC1BB1">
      <w:pPr>
        <w:pStyle w:val="a3"/>
      </w:pPr>
      <w:r>
        <w:t>Таблица 2</w:t>
      </w:r>
    </w:p>
    <w:p w:rsidR="00B457FB" w:rsidRDefault="00AC1BB1">
      <w:pPr>
        <w:pStyle w:val="a3"/>
      </w:pPr>
      <w:r>
        <w:t>Критерии оценки индекса инвестиционной привлекательности хозяйствующих субъектов</w:t>
      </w:r>
    </w:p>
    <w:p w:rsidR="00B457FB" w:rsidRDefault="00AC1BB1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6"/>
        <w:gridCol w:w="96"/>
        <w:gridCol w:w="96"/>
        <w:gridCol w:w="96"/>
        <w:gridCol w:w="96"/>
      </w:tblGrid>
      <w:tr w:rsidR="00B457FB">
        <w:trPr>
          <w:trHeight w:val="30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B457FB" w:rsidRDefault="00AC1BB1">
            <w:r>
              <w:t>Показатели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B457FB" w:rsidRDefault="00AC1BB1">
            <w:r>
              <w:t>Оценки индекса инвестиционной привлекательности</w:t>
            </w:r>
          </w:p>
        </w:tc>
      </w:tr>
      <w:tr w:rsidR="00B457FB">
        <w:trPr>
          <w:trHeight w:val="84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7FB" w:rsidRDefault="00B457FB"/>
        </w:tc>
        <w:tc>
          <w:tcPr>
            <w:tcW w:w="0" w:type="auto"/>
            <w:vAlign w:val="center"/>
            <w:hideMark/>
          </w:tcPr>
          <w:p w:rsidR="00B457FB" w:rsidRPr="00AC1BB1" w:rsidRDefault="00AC1BB1">
            <w:pPr>
              <w:pStyle w:val="a3"/>
            </w:pPr>
            <w:r w:rsidRPr="00AC1BB1">
              <w:t>крайне</w:t>
            </w:r>
          </w:p>
          <w:p w:rsidR="00B457FB" w:rsidRPr="00AC1BB1" w:rsidRDefault="00AC1BB1">
            <w:pPr>
              <w:pStyle w:val="a3"/>
            </w:pPr>
            <w:r w:rsidRPr="00AC1BB1">
              <w:t>неудовлет</w:t>
            </w:r>
          </w:p>
          <w:p w:rsidR="00B457FB" w:rsidRPr="00AC1BB1" w:rsidRDefault="00AC1BB1">
            <w:pPr>
              <w:pStyle w:val="a3"/>
            </w:pPr>
            <w:r w:rsidRPr="00AC1BB1">
              <w:t>ворительно</w:t>
            </w:r>
          </w:p>
        </w:tc>
        <w:tc>
          <w:tcPr>
            <w:tcW w:w="0" w:type="auto"/>
            <w:vAlign w:val="center"/>
            <w:hideMark/>
          </w:tcPr>
          <w:p w:rsidR="00B457FB" w:rsidRPr="00AC1BB1" w:rsidRDefault="00AC1BB1">
            <w:pPr>
              <w:pStyle w:val="a3"/>
            </w:pPr>
            <w:r w:rsidRPr="00AC1BB1">
              <w:t>неудовлетво</w:t>
            </w:r>
          </w:p>
          <w:p w:rsidR="00B457FB" w:rsidRPr="00AC1BB1" w:rsidRDefault="00AC1BB1">
            <w:pPr>
              <w:pStyle w:val="a3"/>
            </w:pPr>
            <w:r w:rsidRPr="00AC1BB1">
              <w:t>рительно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в районе допустимых значений</w:t>
            </w:r>
          </w:p>
        </w:tc>
        <w:tc>
          <w:tcPr>
            <w:tcW w:w="0" w:type="auto"/>
            <w:vAlign w:val="center"/>
            <w:hideMark/>
          </w:tcPr>
          <w:p w:rsidR="00B457FB" w:rsidRPr="00AC1BB1" w:rsidRDefault="00AC1BB1">
            <w:pPr>
              <w:pStyle w:val="a3"/>
            </w:pPr>
            <w:r w:rsidRPr="00AC1BB1">
              <w:t>удовле</w:t>
            </w:r>
          </w:p>
          <w:p w:rsidR="00B457FB" w:rsidRPr="00AC1BB1" w:rsidRDefault="00AC1BB1">
            <w:pPr>
              <w:pStyle w:val="a3"/>
            </w:pPr>
            <w:r w:rsidRPr="00AC1BB1">
              <w:t>творительно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хорошо</w:t>
            </w:r>
          </w:p>
        </w:tc>
      </w:tr>
      <w:tr w:rsidR="00B457FB">
        <w:trPr>
          <w:trHeight w:val="112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Индекс инвестиционной привле- кате-тельности, баллы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(-8) - (-14)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(-2) - (-8)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(-2) - 2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2 - 8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8 - 14</w:t>
            </w:r>
          </w:p>
        </w:tc>
      </w:tr>
    </w:tbl>
    <w:p w:rsidR="00B457FB" w:rsidRPr="00AC1BB1" w:rsidRDefault="00AC1BB1">
      <w:pPr>
        <w:pStyle w:val="a3"/>
      </w:pPr>
      <w:r>
        <w:t>Это обусловливается абсолютной унифицированностью размерности количественных оценок кластеризации и идентичностью количества и характера возможных кластерных групп по параметрам, формирующим модель оценки инвестиционной привлекательности хозяйствующих субъектов.</w:t>
      </w:r>
    </w:p>
    <w:p w:rsidR="00B457FB" w:rsidRDefault="00AC1BB1">
      <w:pPr>
        <w:pStyle w:val="a3"/>
      </w:pPr>
      <w:r>
        <w:t>Таким образом, интегральный показатель результирующего признака определяется в виде суммы репрезентативных параметров без учёта факторных нагрузок последних.</w:t>
      </w:r>
    </w:p>
    <w:p w:rsidR="00B457FB" w:rsidRDefault="00AC1BB1">
      <w:pPr>
        <w:pStyle w:val="a3"/>
      </w:pPr>
      <w:r>
        <w:t>Если спроецировать интегральный показатель результирующего признака на вектор оценки инвестиционной привлекательности хозяйствующих субъектов и придать его интерпретации качественный характер, то степень привлекательности хозяйствующих субъектов для потенциальных инвесторов можно оценивать в соответствии с критериями представленными ниже (табл.2).</w:t>
      </w:r>
    </w:p>
    <w:p w:rsidR="00B457FB" w:rsidRDefault="00AC1BB1">
      <w:pPr>
        <w:pStyle w:val="a3"/>
      </w:pPr>
      <w:r>
        <w:t>Оценка инвестиционной привлекательности молочной отрасли на примере предприятий Курской области проведена в таблице 3.</w:t>
      </w:r>
    </w:p>
    <w:p w:rsidR="00B457FB" w:rsidRDefault="00AC1BB1">
      <w:pPr>
        <w:pStyle w:val="a3"/>
      </w:pPr>
      <w:r>
        <w:t>Согласно полученным расчетам неудовлетворительная оценка инвестиционной привлекательности дана ООО «Железногорск-молоко». Основной причиной сложившейся ситуации является недостаток собственного капитала в результате негативной тенденции изменения прибыли от основной деятельности. Получение устойчивых убытков на протяжении последних лет связано с возвратом реализованной продукции. В конечном итоге, данный факт значительно снижает шансы на привлечение инвестиций для данного хозяйствующего субъекта.</w:t>
      </w:r>
    </w:p>
    <w:p w:rsidR="00B457FB" w:rsidRDefault="00AC1BB1">
      <w:pPr>
        <w:pStyle w:val="a3"/>
      </w:pPr>
      <w:r>
        <w:t>Таблица 3</w:t>
      </w:r>
    </w:p>
    <w:p w:rsidR="00B457FB" w:rsidRDefault="00AC1BB1">
      <w:pPr>
        <w:pStyle w:val="a3"/>
      </w:pPr>
      <w:r>
        <w:t>Оценка инвестиционной привлекательности предприятий молочной отрасли Курской области в 2010 году</w:t>
      </w:r>
    </w:p>
    <w:p w:rsidR="00B457FB" w:rsidRDefault="00AC1BB1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  <w:gridCol w:w="480"/>
        <w:gridCol w:w="480"/>
        <w:gridCol w:w="480"/>
        <w:gridCol w:w="480"/>
      </w:tblGrid>
      <w:tr w:rsidR="00B457FB">
        <w:trPr>
          <w:trHeight w:val="78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B457FB" w:rsidRDefault="00AC1BB1">
            <w:r>
              <w:t>Показатель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ОАО «Суджанский маслодельный завод»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ОАО «Льговский молочно-консервный комбинат»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ООО «Железногорск- молоко»</w:t>
            </w:r>
          </w:p>
        </w:tc>
      </w:tr>
      <w:tr w:rsidR="00B457FB">
        <w:trPr>
          <w:trHeight w:val="76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7FB" w:rsidRDefault="00B457FB"/>
        </w:tc>
        <w:tc>
          <w:tcPr>
            <w:tcW w:w="0" w:type="auto"/>
            <w:vAlign w:val="center"/>
            <w:hideMark/>
          </w:tcPr>
          <w:p w:rsidR="00B457FB" w:rsidRDefault="00AC1BB1">
            <w:r>
              <w:t>значение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оценка параметра, баллы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значение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оценка параметра, баллы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значение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оценка параметра, баллы</w:t>
            </w:r>
          </w:p>
        </w:tc>
      </w:tr>
      <w:tr w:rsidR="00B457FB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1. Общий коэффициент покрытия L3^.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1,48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1,46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0,85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</w:tr>
      <w:tr w:rsidR="00B457FB">
        <w:trPr>
          <w:trHeight w:val="102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2. Доля собственных оборотных средств в общей их сумме, L7,%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79,28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-27,48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-2</w:t>
            </w:r>
          </w:p>
        </w:tc>
      </w:tr>
      <w:tr w:rsidR="00B457FB">
        <w:trPr>
          <w:trHeight w:val="102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3. Коэффициент концентрации собственного капитала FU1,%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40,6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24,57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-2</w:t>
            </w:r>
          </w:p>
        </w:tc>
      </w:tr>
      <w:tr w:rsidR="00B457FB">
        <w:trPr>
          <w:trHeight w:val="102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4. Оборачиваемость собственного капи-тала DA13, ед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3,81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8,01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-2</w:t>
            </w:r>
          </w:p>
        </w:tc>
      </w:tr>
      <w:tr w:rsidR="00B457FB">
        <w:trPr>
          <w:trHeight w:val="102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5. Оборачиваемость основного капитала DA14, ед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11,3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4,48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1,87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+2</w:t>
            </w:r>
          </w:p>
        </w:tc>
      </w:tr>
      <w:tr w:rsidR="00B457FB">
        <w:trPr>
          <w:trHeight w:val="51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6. Рентабельность продукции R1, 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1,82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10,71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-2</w:t>
            </w:r>
          </w:p>
        </w:tc>
      </w:tr>
      <w:tr w:rsidR="00B457FB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7. Рентабельность собственного капитала R4, %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6,14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67,01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+2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-2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Оценки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-8</w:t>
            </w:r>
          </w:p>
        </w:tc>
      </w:tr>
    </w:tbl>
    <w:p w:rsidR="00B457FB" w:rsidRPr="00AC1BB1" w:rsidRDefault="00AC1BB1">
      <w:pPr>
        <w:pStyle w:val="a3"/>
      </w:pPr>
      <w:r>
        <w:t>ОАО «Суджанский маслодельный завод» и ОАО «Льговский молочноконсервный комбинат» представляют наибольший интерес для потенциальных инвесторов.Индекс инвестиционной привлекательности для данных предприятий молочной промышленности составил 7 и 6 баллов соответственно, что интерпретируется как «удовлетворительная зона привлекательности».</w:t>
      </w:r>
    </w:p>
    <w:p w:rsidR="00B457FB" w:rsidRDefault="00AC1BB1">
      <w:pPr>
        <w:pStyle w:val="a3"/>
      </w:pPr>
      <w:r>
        <w:t>В дополнение к этому продукция ОАО «Льговский молочно-консервный комбинат» удостоена золотой медали в номинации «За лучшую молочную продукцию» и диплома Министерства сельского хозяйства РФ во Всероссийском смотре-конкурсе «Молочные продукты - 2011», представив пять образцов продукции, получивших наивысшие награды в этом конкурсе.</w:t>
      </w:r>
    </w:p>
    <w:p w:rsidR="00B457FB" w:rsidRDefault="00AC1BB1">
      <w:pPr>
        <w:pStyle w:val="a3"/>
      </w:pPr>
      <w:r>
        <w:t>Следовательно, рассматривая общие тенденции развития отрасли в Курской области, следует отметить положительный инвестиционный климат.</w:t>
      </w:r>
    </w:p>
    <w:p w:rsidR="00B457FB" w:rsidRDefault="00AC1BB1">
      <w:pPr>
        <w:pStyle w:val="a3"/>
      </w:pPr>
      <w:r>
        <w:t>Согласно комплексной программе развития пищевой и перерабатывающей промышленности в области [6] предусмотрен комплекс мероприятий по техническому переоснащению предприятий молочной промышленности на период до 2017 года (табл.4).</w:t>
      </w:r>
    </w:p>
    <w:p w:rsidR="00B457FB" w:rsidRDefault="00AC1BB1">
      <w:pPr>
        <w:pStyle w:val="a3"/>
      </w:pPr>
      <w:r>
        <w:t>Таблица 4</w:t>
      </w:r>
    </w:p>
    <w:p w:rsidR="00B457FB" w:rsidRDefault="00AC1BB1">
      <w:pPr>
        <w:pStyle w:val="a3"/>
      </w:pPr>
      <w:r>
        <w:t>Мероприятия по техническому переоснащению предприятий</w:t>
      </w:r>
    </w:p>
    <w:p w:rsidR="00B457FB" w:rsidRDefault="00AC1BB1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6"/>
        <w:gridCol w:w="96"/>
        <w:gridCol w:w="96"/>
        <w:gridCol w:w="96"/>
        <w:gridCol w:w="96"/>
      </w:tblGrid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молочной промышленности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B457FB" w:rsidRDefault="00AC1BB1">
            <w:r>
              <w:t>Курской области в 2011-2017 годах</w:t>
            </w:r>
          </w:p>
        </w:tc>
      </w:tr>
      <w:tr w:rsidR="00B457FB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B457FB" w:rsidRDefault="00AC1BB1">
            <w:r>
              <w:t>Обьем капитальных вложений (тыс. руб.)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457FB" w:rsidRDefault="00AC1BB1">
            <w:r>
              <w:t>в том числе</w:t>
            </w:r>
          </w:p>
        </w:tc>
      </w:tr>
      <w:tr w:rsidR="00B457FB">
        <w:trPr>
          <w:trHeight w:val="127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Перечень мероприятий</w:t>
            </w:r>
          </w:p>
        </w:tc>
        <w:tc>
          <w:tcPr>
            <w:tcW w:w="0" w:type="auto"/>
            <w:vAlign w:val="center"/>
            <w:hideMark/>
          </w:tcPr>
          <w:p w:rsidR="00B457FB" w:rsidRPr="00AC1BB1" w:rsidRDefault="00AC1BB1">
            <w:pPr>
              <w:pStyle w:val="a3"/>
            </w:pPr>
            <w:r w:rsidRPr="00AC1BB1">
              <w:t>Сроки</w:t>
            </w:r>
          </w:p>
          <w:p w:rsidR="00B457FB" w:rsidRPr="00AC1BB1" w:rsidRDefault="00AC1BB1">
            <w:pPr>
              <w:pStyle w:val="a3"/>
            </w:pPr>
            <w:r w:rsidRPr="00AC1BB1">
              <w:t>(год)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всего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собственные средства</w:t>
            </w:r>
          </w:p>
        </w:tc>
        <w:tc>
          <w:tcPr>
            <w:tcW w:w="0" w:type="auto"/>
            <w:vAlign w:val="center"/>
            <w:hideMark/>
          </w:tcPr>
          <w:p w:rsidR="00B457FB" w:rsidRPr="00AC1BB1" w:rsidRDefault="00AC1BB1">
            <w:pPr>
              <w:pStyle w:val="a3"/>
            </w:pPr>
            <w:r w:rsidRPr="00AC1BB1">
              <w:t>инвестиции</w:t>
            </w:r>
          </w:p>
          <w:p w:rsidR="00B457FB" w:rsidRPr="00AC1BB1" w:rsidRDefault="00AC1BB1">
            <w:pPr>
              <w:pStyle w:val="a3"/>
            </w:pPr>
            <w:r w:rsidRPr="00AC1BB1">
              <w:t>компаний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кредиты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B457FB" w:rsidRDefault="00AC1BB1">
            <w:r>
              <w:t>ООО «Железногорск-молоко»</w:t>
            </w:r>
          </w:p>
        </w:tc>
      </w:tr>
      <w:tr w:rsidR="00B457FB">
        <w:trPr>
          <w:trHeight w:val="76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Строительство нового склада хранения материалов. Приобретение новых автоматов фасовки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4 540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4 540</w:t>
            </w:r>
          </w:p>
        </w:tc>
      </w:tr>
      <w:tr w:rsidR="00B457FB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Приобретение молоковозов и автотранспорта для перевозки готовой продукции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5 400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5 400</w:t>
            </w:r>
          </w:p>
        </w:tc>
      </w:tr>
      <w:tr w:rsidR="00B457FB">
        <w:trPr>
          <w:trHeight w:val="127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Модернизация предприятия по переходу на энергосберегающие лампы и приобретение частотных преобразователей. Установка компенсатора реактивной мощности. Проектирование газовой котельной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2013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3 550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3 550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Строительство новой котельной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2014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30 000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30 000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B457FB" w:rsidRDefault="00AC1BB1">
            <w:r>
              <w:t>Модернизация производства: замена устаревшего оборудования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2015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5 000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7FB" w:rsidRDefault="00B457FB"/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2016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5 000</w:t>
            </w:r>
          </w:p>
        </w:tc>
      </w:tr>
      <w:tr w:rsidR="00B457FB">
        <w:trPr>
          <w:trHeight w:val="25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7FB" w:rsidRDefault="00B457FB"/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2017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5 000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Итого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58490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58490</w:t>
            </w:r>
          </w:p>
        </w:tc>
      </w:tr>
    </w:tbl>
    <w:p w:rsidR="00B457FB" w:rsidRPr="00AC1BB1" w:rsidRDefault="00AC1BB1">
      <w:pPr>
        <w:pStyle w:val="a3"/>
      </w:pPr>
      <w:r>
        <w:t> </w:t>
      </w:r>
    </w:p>
    <w:p w:rsidR="00B457FB" w:rsidRDefault="00AC1BB1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137"/>
        <w:gridCol w:w="137"/>
        <w:gridCol w:w="137"/>
        <w:gridCol w:w="137"/>
        <w:gridCol w:w="137"/>
        <w:gridCol w:w="138"/>
      </w:tblGrid>
      <w:tr w:rsidR="00B457FB">
        <w:trPr>
          <w:trHeight w:val="270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B457FB" w:rsidRDefault="00AC1BB1">
            <w:r>
              <w:t>ОАО «Льговский МКК»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B457FB" w:rsidRDefault="00AC1BB1">
            <w:r>
              <w:t>Модернизация и реконструкция предприятия, строительство нового модуля с полным циклом переработки. Расширение ассортимента выпускаемой продукции (творог, творожная масса, плавленые сыры)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60 000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26 000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34 000</w:t>
            </w:r>
          </w:p>
        </w:tc>
      </w:tr>
      <w:tr w:rsidR="00B457FB">
        <w:trPr>
          <w:trHeight w:val="25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7FB" w:rsidRDefault="00B457FB"/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60 000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28 000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32 000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7FB" w:rsidRDefault="00B457FB"/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2013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10 000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7FB" w:rsidRDefault="00B457FB"/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2014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10 000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B457FB" w:rsidRDefault="00B457FB"/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2015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10 000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</w:tr>
      <w:tr w:rsidR="00B457FB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2016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2017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Итого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15000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84000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66000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gridSpan w:val="7"/>
            <w:vAlign w:val="center"/>
            <w:hideMark/>
          </w:tcPr>
          <w:p w:rsidR="00B457FB" w:rsidRDefault="00AC1BB1">
            <w:r>
              <w:t>ОАО «Суджанский маслодельный комбинат»</w:t>
            </w:r>
          </w:p>
        </w:tc>
      </w:tr>
      <w:tr w:rsidR="00B457FB">
        <w:trPr>
          <w:trHeight w:val="51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Капитальный ремонт котельной. Благоустройство водозабора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2011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18 000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8 000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10 000</w:t>
            </w:r>
          </w:p>
        </w:tc>
      </w:tr>
      <w:tr w:rsidR="00B457FB">
        <w:trPr>
          <w:trHeight w:val="78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Установка нового оборудования по фасовке цельномолочной продукции, в том числе фасовочного автомата "Пюр-Пак"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2012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18 000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10 500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7 500</w:t>
            </w:r>
          </w:p>
        </w:tc>
      </w:tr>
      <w:tr w:rsidR="00B457FB">
        <w:trPr>
          <w:trHeight w:val="51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Капитальный ремонт самотечного коллектора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2013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17 000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12 000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5 000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Капитальный ремонт напорного коллектора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2014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21 000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13 000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8 000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Реконструкция цеха сушки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2015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18 000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11 500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6 500</w:t>
            </w:r>
          </w:p>
        </w:tc>
      </w:tr>
      <w:tr w:rsidR="00B457FB">
        <w:trPr>
          <w:trHeight w:val="25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Реконструкция творожного отделения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2016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19 000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15 000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4 000</w:t>
            </w:r>
          </w:p>
        </w:tc>
      </w:tr>
      <w:tr w:rsidR="00B457FB">
        <w:trPr>
          <w:trHeight w:val="525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Реконструкция цеха производства молочных продуктов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2017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20 500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14 500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6 000</w:t>
            </w:r>
          </w:p>
        </w:tc>
      </w:tr>
      <w:tr w:rsidR="00B457FB">
        <w:trPr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Итого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131500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84500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457FB" w:rsidRDefault="00AC1BB1">
            <w:r>
              <w:t>47000</w:t>
            </w:r>
          </w:p>
        </w:tc>
      </w:tr>
      <w:tr w:rsidR="00B457FB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B457FB" w:rsidRDefault="00AC1BB1">
            <w:r>
              <w:t> </w:t>
            </w:r>
          </w:p>
        </w:tc>
      </w:tr>
    </w:tbl>
    <w:p w:rsidR="00B457FB" w:rsidRPr="00AC1BB1" w:rsidRDefault="00AC1BB1">
      <w:pPr>
        <w:pStyle w:val="a3"/>
      </w:pPr>
      <w:r>
        <w:t> </w:t>
      </w:r>
    </w:p>
    <w:p w:rsidR="00B457FB" w:rsidRDefault="00AC1BB1">
      <w:pPr>
        <w:pStyle w:val="a3"/>
      </w:pPr>
      <w:r>
        <w:t>При этом выделены в качестве источников финансирования собственные средства и кредиты. Однако обоснование инвестиционной привлекательности предприятий молочной отрасли доказывает не только необходимость, но и целесообразность привлечения инвестиций в проекты, связанные с модернизацией и реконструкцией предприятий, установкой нового оборудования, капитальным ремонтом цехов ит.д.</w:t>
      </w:r>
    </w:p>
    <w:p w:rsidR="00B457FB" w:rsidRDefault="00AC1BB1">
      <w:pPr>
        <w:pStyle w:val="a3"/>
      </w:pPr>
      <w:r>
        <w:t>В заключение следует отметить, что Россия за время экономических преобразований, к сожалению, не смогла трансформировать молочную отрасль, в результате значительно сократилось поголовье дойного стада и доля перерабатывающих мощностей. В итоге, на сегодняшний день РФ возглавляет список мировых импортеров молочных продуктов. В отрасли, несмотря на положительную динамику, сохраняется колоссальное количество нерешенных вопросов. Следовательно, только при поддержке государства и привлечения инвестиций на долгосрочной основе как со стороны отечественных, так и зарубежных компаний молочная отрасль приобретет возможность сбалансированного развития, что в свою очередь обеспечит конкурентоспособность российской экономики на мировом рынке.</w:t>
      </w:r>
    </w:p>
    <w:p w:rsidR="00B457FB" w:rsidRDefault="00AC1BB1">
      <w:pPr>
        <w:pStyle w:val="a3"/>
      </w:pPr>
      <w:r>
        <w:t>Список литературы</w:t>
      </w:r>
    </w:p>
    <w:p w:rsidR="00B457FB" w:rsidRDefault="00AC1BB1">
      <w:pPr>
        <w:pStyle w:val="a3"/>
      </w:pPr>
      <w:r>
        <w:t>Анализ рынка сырого молока на территории Курской области за период 2008-2010 годы [Электронный ресурс]. URL: http://kursk.fas.gov.ru/analytic/6397</w:t>
      </w:r>
    </w:p>
    <w:p w:rsidR="00B457FB" w:rsidRDefault="00AC1BB1">
      <w:pPr>
        <w:pStyle w:val="a3"/>
      </w:pPr>
      <w:r>
        <w:t>Есипенко И.В.Формирование методики оценки инвестиционной привлекательности компании //Аудит и финансовый анализ. 2011. №3. С.277-281.</w:t>
      </w:r>
    </w:p>
    <w:p w:rsidR="00B457FB" w:rsidRDefault="00AC1BB1">
      <w:pPr>
        <w:pStyle w:val="a3"/>
      </w:pPr>
      <w:r>
        <w:t>Иванов А.П., Сахарова И.В., Хру- сталев Е.Ю. Принципы и факторы определения инвестиционного рейтинга предприятий //Консультант директора. 2005. №12. С.31.</w:t>
      </w:r>
    </w:p>
    <w:p w:rsidR="00B457FB" w:rsidRDefault="00AC1BB1">
      <w:pPr>
        <w:pStyle w:val="a3"/>
      </w:pPr>
      <w:r>
        <w:t>Иванов В.А., Авакян К.Г.Сравни- тельный анализ методик оценки инвестиционной привлекательности предприятий // Вестник Удмуртского университета.- 2010. Вып.3. С.22-28.</w:t>
      </w:r>
    </w:p>
    <w:p w:rsidR="00B457FB" w:rsidRDefault="00AC1BB1">
      <w:pPr>
        <w:pStyle w:val="a3"/>
      </w:pPr>
      <w:r>
        <w:t>Инвестиционный потенциал Курской области [Электронный ресурс]. URL:http://www.sef-kursk.ru/investment.jsp</w:t>
      </w:r>
    </w:p>
    <w:p w:rsidR="00B457FB" w:rsidRDefault="00AC1BB1">
      <w:pPr>
        <w:pStyle w:val="a3"/>
      </w:pPr>
      <w:r>
        <w:t>Комплексная программа развития пищевой и перерабатывающей промышленности Курской области на 2011-2017 годы [Электронный ресурс] // URL: http:// adm.rkursk.ru/index.php?id=31&amp;mat_ id=14091</w:t>
      </w:r>
    </w:p>
    <w:p w:rsidR="00B457FB" w:rsidRDefault="00AC1BB1">
      <w:pPr>
        <w:pStyle w:val="a3"/>
      </w:pPr>
      <w:r>
        <w:t>Крейнина М.Н. Финансовый менеджмент. М.: Дело и сервис, 2001. 400 с.</w:t>
      </w:r>
    </w:p>
    <w:p w:rsidR="00B457FB" w:rsidRDefault="00AC1BB1">
      <w:pPr>
        <w:pStyle w:val="a3"/>
      </w:pPr>
      <w:r>
        <w:t>О рынке молочных продуктов [Электронныйресурс].URL: http://www.ap-ra.ru/ru/news</w:t>
      </w:r>
    </w:p>
    <w:p w:rsidR="00B457FB" w:rsidRDefault="00AC1BB1">
      <w:pPr>
        <w:pStyle w:val="a3"/>
      </w:pPr>
      <w:r>
        <w:t>Областная целевая программа «Развитие молочного скотоводства в Курской области на 2009 -2012 годы» [Электронный ресурс].URL: //http://adm.rkursk.ru</w:t>
      </w:r>
    </w:p>
    <w:p w:rsidR="00B457FB" w:rsidRDefault="00AC1BB1">
      <w:pPr>
        <w:pStyle w:val="a3"/>
      </w:pPr>
      <w:r>
        <w:t>Перцухов В.И. Моделирование индекса инвестиционной привлекательности организаций: эконометрический подход [Электронный ресурс] // Управление экономическими системами: электрон. науч. журн. / Кисловодский институт экономики и права. Киров: ООО «Международныйцентрнаучно исследовательских проектов», 2007. № 4 (12).- URL: http://uecs.mcnip.ru/modules</w:t>
      </w:r>
    </w:p>
    <w:p w:rsidR="00B457FB" w:rsidRDefault="00AC1BB1">
      <w:pPr>
        <w:pStyle w:val="a3"/>
      </w:pPr>
      <w:r>
        <w:t>Ройзман И.И., Гришина И.В. Сложившаяся перспективная инвестиционная привлекательность крупнейших отраслей отечественной промышленности // Инвестиции в России. 1998. №1. С.37-39.</w:t>
      </w:r>
    </w:p>
    <w:p w:rsidR="00B457FB" w:rsidRDefault="00AC1BB1">
      <w:pPr>
        <w:pStyle w:val="a3"/>
      </w:pPr>
      <w:r>
        <w:t>Толкаченко О.Ю. Классификация подходов к определению инвестиционной привлекательности предприятия [Электронный ресурс] // Транспортное дело России. 2008.№4. URL: http://www.morvesti.ru/archiveTDR</w:t>
      </w:r>
    </w:p>
    <w:p w:rsidR="00B457FB" w:rsidRDefault="00AC1BB1">
      <w:pPr>
        <w:pStyle w:val="a3"/>
      </w:pPr>
      <w:r>
        <w:t>Трясицина Н.Ю. Комплексная оценка инвестиционной привлекательности предприятий // Экономический анализ: теория и практика. 2006. №18(75). С.5-7.</w:t>
      </w:r>
      <w:bookmarkStart w:id="0" w:name="_GoBack"/>
      <w:bookmarkEnd w:id="0"/>
    </w:p>
    <w:sectPr w:rsidR="00B457F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BB1"/>
    <w:rsid w:val="0079101A"/>
    <w:rsid w:val="00AC1BB1"/>
    <w:rsid w:val="00B4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BE153D2-58D1-4853-BF60-D54C640E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4694</Words>
  <Characters>26757</Characters>
  <Application>Microsoft Office Word</Application>
  <DocSecurity>0</DocSecurity>
  <Lines>222</Lines>
  <Paragraphs>62</Paragraphs>
  <ScaleCrop>false</ScaleCrop>
  <Company>diakov.net</Company>
  <LinksUpToDate>false</LinksUpToDate>
  <CharactersWithSpaces>31389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устойчивого развития и повышения инвестиционной привлекательности предпринимательских структур в молочном бизнесе</dc:title>
  <dc:subject/>
  <dc:creator>Irina</dc:creator>
  <cp:keywords/>
  <dc:description/>
  <cp:lastModifiedBy>Irina</cp:lastModifiedBy>
  <cp:revision>2</cp:revision>
  <dcterms:created xsi:type="dcterms:W3CDTF">2014-08-02T19:55:00Z</dcterms:created>
  <dcterms:modified xsi:type="dcterms:W3CDTF">2014-08-02T19:55:00Z</dcterms:modified>
</cp:coreProperties>
</file>