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E85" w:rsidRPr="00970E85" w:rsidRDefault="00970E85" w:rsidP="00970E85">
      <w:pPr>
        <w:spacing w:before="120"/>
        <w:jc w:val="center"/>
        <w:rPr>
          <w:b/>
          <w:bCs/>
          <w:color w:val="006666"/>
          <w:kern w:val="36"/>
          <w:sz w:val="32"/>
          <w:szCs w:val="32"/>
        </w:rPr>
      </w:pPr>
      <w:r w:rsidRPr="00970E85">
        <w:rPr>
          <w:b/>
          <w:bCs/>
          <w:color w:val="006666"/>
          <w:kern w:val="36"/>
          <w:sz w:val="32"/>
          <w:szCs w:val="32"/>
        </w:rPr>
        <w:t>Кольцевой орбитальный резонанс</w:t>
      </w:r>
    </w:p>
    <w:p w:rsidR="00970E85" w:rsidRPr="00970E85" w:rsidRDefault="00970E85" w:rsidP="00970E85">
      <w:pPr>
        <w:spacing w:before="120"/>
        <w:jc w:val="center"/>
        <w:rPr>
          <w:b/>
          <w:bCs/>
          <w:color w:val="003366"/>
          <w:sz w:val="28"/>
          <w:szCs w:val="28"/>
        </w:rPr>
      </w:pPr>
      <w:r w:rsidRPr="00970E85">
        <w:rPr>
          <w:b/>
          <w:bCs/>
          <w:color w:val="003366"/>
          <w:sz w:val="28"/>
          <w:szCs w:val="28"/>
        </w:rPr>
        <w:t>Кирилл Бутусов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В 1978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г. нами была опубликована работа «Золотое сечение в Солнечной системе» [1], где было показано, что в Солнечной системе наблюдается явление резонанса волн биений, приводящее к тому, что периоды и частоты обращений планет образуют геометрическую прогрессию со знаменателями Ф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1,6180339 и Ф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=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2,6180339, хорошо отображаемые числовыми рядами: Фибоначчи (1, 2, 3, 5, 8, 13, 21, 34, 55, 89, 144, 233, 377, 610, 987...) и Люка (2, 1, 3, 4, 7, 11, 18, 29, 47, 76, 123, 199, 322, 521, 843...), см. табл. 1, где n – числа Люка и Фибоначчи, а δ% – отклонение от резонансного значения nT в %.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1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2"/>
        <w:gridCol w:w="2306"/>
        <w:gridCol w:w="1659"/>
        <w:gridCol w:w="2209"/>
        <w:gridCol w:w="1752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Т, лет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nT, лет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0,24085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90,800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1,98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0,61521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88,590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89,000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1,88089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88,401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29,4577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88,373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0,74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89,033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4,605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82,893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11,862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83,035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84,015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84,015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1,24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164,78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82,394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247,69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82,565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82,980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0,52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Однако, кроме описанных в статье случаев проявления «золотого сечения» в Солнечной системе, нам удалось выявить ещё ряд новых интересных примеров такого же рода. В частности, мы обнаружили, что величины, обратные эксцентриситетам планетных орбит также близки к числам Люка и Фибоначчи (см. табл.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2, где e – эксцентриситет орбиты, а n – число Люка или Фибоначчи).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2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80"/>
        <w:gridCol w:w="2327"/>
        <w:gridCol w:w="1674"/>
        <w:gridCol w:w="2140"/>
        <w:gridCol w:w="1767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1/e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1/ne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4,021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1,0054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0,44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4,863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0,9726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2,91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10,711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0,9737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2,80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13,157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1,0121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1,10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17,946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0,9970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0,40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20,652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0,9834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1,79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21,195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1,0093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0,82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59,772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1,0867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8,56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116,686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0,9486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5,52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147,058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1,0212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2,01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1,0010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2,63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Так как орбиты планет эллиптичны и постепенно прецессируют, то каждая из них занимает кольцевую область между двумя круговыми орбитами с радиусами: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6"/>
        <w:gridCol w:w="2854"/>
      </w:tblGrid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r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  <w:r w:rsidRPr="00970E85">
              <w:rPr>
                <w:color w:val="003366"/>
                <w:sz w:val="24"/>
                <w:szCs w:val="24"/>
              </w:rPr>
              <w:t xml:space="preserve"> = (1 – e)a</w: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(1)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r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  <w:r w:rsidRPr="00970E85">
              <w:rPr>
                <w:color w:val="003366"/>
                <w:sz w:val="24"/>
                <w:szCs w:val="24"/>
              </w:rPr>
              <w:t xml:space="preserve"> = (1 + e)a</w: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(2)</w:t>
            </w:r>
          </w:p>
        </w:tc>
      </w:tr>
    </w:tbl>
    <w:p w:rsid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где r</w:t>
      </w:r>
      <w:r w:rsidRPr="00970E85">
        <w:rPr>
          <w:color w:val="003366"/>
          <w:sz w:val="24"/>
          <w:szCs w:val="24"/>
          <w:vertAlign w:val="subscript"/>
        </w:rPr>
        <w:t>π</w:t>
      </w:r>
      <w:r w:rsidRPr="00970E85">
        <w:rPr>
          <w:color w:val="003366"/>
          <w:sz w:val="24"/>
          <w:szCs w:val="24"/>
        </w:rPr>
        <w:t xml:space="preserve"> – радиус орбиты в перигелии,</w:t>
      </w:r>
    </w:p>
    <w:p w:rsid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r</w:t>
      </w:r>
      <w:r w:rsidRPr="00970E85">
        <w:rPr>
          <w:color w:val="003366"/>
          <w:sz w:val="24"/>
          <w:szCs w:val="24"/>
          <w:vertAlign w:val="subscript"/>
        </w:rPr>
        <w:t>α</w:t>
      </w:r>
      <w:r w:rsidRPr="00970E85">
        <w:rPr>
          <w:color w:val="003366"/>
          <w:sz w:val="24"/>
          <w:szCs w:val="24"/>
        </w:rPr>
        <w:t xml:space="preserve"> – радиус орбиты в афелии,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a – большая полуось орбиты.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Этим круговым орбитам соответствуют свои периоды, а интервал периодов может быть найден по следующей формуле: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7"/>
        <w:gridCol w:w="1593"/>
      </w:tblGrid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EA5AA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0.5pt;height:46.5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(3)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где T – период обращения планеты, а ΔT – будет шириной орбиты, выраженной в терминах периодов. Назовем эту величину «периодом ширины орбиты». При этом оказалось, что «период ширины орбиты» связан с перодом обращения планеты, расположенной через одну орбиту ближе к Солнцу, следующим соотношением: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7"/>
        <w:gridCol w:w="2753"/>
      </w:tblGrid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 w:rsidRPr="00970E85">
              <w:rPr>
                <w:color w:val="003366"/>
                <w:sz w:val="24"/>
                <w:szCs w:val="24"/>
              </w:rPr>
              <w:t xml:space="preserve"> = 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n–2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(4)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где k – целое число, чаще всего, близкое к единице, т.е. имеет место своеобразный резонанс, названный нами «кольцевым резонансом» (см. табл.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3).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3а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07"/>
        <w:gridCol w:w="2680"/>
        <w:gridCol w:w="1856"/>
        <w:gridCol w:w="3045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ΔT, лет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 w:rsidRPr="00970E85">
              <w:rPr>
                <w:color w:val="003366"/>
                <w:sz w:val="24"/>
                <w:szCs w:val="24"/>
              </w:rPr>
              <w:t>, лет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0,0125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0,0627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0,0501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0,2509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0,5266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0,5266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1,0497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1,0497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1,7228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1,7228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4,9235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4,9235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11,890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11,890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4,237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29,659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184,28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92,140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3b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0"/>
        <w:gridCol w:w="1378"/>
        <w:gridCol w:w="1830"/>
        <w:gridCol w:w="1138"/>
        <w:gridCol w:w="1264"/>
        <w:gridCol w:w="1830"/>
        <w:gridCol w:w="1138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Teло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T, лет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0,903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11/2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1,041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24/5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0,6152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0,855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16,0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1,049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20/21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1,8808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8,4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12/11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4,6052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1,069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7,6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14/15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11,862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29,457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84,015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1,096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5/11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7,2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Как видно из таблицы, при грубой подборке коэфициента k он чаще всего принимает значение 1 и даёт отклонение от резонансности, равное 7,2%, а при более тонкой подборке коэфициента, когда он не целочислен, но равен отношению небольших чисел, это отклонение имеет величину только 0,24%. Учитывая, что на самом деле мгновенный период обращения планеты меняется в широких пределах, можно считать, что резонанс всегда соблюдается даже при грубой подборке k. Как оказалось, экваториальный период вращения Солнца и все «периоды ширины орбит» планет земной группы имеют между собою общий резонанс. Для планет, внешних по отношению к Земной орбите также имеет место общий для них резонанс. Причём средние отклонения от резонансности для обеих групп планет не превышают 0,55%. Период общего резонанса для внешних планет превосходит аналогичный период для земной группы планет в 28 раз (см. табл.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4).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4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15"/>
        <w:gridCol w:w="2182"/>
        <w:gridCol w:w="1517"/>
        <w:gridCol w:w="2372"/>
        <w:gridCol w:w="1802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ΔT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ΔT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0,0125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0,00627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0,0501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0,00627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0.16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0,00631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0,86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0,1483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0,00618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1,35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0,5266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0,00627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0,00626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0,5266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0,17553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0,30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1,0497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0,17495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1,7228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0,17228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1,58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4,2370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0,17654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0,88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4,9235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0,17584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0,48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11,890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0,17485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0,17500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0,55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Если рассмотреть ширину орбиты в терминах частот обращений планет, то мы получим «частоту ширины орбиты». Как выяснилось, эти величины, нормированные на «частоту ширины орбиты» Нептуна, образуют числовые ряды, близкие к числам Люка и Фибоначчи (см. табл.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5) со средним отклонением от резонансности меньше 3%.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5</w:t>
      </w:r>
    </w:p>
    <w:tbl>
      <w:tblPr>
        <w:tblW w:w="5000" w:type="pct"/>
        <w:tblCellSpacing w:w="0" w:type="dxa"/>
        <w:tblInd w:w="-47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6"/>
        <w:gridCol w:w="1919"/>
        <w:gridCol w:w="1832"/>
        <w:gridCol w:w="1278"/>
        <w:gridCol w:w="1974"/>
        <w:gridCol w:w="1349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Δν, год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–1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Δν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Δν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Δν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nΔν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0,000156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1,62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0,001690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10,8346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0,98496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3,17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0,003305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21,1871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1,00890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0,057000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36,5384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1,07465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5,75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0,012286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78,7564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1,03626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1,97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0,033516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212,564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1,06816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5,11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0,050200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321,794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0,99936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1,68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0,049938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320,051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0,99394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2,23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0,150818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966,782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987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0,97951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3,69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1,01619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2,88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Мы рассматривали до сих пор интервалы периодов и частот, определяемых через радиусы круговых орбит, ограничивающих эллипсы орбит. Однако, интересно рассмотреть разности мгновенных периодов обращения планет в афелиях и перигелиях орбит т.е. интервал, в пределах которого меняется мгновенный период при движении планеты по орбите. Назовём этот интервал «девиацией периода» Расчёт её будем вести по формуле: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8"/>
        <w:gridCol w:w="2142"/>
      </w:tblGrid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EA5AA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pict>
                <v:shape id="_x0000_i1026" type="#_x0000_t75" alt="" style="width:101.25pt;height:36pt">
                  <v:imagedata r:id="rId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(5)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При этом оказалось, что наблюдается резонанс между «девиацией периода» планеты и периодом соседней планеты, расположенной ближе к Солнцу: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5"/>
        <w:gridCol w:w="2635"/>
      </w:tblGrid>
      <w:tr w:rsidR="00970E85" w:rsidRPr="00970E85">
        <w:trPr>
          <w:tblCellSpacing w:w="0" w:type="dxa"/>
        </w:trPr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 xml:space="preserve"> *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 w:rsidRPr="00970E85">
              <w:rPr>
                <w:color w:val="003366"/>
                <w:sz w:val="24"/>
                <w:szCs w:val="24"/>
              </w:rPr>
              <w:t xml:space="preserve"> = T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 xml:space="preserve"> *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n–1</w:t>
            </w:r>
          </w:p>
        </w:tc>
        <w:tc>
          <w:tcPr>
            <w:tcW w:w="0" w:type="auto"/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(6)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См. табл. 6, где значки π, 0, α – определяют значения мгновенных периодов в перигелии, на среднем расстоянии и в афелии. Мы видим, что чаще всего наблюдается k = 2. Среднее отклонение от резонанса равно 1,75%.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6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0"/>
        <w:gridCol w:w="1498"/>
        <w:gridCol w:w="1144"/>
        <w:gridCol w:w="1498"/>
        <w:gridCol w:w="1210"/>
        <w:gridCol w:w="1498"/>
        <w:gridCol w:w="1498"/>
        <w:gridCol w:w="1138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 ΔT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kΔT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ΔT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n–1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0,2024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1/3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0,0674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Сл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0,97099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2,58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0,0167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0,1505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0,1553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0,96968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2,72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0,0669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0,6023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0,6068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0,99253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0,35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0,5442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1,0884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1,0338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1,05279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5,69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1,4040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4/3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1,8720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1,8808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0,99528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2,3000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4,6000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4,6052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0,99888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0,28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6,5757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13,1514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13,0539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1,00746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1,14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15,8730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31,7460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32,8829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0,96542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3,17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5,6494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84,7412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84,0152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1,00864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1,26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254,336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161,850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161,981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0,99919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0,31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0,99608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1,75</w:t>
            </w:r>
          </w:p>
        </w:tc>
      </w:tr>
    </w:tbl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На самом деле, учитывая, что изменение мгновенного периода происходит в широких пределах, мы можем считать, что резонанс всегда соблюдается гораздо точнее.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Наконец, рассмотрим соотношения экстремальных значений мгновенных периодов на соседних орбитах в ближайших апсидах. Например, отношение мгновенного периода в афелии орбиты к такому же периоду, но уже в перигелии последующей орбиты, расположенной дальше от Солнца (см. табл.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7, где T</w:t>
      </w:r>
      <w:r w:rsidRPr="00970E85">
        <w:rPr>
          <w:color w:val="003366"/>
          <w:sz w:val="24"/>
          <w:szCs w:val="24"/>
          <w:vertAlign w:val="subscript"/>
        </w:rPr>
        <w:t>1</w:t>
      </w:r>
      <w:r w:rsidRPr="00970E85">
        <w:rPr>
          <w:color w:val="003366"/>
          <w:sz w:val="24"/>
          <w:szCs w:val="24"/>
          <w:vertAlign w:val="superscript"/>
        </w:rPr>
        <w:t>*</w:t>
      </w:r>
      <w:r w:rsidRPr="00970E85">
        <w:rPr>
          <w:color w:val="003366"/>
          <w:sz w:val="24"/>
          <w:szCs w:val="24"/>
        </w:rPr>
        <w:t xml:space="preserve"> – мгновенный период в афелии орбиты, а T</w:t>
      </w:r>
      <w:r w:rsidRPr="00970E85">
        <w:rPr>
          <w:color w:val="003366"/>
          <w:sz w:val="24"/>
          <w:szCs w:val="24"/>
          <w:vertAlign w:val="subscript"/>
        </w:rPr>
        <w:t>2</w:t>
      </w:r>
      <w:r w:rsidRPr="00970E85">
        <w:rPr>
          <w:color w:val="003366"/>
          <w:sz w:val="24"/>
          <w:szCs w:val="24"/>
          <w:vertAlign w:val="superscript"/>
        </w:rPr>
        <w:t>*</w:t>
      </w:r>
      <w:r w:rsidRPr="00970E85">
        <w:rPr>
          <w:color w:val="003366"/>
          <w:sz w:val="24"/>
          <w:szCs w:val="24"/>
        </w:rPr>
        <w:t xml:space="preserve"> – мгновенный период в перигелии последующей). Исключение составляют только Меркурий,где вместо перигелийных и афелийных периодов взяты средние периоды и Венера, где вместо афелийного периода взят средний период. Резонансный коэфициент равен отношению небольших чисел, на 85% состоящих из чисел Люка (2, 3, 4, 7, 11).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Анализ таблицы показывает, что эти соотношения близки к резонансным со средним отклонением от резонансности 0,53%.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Таблица 7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0"/>
        <w:gridCol w:w="1498"/>
        <w:gridCol w:w="1210"/>
        <w:gridCol w:w="1498"/>
        <w:gridCol w:w="1144"/>
        <w:gridCol w:w="1498"/>
        <w:gridCol w:w="1618"/>
        <w:gridCol w:w="1138"/>
      </w:tblGrid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2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Тело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1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kT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1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2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/</w:t>
            </w:r>
            <w:r>
              <w:rPr>
                <w:color w:val="003366"/>
                <w:sz w:val="24"/>
                <w:szCs w:val="24"/>
              </w:rPr>
              <w:t xml:space="preserve"> </w:t>
            </w:r>
            <w:r w:rsidRPr="00970E85">
              <w:rPr>
                <w:color w:val="003366"/>
                <w:sz w:val="24"/>
                <w:szCs w:val="24"/>
              </w:rPr>
              <w:t>kT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1</w:t>
            </w:r>
            <w:r w:rsidRPr="00970E85">
              <w:rPr>
                <w:color w:val="003366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δ%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Сл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0,0694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0,2432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0,990304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0,6068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Ме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0,2408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5/2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0,6021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1,007897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0,9669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В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0,6152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11/7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0,9667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1,000202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0,03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1,6162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З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1,0338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11/7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1,6246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0,994791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0,57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3,9432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Ма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2,1604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11/6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3,9608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0,995554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10,7539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Ц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5,3472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2/1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10,6944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1,005564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Ст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26,3072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Ю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13,0539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2/1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26,1079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1,007633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0,70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76,3596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Ст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32,8829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76,7268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0,995213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0,53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161,981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У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92,2326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7/4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161,407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1,003557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0,30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П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144,369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Н</w:t>
            </w:r>
            <w:r w:rsidRPr="00970E85">
              <w:rPr>
                <w:color w:val="003366"/>
                <w:sz w:val="24"/>
                <w:szCs w:val="24"/>
                <w:vertAlign w:val="subscript"/>
              </w:rPr>
              <w:t>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167,630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6/7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143,683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1,004770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0,42</w:t>
            </w:r>
          </w:p>
        </w:tc>
      </w:tr>
      <w:tr w:rsidR="00970E85" w:rsidRPr="00970E85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>
              <w:rPr>
                <w:color w:val="003366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1,000548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970E85" w:rsidRPr="00970E85" w:rsidRDefault="00970E85" w:rsidP="00970E85">
            <w:pPr>
              <w:spacing w:before="120"/>
              <w:ind w:firstLine="567"/>
              <w:jc w:val="both"/>
              <w:rPr>
                <w:color w:val="003366"/>
                <w:sz w:val="24"/>
                <w:szCs w:val="24"/>
              </w:rPr>
            </w:pPr>
            <w:r w:rsidRPr="00970E85">
              <w:rPr>
                <w:color w:val="003366"/>
                <w:sz w:val="24"/>
                <w:szCs w:val="24"/>
              </w:rPr>
              <w:t>0,53</w:t>
            </w:r>
          </w:p>
        </w:tc>
      </w:tr>
    </w:tbl>
    <w:p w:rsidR="00970E85" w:rsidRPr="00970E85" w:rsidRDefault="00970E85" w:rsidP="00970E85">
      <w:pPr>
        <w:spacing w:before="120"/>
        <w:jc w:val="center"/>
        <w:rPr>
          <w:b/>
          <w:bCs/>
          <w:color w:val="003366"/>
          <w:sz w:val="28"/>
          <w:szCs w:val="28"/>
        </w:rPr>
      </w:pPr>
      <w:r w:rsidRPr="00970E85">
        <w:rPr>
          <w:b/>
          <w:bCs/>
          <w:color w:val="003366"/>
          <w:sz w:val="28"/>
          <w:szCs w:val="28"/>
        </w:rPr>
        <w:t>Выводы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Величины, обратные эксцентриситетам орбит планет образуют числа, близкие к числам Люка и Фибоначчи.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Периоды ширины орбитальных колец находятся в резонансе с периодами планет, расположенными через одну орбиту ближе к Солнцу.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Частоты ширины орбитальных колец находятся в резонансе с частотами обращения планет, расположенных дальше от Солнца через одну орбиту.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Периоды ширины орбитальных колец как земной группы планет, так и планет, внешних по отношению к земной орбите, образуют две группы тел с общими резонансами внутри группы.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Частоты ширины орбитальных колец, нормированные на частоту ширины орбиты Нептуна, образуют числовой ряд близкий к числам Люка и Фибоначчи.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Девиации периодов обращений планет находятся в резонансе с периодом обращения соседней планеты, расположенной ближе к Солнцу. </w:t>
      </w:r>
    </w:p>
    <w:p w:rsidR="00970E85" w:rsidRP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 xml:space="preserve">Экстремальные периоды в ближайших апсидах соседних планет находятся в резонансе, а числовые коэфициенты резонансов на 85% состоят из чисел Люка (2, 3, 4, 7, 11). </w:t>
      </w:r>
    </w:p>
    <w:p w:rsid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Имеют место ещё и другие резонансные соотношения для частот ширины орбит, девиаций частоты и экстремальных значений частот планетных орбит, но ввиду ограниченности объёма работы мы этих результатов вычислений не приводим.</w:t>
      </w:r>
      <w:r>
        <w:rPr>
          <w:color w:val="003366"/>
          <w:sz w:val="24"/>
          <w:szCs w:val="24"/>
        </w:rPr>
        <w:t xml:space="preserve"> </w:t>
      </w:r>
    </w:p>
    <w:p w:rsidR="00970E85" w:rsidRPr="00970E85" w:rsidRDefault="00970E85" w:rsidP="00970E85">
      <w:pPr>
        <w:spacing w:before="120"/>
        <w:jc w:val="center"/>
        <w:rPr>
          <w:b/>
          <w:bCs/>
          <w:color w:val="003366"/>
          <w:sz w:val="28"/>
          <w:szCs w:val="28"/>
        </w:rPr>
      </w:pPr>
      <w:r w:rsidRPr="00970E85">
        <w:rPr>
          <w:b/>
          <w:bCs/>
          <w:color w:val="003366"/>
          <w:sz w:val="28"/>
          <w:szCs w:val="28"/>
        </w:rPr>
        <w:t>Список литературы</w:t>
      </w:r>
    </w:p>
    <w:p w:rsidR="00970E85" w:rsidRDefault="00970E85" w:rsidP="00970E85">
      <w:pPr>
        <w:spacing w:before="120"/>
        <w:ind w:firstLine="567"/>
        <w:jc w:val="both"/>
        <w:rPr>
          <w:color w:val="003366"/>
          <w:sz w:val="24"/>
          <w:szCs w:val="24"/>
        </w:rPr>
      </w:pPr>
      <w:r w:rsidRPr="00970E85">
        <w:rPr>
          <w:color w:val="003366"/>
          <w:sz w:val="24"/>
          <w:szCs w:val="24"/>
        </w:rPr>
        <w:t>К.П.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Бутусов. «Золотое сечение в Солнечной системе». Проблемы исследования Вселенной, вып.</w:t>
      </w:r>
      <w:r>
        <w:rPr>
          <w:color w:val="003366"/>
          <w:sz w:val="24"/>
          <w:szCs w:val="24"/>
        </w:rPr>
        <w:t xml:space="preserve"> </w:t>
      </w:r>
      <w:r w:rsidRPr="00970E85">
        <w:rPr>
          <w:color w:val="003366"/>
          <w:sz w:val="24"/>
          <w:szCs w:val="24"/>
        </w:rPr>
        <w:t>7. М.-Л., 1978.</w:t>
      </w:r>
    </w:p>
    <w:p w:rsidR="00AC7F74" w:rsidRPr="00970E85" w:rsidRDefault="00AC7F74" w:rsidP="00970E85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AC7F74" w:rsidRPr="00970E85" w:rsidSect="00970E85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823F8"/>
    <w:multiLevelType w:val="multilevel"/>
    <w:tmpl w:val="6458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78"/>
  <w:drawingGridVerticalSpacing w:val="40"/>
  <w:displayHorizontalDrawingGridEvery w:val="0"/>
  <w:displayVerticalDrawingGridEvery w:val="2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F74"/>
    <w:rsid w:val="000A2DC4"/>
    <w:rsid w:val="00970E85"/>
    <w:rsid w:val="00AC7F74"/>
    <w:rsid w:val="00EA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CB406ADA-2D2C-46EE-A827-03E8CDBA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link w:val="10"/>
    <w:uiPriority w:val="99"/>
    <w:qFormat/>
    <w:rsid w:val="00AC7F74"/>
    <w:pPr>
      <w:spacing w:before="60" w:after="60"/>
      <w:ind w:left="12"/>
      <w:outlineLvl w:val="0"/>
    </w:pPr>
    <w:rPr>
      <w:color w:val="006666"/>
      <w:kern w:val="36"/>
      <w:sz w:val="35"/>
      <w:szCs w:val="35"/>
    </w:rPr>
  </w:style>
  <w:style w:type="paragraph" w:styleId="2">
    <w:name w:val="heading 2"/>
    <w:basedOn w:val="a"/>
    <w:link w:val="20"/>
    <w:uiPriority w:val="99"/>
    <w:qFormat/>
    <w:rsid w:val="00AC7F74"/>
    <w:pPr>
      <w:pBdr>
        <w:bottom w:val="single" w:sz="4" w:space="0" w:color="6699FF"/>
      </w:pBdr>
      <w:spacing w:before="360" w:after="60"/>
      <w:ind w:left="12"/>
      <w:outlineLvl w:val="1"/>
    </w:pPr>
    <w:rPr>
      <w:color w:val="006666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AC7F74"/>
    <w:pPr>
      <w:spacing w:before="360" w:after="120"/>
      <w:ind w:left="24"/>
      <w:outlineLvl w:val="2"/>
    </w:pPr>
    <w:rPr>
      <w:color w:val="006666"/>
      <w:sz w:val="27"/>
      <w:szCs w:val="27"/>
    </w:rPr>
  </w:style>
  <w:style w:type="paragraph" w:styleId="4">
    <w:name w:val="heading 4"/>
    <w:basedOn w:val="a"/>
    <w:link w:val="40"/>
    <w:uiPriority w:val="99"/>
    <w:qFormat/>
    <w:rsid w:val="00970E85"/>
    <w:pPr>
      <w:spacing w:before="360" w:after="120"/>
      <w:ind w:left="24"/>
      <w:outlineLvl w:val="3"/>
    </w:pPr>
    <w:rPr>
      <w:b/>
      <w:bCs/>
      <w:color w:val="0066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Hyperlink"/>
    <w:basedOn w:val="a0"/>
    <w:uiPriority w:val="99"/>
    <w:rsid w:val="00AC7F74"/>
    <w:rPr>
      <w:color w:val="auto"/>
      <w:u w:val="single"/>
    </w:rPr>
  </w:style>
  <w:style w:type="paragraph" w:styleId="a4">
    <w:name w:val="Normal (Web)"/>
    <w:basedOn w:val="a"/>
    <w:uiPriority w:val="99"/>
    <w:rsid w:val="00AC7F74"/>
    <w:pPr>
      <w:spacing w:before="120"/>
      <w:ind w:left="36"/>
    </w:pPr>
    <w:rPr>
      <w:color w:val="003366"/>
      <w:sz w:val="24"/>
      <w:szCs w:val="24"/>
    </w:rPr>
  </w:style>
  <w:style w:type="paragraph" w:customStyle="1" w:styleId="at">
    <w:name w:val="at"/>
    <w:basedOn w:val="a"/>
    <w:uiPriority w:val="99"/>
    <w:rsid w:val="00AC7F74"/>
    <w:pPr>
      <w:spacing w:before="120" w:after="480"/>
      <w:ind w:left="36"/>
    </w:pPr>
    <w:rPr>
      <w:rFonts w:ascii="Verdana" w:hAnsi="Verdana" w:cs="Verdana"/>
      <w:b/>
      <w:bCs/>
      <w:color w:val="003366"/>
      <w:sz w:val="18"/>
      <w:szCs w:val="18"/>
    </w:rPr>
  </w:style>
  <w:style w:type="paragraph" w:customStyle="1" w:styleId="sm">
    <w:name w:val="sm"/>
    <w:basedOn w:val="a"/>
    <w:uiPriority w:val="99"/>
    <w:rsid w:val="00AC7F74"/>
    <w:pPr>
      <w:spacing w:before="96" w:line="316" w:lineRule="auto"/>
      <w:ind w:left="36"/>
    </w:pPr>
    <w:rPr>
      <w:rFonts w:ascii="Verdana" w:hAnsi="Verdana" w:cs="Verdana"/>
      <w:color w:val="003366"/>
      <w:sz w:val="18"/>
      <w:szCs w:val="18"/>
    </w:rPr>
  </w:style>
  <w:style w:type="character" w:styleId="a5">
    <w:name w:val="FollowedHyperlink"/>
    <w:basedOn w:val="a0"/>
    <w:uiPriority w:val="99"/>
    <w:rsid w:val="00970E85"/>
    <w:rPr>
      <w:color w:val="auto"/>
      <w:u w:val="single"/>
    </w:rPr>
  </w:style>
  <w:style w:type="paragraph" w:customStyle="1" w:styleId="data">
    <w:name w:val="data"/>
    <w:basedOn w:val="a"/>
    <w:uiPriority w:val="99"/>
    <w:rsid w:val="00970E85"/>
    <w:pPr>
      <w:spacing w:before="240"/>
      <w:ind w:left="36"/>
    </w:pPr>
    <w:rPr>
      <w:rFonts w:ascii="Verdana" w:hAnsi="Verdana" w:cs="Verdana"/>
      <w:b/>
      <w:bCs/>
      <w:color w:val="003366"/>
      <w:sz w:val="18"/>
      <w:szCs w:val="18"/>
    </w:rPr>
  </w:style>
  <w:style w:type="paragraph" w:customStyle="1" w:styleId="tab">
    <w:name w:val="tab"/>
    <w:basedOn w:val="a"/>
    <w:uiPriority w:val="99"/>
    <w:rsid w:val="00970E85"/>
    <w:pPr>
      <w:spacing w:before="120" w:after="144"/>
      <w:ind w:left="36"/>
      <w:jc w:val="center"/>
    </w:pPr>
    <w:rPr>
      <w:rFonts w:ascii="Verdana" w:hAnsi="Verdana" w:cs="Verdana"/>
      <w:color w:val="0033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1369</Words>
  <Characters>7809</Characters>
  <Application>Microsoft Office Word</Application>
  <DocSecurity>0</DocSecurity>
  <Lines>65</Lines>
  <Paragraphs>18</Paragraphs>
  <ScaleCrop>false</ScaleCrop>
  <Company>PERSONAL COMPUTERS</Company>
  <LinksUpToDate>false</LinksUpToDate>
  <CharactersWithSpaces>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Кольцевой орбитальный резонанс</dc:title>
  <dc:subject/>
  <dc:creator>USER</dc:creator>
  <cp:keywords/>
  <dc:description/>
  <cp:lastModifiedBy>admin</cp:lastModifiedBy>
  <cp:revision>2</cp:revision>
  <dcterms:created xsi:type="dcterms:W3CDTF">2014-05-20T22:17:00Z</dcterms:created>
  <dcterms:modified xsi:type="dcterms:W3CDTF">2014-05-20T22:17:00Z</dcterms:modified>
</cp:coreProperties>
</file>