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951" w:rsidRDefault="00895951" w:rsidP="003862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1290" w:rsidRPr="00973A56" w:rsidRDefault="003862BE" w:rsidP="003862BE">
      <w:pPr>
        <w:jc w:val="center"/>
        <w:rPr>
          <w:rFonts w:ascii="Times New Roman" w:hAnsi="Times New Roman"/>
          <w:b/>
          <w:sz w:val="28"/>
          <w:szCs w:val="28"/>
        </w:rPr>
      </w:pPr>
      <w:r w:rsidRPr="00973A56">
        <w:rPr>
          <w:rFonts w:ascii="Times New Roman" w:hAnsi="Times New Roman"/>
          <w:b/>
          <w:sz w:val="28"/>
          <w:szCs w:val="28"/>
        </w:rPr>
        <w:t>Лабораторная работа № 4</w:t>
      </w:r>
    </w:p>
    <w:p w:rsidR="003862BE" w:rsidRDefault="003862BE" w:rsidP="003862B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технологического процесса перевозок грузов</w:t>
      </w:r>
      <w:r w:rsidR="008464BA">
        <w:rPr>
          <w:rFonts w:ascii="Times New Roman" w:hAnsi="Times New Roman"/>
          <w:sz w:val="28"/>
          <w:szCs w:val="28"/>
        </w:rPr>
        <w:t>.</w:t>
      </w:r>
    </w:p>
    <w:p w:rsidR="008464BA" w:rsidRDefault="008464BA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Камаз 4308</w:t>
      </w:r>
    </w:p>
    <w:p w:rsidR="008464BA" w:rsidRDefault="009915C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2.25pt;height:145.5pt;visibility:visible">
            <v:imagedata r:id="rId4" o:title=""/>
          </v:shape>
        </w:pict>
      </w:r>
    </w:p>
    <w:p w:rsidR="008464BA" w:rsidRPr="008464BA" w:rsidRDefault="008464BA" w:rsidP="008464BA">
      <w:pPr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64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Система питания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Вместимость топливного бака, л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8464BA" w:rsidRPr="008464BA" w:rsidRDefault="008464BA" w:rsidP="008464BA">
      <w:pPr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64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Двигатель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CUMMINS B5.9 180 CIV-0 (Евро-2)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дизельный с турбонаддувом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Номинальная мощность, нетто, кВт(л.с.) / при частоте вращения коленчатого вала, об/мин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(154) / 2500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Номинальная мощность, брутто, кВт(л.с.) / при частоте вращения коленчатого вала, об/мин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 (178) / 2500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крутящий момент, нетто, Нм(кгсм) / при частоте вращения коленчатого вала, об/мин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 (65) / 1500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Расположение и число цилиндров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рядное, 6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Рабочий объём, л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</w:tr>
    </w:tbl>
    <w:p w:rsidR="008464BA" w:rsidRPr="008464BA" w:rsidRDefault="008464BA" w:rsidP="008464BA">
      <w:pPr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64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Весовые параметры и нагрузки, а/м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Снаряженная масса а/м,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Снаряженная масса а/м, нагрузка на переднюю ось,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Грузоподъемность а/м,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Полная масса,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Полная масса а/м, нагрузка на переднюю ось,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Полная масса прицепа,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Снаряженная масса а/м, нагрузка на задний мост,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Полная масса а/м, нагрузка на задний мост,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Полная масса автопоезда, кг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19500</w:t>
            </w:r>
          </w:p>
        </w:tc>
      </w:tr>
    </w:tbl>
    <w:p w:rsidR="008464BA" w:rsidRPr="008464BA" w:rsidRDefault="008464BA" w:rsidP="008464BA">
      <w:pPr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64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Коробка передач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механическая, пятиступенчатая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механическое, дистанционное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Передаточные числа на передачах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1 -5,62/ 2 -2,89/ 3 -1,64/ 4 -1,00/ 5 -0,724/ 3Х -5,30 </w:t>
            </w:r>
          </w:p>
        </w:tc>
      </w:tr>
    </w:tbl>
    <w:p w:rsidR="008464BA" w:rsidRPr="008464BA" w:rsidRDefault="008464BA" w:rsidP="008464BA">
      <w:pPr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64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Колеса и шины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 колес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дисковые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Размер обода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6,75-19,5</w:t>
            </w:r>
          </w:p>
        </w:tc>
      </w:tr>
      <w:tr w:rsidR="008464BA" w:rsidRPr="008464BA" w:rsidTr="008464BA">
        <w:trPr>
          <w:tblCellSpacing w:w="15" w:type="dxa"/>
        </w:trPr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Размер шин</w:t>
            </w:r>
          </w:p>
        </w:tc>
        <w:tc>
          <w:tcPr>
            <w:tcW w:w="2500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245/70 R19,5</w:t>
            </w:r>
          </w:p>
        </w:tc>
      </w:tr>
    </w:tbl>
    <w:p w:rsidR="008464BA" w:rsidRPr="008464BA" w:rsidRDefault="008464BA" w:rsidP="008464BA">
      <w:pPr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64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 характеристики</w:t>
      </w:r>
    </w:p>
    <w:tbl>
      <w:tblPr>
        <w:tblW w:w="495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1"/>
        <w:gridCol w:w="4681"/>
      </w:tblGrid>
      <w:tr w:rsidR="008464BA" w:rsidRPr="008464BA" w:rsidTr="008464BA">
        <w:trPr>
          <w:trHeight w:val="192"/>
          <w:tblCellSpacing w:w="15" w:type="dxa"/>
        </w:trPr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Максимальная скорость, не менее, км/ч</w:t>
            </w:r>
          </w:p>
        </w:tc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</w:tr>
      <w:tr w:rsidR="008464BA" w:rsidRPr="008464BA" w:rsidTr="008464BA">
        <w:trPr>
          <w:trHeight w:val="192"/>
          <w:tblCellSpacing w:w="15" w:type="dxa"/>
        </w:trPr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Угол преодол. подъема, не менее, %</w:t>
            </w:r>
          </w:p>
        </w:tc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464BA" w:rsidRPr="008464BA" w:rsidTr="008464BA">
        <w:trPr>
          <w:trHeight w:val="192"/>
          <w:tblCellSpacing w:w="15" w:type="dxa"/>
        </w:trPr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Внешний габаритный радиус поворота, м</w:t>
            </w:r>
          </w:p>
        </w:tc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464BA" w:rsidRPr="008464BA" w:rsidTr="008464BA">
        <w:trPr>
          <w:trHeight w:val="372"/>
          <w:tblCellSpacing w:w="15" w:type="dxa"/>
        </w:trPr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2476" w:type="pct"/>
            <w:vAlign w:val="center"/>
          </w:tcPr>
          <w:p w:rsidR="008464BA" w:rsidRPr="008464BA" w:rsidRDefault="008464BA" w:rsidP="008464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характеристики автомобиля полной массой 11500 кг</w:t>
            </w:r>
          </w:p>
        </w:tc>
      </w:tr>
    </w:tbl>
    <w:p w:rsidR="006E6129" w:rsidRDefault="006E6129" w:rsidP="006E6129">
      <w:pPr>
        <w:pStyle w:val="1"/>
      </w:pPr>
      <w:r>
        <w:t>ТСМ FD15T13</w:t>
      </w:r>
    </w:p>
    <w:p w:rsidR="006E6129" w:rsidRDefault="006E6129" w:rsidP="006E6129">
      <w:r>
        <w:t xml:space="preserve">Погрузчик вилочный </w:t>
      </w:r>
    </w:p>
    <w:p w:rsidR="006E6129" w:rsidRDefault="006E6129" w:rsidP="006E6129">
      <w:pPr>
        <w:pStyle w:val="2"/>
      </w:pPr>
      <w:r>
        <w:t>ТСМ FD15T13 Погрузчик вилочный</w:t>
      </w:r>
    </w:p>
    <w:p w:rsidR="00973A56" w:rsidRDefault="006E6129" w:rsidP="00973A56">
      <w:pPr>
        <w:pStyle w:val="a6"/>
        <w:jc w:val="both"/>
      </w:pPr>
      <w:r>
        <w:t xml:space="preserve">Вилочный погрузчик </w:t>
      </w:r>
      <w:r>
        <w:rPr>
          <w:rStyle w:val="a7"/>
        </w:rPr>
        <w:t>ТСМ FD15T13</w:t>
      </w:r>
      <w:r>
        <w:t xml:space="preserve"> предназначен для погрузочно-разгрузочных операций и перевозок грузов на близкие расстояния, транспортировка которых осуществляется на специально установленных поддонах или в другой таре. В качестве силового агрегата вилочный погрузчик модели FD15T13 использует дизельный двигатель Kubota D1503, номинальная мощность которого сводится к 21.3 кВт при 2500 об/мин. Двигатель соответствует всем нормам экологической безопасности Euro 3. Рабочий объем силового агрегата составляет 1499 л. Модель FD15T13 оснащена автоматической коробкой передач. Стандартная высота подъема вил сводится к 3 метрам. Благодаря своей маневренности может использоваться в складских помещениях. Стоит заметить, что управление ТСМ FG15T13 осуществляет водитель из кабины, который удобно может разместиться на регулируемом кресле с системой боковой поддержки (ORS) ремнем </w:t>
      </w:r>
      <w:r w:rsidR="00973A56">
        <w:t>безопасности.</w:t>
      </w:r>
    </w:p>
    <w:p w:rsidR="006E6129" w:rsidRDefault="009915C5" w:rsidP="00973A56">
      <w:pPr>
        <w:pStyle w:val="a6"/>
        <w:jc w:val="both"/>
      </w:pPr>
      <w:r>
        <w:rPr>
          <w:noProof/>
        </w:rPr>
        <w:pict>
          <v:shape id="Рисунок 4" o:spid="_x0000_i1026" type="#_x0000_t75" style="width:263.25pt;height:201pt;visibility:visible">
            <v:imagedata r:id="rId5" o:title=""/>
          </v:shape>
        </w:pict>
      </w:r>
    </w:p>
    <w:tbl>
      <w:tblPr>
        <w:tblW w:w="414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1"/>
        <w:gridCol w:w="4173"/>
      </w:tblGrid>
      <w:tr w:rsidR="006E6129" w:rsidRPr="0085635A" w:rsidTr="006E6129">
        <w:trPr>
          <w:trHeight w:val="407"/>
          <w:tblCellSpacing w:w="15" w:type="dxa"/>
        </w:trPr>
        <w:tc>
          <w:tcPr>
            <w:tcW w:w="4962" w:type="pct"/>
            <w:gridSpan w:val="2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Технические характеристики </w:t>
            </w:r>
            <w:r w:rsidRPr="0085635A">
              <w:rPr>
                <w:rStyle w:val="a7"/>
                <w:rFonts w:ascii="Times New Roman" w:hAnsi="Times New Roman"/>
                <w:sz w:val="28"/>
                <w:szCs w:val="28"/>
              </w:rPr>
              <w:t>ТСМ FD15T13</w:t>
            </w:r>
            <w:r w:rsidRPr="0085635A">
              <w:t xml:space="preserve"> </w:t>
            </w:r>
          </w:p>
        </w:tc>
      </w:tr>
      <w:tr w:rsidR="006E6129" w:rsidRPr="0085635A" w:rsidTr="006E6129">
        <w:trPr>
          <w:trHeight w:val="663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Модель погрузчика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Погрузчик FD15T13 (дизельный, автоматическая трансмиссия) </w:t>
            </w:r>
          </w:p>
        </w:tc>
      </w:tr>
      <w:tr w:rsidR="006E6129" w:rsidRPr="0085635A" w:rsidTr="006E6129">
        <w:trPr>
          <w:trHeight w:val="652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Грузоподъёмность, кг (при центре тяжести 500 мм)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1500 </w:t>
            </w:r>
          </w:p>
        </w:tc>
      </w:tr>
      <w:tr w:rsidR="006E6129" w:rsidRPr="0085635A" w:rsidTr="006E6129">
        <w:trPr>
          <w:trHeight w:val="663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Стандартная высота подъема вил, мм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3000 </w:t>
            </w:r>
          </w:p>
        </w:tc>
      </w:tr>
      <w:tr w:rsidR="006E6129" w:rsidRPr="0085635A" w:rsidTr="006E6129">
        <w:trPr>
          <w:trHeight w:val="407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Радиус разворота, мм (внешний)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1980 </w:t>
            </w:r>
          </w:p>
        </w:tc>
      </w:tr>
      <w:tr w:rsidR="006E6129" w:rsidRPr="0085635A" w:rsidTr="006E6129">
        <w:trPr>
          <w:trHeight w:val="407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Общая длина, мм (без вил)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2245 </w:t>
            </w:r>
          </w:p>
        </w:tc>
      </w:tr>
      <w:tr w:rsidR="006E6129" w:rsidRPr="0085635A" w:rsidTr="006E6129">
        <w:trPr>
          <w:trHeight w:val="407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Общая ширина, мм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1070 </w:t>
            </w:r>
          </w:p>
        </w:tc>
      </w:tr>
      <w:tr w:rsidR="006E6129" w:rsidRPr="0085635A" w:rsidTr="006E6129">
        <w:trPr>
          <w:trHeight w:val="652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Общая высота, мм (мачта/ограждение водителя)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1995/2070 </w:t>
            </w:r>
          </w:p>
        </w:tc>
      </w:tr>
      <w:tr w:rsidR="006E6129" w:rsidRPr="0085635A" w:rsidTr="006E6129">
        <w:trPr>
          <w:trHeight w:val="407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Общий вес, кг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2540 </w:t>
            </w:r>
          </w:p>
        </w:tc>
      </w:tr>
      <w:tr w:rsidR="006E6129" w:rsidRPr="0085635A" w:rsidTr="006E6129">
        <w:trPr>
          <w:trHeight w:val="407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Модель двигателя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Kubota D1503 </w:t>
            </w:r>
          </w:p>
        </w:tc>
      </w:tr>
      <w:tr w:rsidR="006E6129" w:rsidRPr="0085635A" w:rsidTr="006E6129">
        <w:trPr>
          <w:trHeight w:val="396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Рабочий объем двигателя, см куб.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1499 </w:t>
            </w:r>
          </w:p>
        </w:tc>
      </w:tr>
      <w:tr w:rsidR="006E6129" w:rsidRPr="0085635A" w:rsidTr="006E6129">
        <w:trPr>
          <w:trHeight w:val="407"/>
          <w:tblCellSpacing w:w="15" w:type="dxa"/>
        </w:trPr>
        <w:tc>
          <w:tcPr>
            <w:tcW w:w="2317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Номинальная мощность двигателя </w:t>
            </w:r>
          </w:p>
        </w:tc>
        <w:tc>
          <w:tcPr>
            <w:tcW w:w="2626" w:type="pct"/>
            <w:vAlign w:val="center"/>
          </w:tcPr>
          <w:p w:rsidR="006E6129" w:rsidRPr="0085635A" w:rsidRDefault="006E6129" w:rsidP="006E6129">
            <w:pPr>
              <w:pStyle w:val="3"/>
            </w:pPr>
            <w:r w:rsidRPr="0085635A">
              <w:t xml:space="preserve">21.3 kW / 2500 об/мин </w:t>
            </w:r>
          </w:p>
        </w:tc>
      </w:tr>
    </w:tbl>
    <w:p w:rsidR="006E6129" w:rsidRDefault="00973A56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груза: Картон.  Груз прессуется, далее пакетируется , устанавливаются на поддоны.</w:t>
      </w:r>
    </w:p>
    <w:p w:rsidR="008464BA" w:rsidRDefault="008464BA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Производительность подвижного состава за рабочий день определяется по формуле:</w:t>
      </w:r>
    </w:p>
    <w:p w:rsidR="00EA0D35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</w:t>
      </w:r>
    </w:p>
    <w:p w:rsidR="00EA0D35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 xml:space="preserve">год </w:t>
      </w:r>
      <w:r>
        <w:rPr>
          <w:rFonts w:ascii="Times New Roman" w:hAnsi="Times New Roman"/>
          <w:sz w:val="28"/>
          <w:szCs w:val="28"/>
        </w:rPr>
        <w:t>= 100 000 т</w:t>
      </w:r>
    </w:p>
    <w:p w:rsidR="00EA0D35" w:rsidRPr="00EA0D35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</w:rPr>
        <w:t>н</w:t>
      </w:r>
      <w:r w:rsidRPr="00EA0D35">
        <w:rPr>
          <w:rFonts w:ascii="Times New Roman" w:hAnsi="Times New Roman"/>
          <w:sz w:val="28"/>
          <w:szCs w:val="28"/>
        </w:rPr>
        <w:t xml:space="preserve">  = 27 </w:t>
      </w:r>
      <w:r>
        <w:rPr>
          <w:rFonts w:ascii="Times New Roman" w:hAnsi="Times New Roman"/>
          <w:sz w:val="28"/>
          <w:szCs w:val="28"/>
        </w:rPr>
        <w:t>км</w:t>
      </w:r>
    </w:p>
    <w:p w:rsidR="00EA0D35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</w:rPr>
        <w:t>ег</w:t>
      </w:r>
      <w:r w:rsidRPr="00EA0D35">
        <w:rPr>
          <w:rFonts w:ascii="Times New Roman" w:hAnsi="Times New Roman"/>
          <w:sz w:val="28"/>
          <w:szCs w:val="28"/>
        </w:rPr>
        <w:t xml:space="preserve">  = 100</w:t>
      </w:r>
      <w:r>
        <w:rPr>
          <w:rFonts w:ascii="Times New Roman" w:hAnsi="Times New Roman"/>
          <w:sz w:val="28"/>
          <w:szCs w:val="28"/>
        </w:rPr>
        <w:t xml:space="preserve"> км</w:t>
      </w:r>
    </w:p>
    <w:p w:rsidR="00EA0D35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q </w:t>
      </w:r>
      <w:r>
        <w:rPr>
          <w:rFonts w:ascii="Times New Roman" w:hAnsi="Times New Roman"/>
          <w:sz w:val="28"/>
          <w:szCs w:val="28"/>
          <w:vertAlign w:val="subscript"/>
        </w:rPr>
        <w:t xml:space="preserve">н </w:t>
      </w:r>
      <w:r>
        <w:rPr>
          <w:rFonts w:ascii="Times New Roman" w:hAnsi="Times New Roman"/>
          <w:sz w:val="28"/>
          <w:szCs w:val="28"/>
        </w:rPr>
        <w:t>= 5,5 т</w:t>
      </w:r>
    </w:p>
    <w:p w:rsidR="00EA0D35" w:rsidRPr="00EA0D35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</w:p>
    <w:p w:rsidR="008464BA" w:rsidRPr="00EA0D35" w:rsidRDefault="008464BA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 w:rsidRPr="00EA0D35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="00DF7C10" w:rsidRPr="00EA0D3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F7C10" w:rsidRPr="00EA0D35">
        <w:rPr>
          <w:rFonts w:ascii="Times New Roman" w:hAnsi="Times New Roman"/>
          <w:sz w:val="28"/>
          <w:szCs w:val="28"/>
          <w:vertAlign w:val="superscript"/>
        </w:rPr>
        <w:t>.</w:t>
      </w:r>
      <w:r w:rsidR="00DF7C10" w:rsidRPr="00EA0D35">
        <w:rPr>
          <w:rFonts w:ascii="Times New Roman" w:hAnsi="Times New Roman"/>
          <w:sz w:val="28"/>
          <w:szCs w:val="28"/>
        </w:rPr>
        <w:t xml:space="preserve"> </w:t>
      </w:r>
      <w:r w:rsidR="00DF7C10">
        <w:rPr>
          <w:rFonts w:ascii="Times New Roman" w:hAnsi="Times New Roman"/>
          <w:sz w:val="28"/>
          <w:szCs w:val="28"/>
          <w:lang w:val="en-US"/>
        </w:rPr>
        <w:t>q</w:t>
      </w:r>
      <w:r w:rsidR="00DF7C10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DF7C10" w:rsidRPr="00EA0D35"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 w:rsidR="00DF7C10">
        <w:rPr>
          <w:rFonts w:ascii="Times New Roman" w:hAnsi="Times New Roman"/>
          <w:sz w:val="28"/>
          <w:szCs w:val="28"/>
          <w:lang w:val="en-US"/>
        </w:rPr>
        <w:t>γ</w:t>
      </w:r>
      <w:r w:rsidR="00DF7C10" w:rsidRPr="00EA0D35">
        <w:rPr>
          <w:rFonts w:ascii="Times New Roman" w:hAnsi="Times New Roman"/>
          <w:sz w:val="28"/>
          <w:szCs w:val="28"/>
        </w:rPr>
        <w:t>,</w:t>
      </w:r>
    </w:p>
    <w:p w:rsidR="00DF7C10" w:rsidRPr="00DF7C10" w:rsidRDefault="00DF7C10" w:rsidP="008464BA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>
        <w:rPr>
          <w:rFonts w:ascii="Times New Roman" w:hAnsi="Times New Roman"/>
          <w:sz w:val="28"/>
          <w:szCs w:val="28"/>
          <w:lang w:val="en-US"/>
        </w:rPr>
        <w:t>= T</w:t>
      </w:r>
      <w:r>
        <w:rPr>
          <w:rFonts w:ascii="Times New Roman" w:hAnsi="Times New Roman"/>
          <w:sz w:val="28"/>
          <w:szCs w:val="28"/>
          <w:vertAlign w:val="subscript"/>
        </w:rPr>
        <w:t>н</w:t>
      </w:r>
      <w:r w:rsidRPr="00DF7C1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–</w:t>
      </w:r>
      <w:r w:rsidRPr="00DF7C10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>н</w:t>
      </w:r>
      <w:r w:rsidRPr="00DF7C1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/</w:t>
      </w:r>
      <w:r w:rsidRPr="00DF7C10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>е</w:t>
      </w:r>
      <w:r w:rsidRPr="00DF7C1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DF7C10">
        <w:rPr>
          <w:rFonts w:ascii="Times New Roman" w:hAnsi="Times New Roman"/>
          <w:sz w:val="28"/>
          <w:szCs w:val="28"/>
          <w:lang w:val="en-US"/>
        </w:rPr>
        <w:t>,</w:t>
      </w:r>
    </w:p>
    <w:p w:rsidR="00DF7C10" w:rsidRDefault="00DF7C10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e </w:t>
      </w:r>
      <w:r>
        <w:rPr>
          <w:rFonts w:ascii="Times New Roman" w:hAnsi="Times New Roman"/>
          <w:sz w:val="28"/>
          <w:szCs w:val="28"/>
          <w:lang w:val="en-US"/>
        </w:rPr>
        <w:t>= l</w:t>
      </w:r>
      <w:r>
        <w:rPr>
          <w:rFonts w:ascii="Times New Roman" w:hAnsi="Times New Roman"/>
          <w:sz w:val="28"/>
          <w:szCs w:val="28"/>
          <w:vertAlign w:val="subscript"/>
        </w:rPr>
        <w:t>ег</w:t>
      </w:r>
      <w:r w:rsidRPr="00DF7C10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+ l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x </w:t>
      </w:r>
      <w:r>
        <w:rPr>
          <w:rFonts w:ascii="Times New Roman" w:hAnsi="Times New Roman"/>
          <w:sz w:val="28"/>
          <w:szCs w:val="28"/>
          <w:lang w:val="en-US"/>
        </w:rPr>
        <w:t>/ V</w:t>
      </w:r>
      <w:r>
        <w:rPr>
          <w:rFonts w:ascii="Times New Roman" w:hAnsi="Times New Roman"/>
          <w:sz w:val="28"/>
          <w:szCs w:val="28"/>
          <w:vertAlign w:val="subscript"/>
        </w:rPr>
        <w:t>т</w:t>
      </w:r>
      <w:r w:rsidRPr="00DF7C1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+ t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 w:rsidRPr="00DF7C10">
        <w:rPr>
          <w:rFonts w:ascii="Times New Roman" w:hAnsi="Times New Roman"/>
          <w:sz w:val="28"/>
          <w:szCs w:val="28"/>
          <w:vertAlign w:val="subscript"/>
          <w:lang w:val="en-US"/>
        </w:rPr>
        <w:t>-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 w:rsidRPr="00DF7C1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DF7C10">
        <w:rPr>
          <w:rFonts w:ascii="Times New Roman" w:hAnsi="Times New Roman"/>
          <w:sz w:val="28"/>
          <w:szCs w:val="28"/>
          <w:lang w:val="en-US"/>
        </w:rPr>
        <w:t>,</w:t>
      </w:r>
    </w:p>
    <w:p w:rsidR="00AC39AD" w:rsidRDefault="00AC39AD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 xml:space="preserve">п </w:t>
      </w:r>
      <w:r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 w:rsidRPr="00AC39AD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 xml:space="preserve">нор </w:t>
      </w:r>
      <w:r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>н</w:t>
      </w:r>
      <w:r>
        <w:rPr>
          <w:rFonts w:ascii="Times New Roman" w:hAnsi="Times New Roman"/>
          <w:sz w:val="28"/>
          <w:szCs w:val="28"/>
        </w:rPr>
        <w:t xml:space="preserve"> /60</w:t>
      </w:r>
    </w:p>
    <w:p w:rsidR="00AC39AD" w:rsidRDefault="00AC39AD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 xml:space="preserve">п </w:t>
      </w:r>
      <w:r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 w:rsidRPr="00AC39AD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 xml:space="preserve"> 3,9 </w:t>
      </w:r>
      <w:r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 w:rsidR="008737A3">
        <w:rPr>
          <w:rFonts w:ascii="Times New Roman" w:hAnsi="Times New Roman"/>
          <w:sz w:val="28"/>
          <w:szCs w:val="28"/>
        </w:rPr>
        <w:t>5,5 / 60 = 0,36 ч</w:t>
      </w:r>
    </w:p>
    <w:p w:rsidR="008737A3" w:rsidRDefault="008737A3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8737A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737A3">
        <w:rPr>
          <w:rFonts w:ascii="Times New Roman" w:hAnsi="Times New Roman"/>
          <w:sz w:val="28"/>
          <w:szCs w:val="28"/>
        </w:rPr>
        <w:t xml:space="preserve"> = (100+100)</w:t>
      </w:r>
      <w:r>
        <w:rPr>
          <w:rFonts w:ascii="Times New Roman" w:hAnsi="Times New Roman"/>
          <w:sz w:val="28"/>
          <w:szCs w:val="28"/>
        </w:rPr>
        <w:t>/63</w:t>
      </w:r>
      <w:r w:rsidRPr="008737A3">
        <w:rPr>
          <w:rFonts w:ascii="Times New Roman" w:hAnsi="Times New Roman"/>
          <w:sz w:val="28"/>
          <w:szCs w:val="28"/>
        </w:rPr>
        <w:t xml:space="preserve"> + 0,72 = 3</w:t>
      </w:r>
      <w:r>
        <w:rPr>
          <w:rFonts w:ascii="Times New Roman" w:hAnsi="Times New Roman"/>
          <w:sz w:val="28"/>
          <w:szCs w:val="28"/>
        </w:rPr>
        <w:t xml:space="preserve">,17+,72 = 3,89 ч </w:t>
      </w:r>
    </w:p>
    <w:p w:rsidR="008737A3" w:rsidRDefault="008737A3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= (9- 0,98) / 3,89 = 2</w:t>
      </w:r>
    </w:p>
    <w:p w:rsidR="008737A3" w:rsidRDefault="008737A3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 w:rsidRPr="00EA0D35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5,5 </w:t>
      </w:r>
      <w:r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0,8 = 8,8 т </w:t>
      </w:r>
    </w:p>
    <w:p w:rsidR="008737A3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vertAlign w:val="subscript"/>
        </w:rPr>
        <w:t xml:space="preserve">э </w:t>
      </w:r>
      <w:r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 xml:space="preserve">год </w:t>
      </w:r>
      <w:r>
        <w:rPr>
          <w:rFonts w:ascii="Times New Roman" w:hAnsi="Times New Roman"/>
          <w:sz w:val="28"/>
          <w:szCs w:val="28"/>
        </w:rPr>
        <w:t>/ (</w:t>
      </w:r>
      <w:r>
        <w:rPr>
          <w:rFonts w:ascii="Times New Roman" w:hAnsi="Times New Roman"/>
          <w:sz w:val="28"/>
          <w:szCs w:val="28"/>
          <w:lang w:val="en-US"/>
        </w:rPr>
        <w:t>W</w:t>
      </w:r>
      <w:r w:rsidRPr="00EA0D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.</w:t>
      </w:r>
      <w:r w:rsidRPr="00EA0D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  <w:vertAlign w:val="subscript"/>
        </w:rPr>
        <w:t xml:space="preserve">р </w:t>
      </w:r>
      <w:r>
        <w:rPr>
          <w:rFonts w:ascii="Times New Roman" w:hAnsi="Times New Roman"/>
          <w:sz w:val="28"/>
          <w:szCs w:val="28"/>
        </w:rPr>
        <w:t xml:space="preserve">) = 100 000/ (8,8 </w:t>
      </w:r>
      <w:r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>
        <w:rPr>
          <w:rFonts w:ascii="Times New Roman" w:hAnsi="Times New Roman"/>
          <w:sz w:val="28"/>
          <w:szCs w:val="28"/>
        </w:rPr>
        <w:t>305) = 100 000/2684 = 37 ед</w:t>
      </w:r>
    </w:p>
    <w:p w:rsidR="00EA0D35" w:rsidRDefault="00EA0D35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vertAlign w:val="subscript"/>
        </w:rPr>
        <w:t xml:space="preserve">сп </w:t>
      </w:r>
      <w:r>
        <w:rPr>
          <w:rFonts w:ascii="Times New Roman" w:hAnsi="Times New Roman"/>
          <w:sz w:val="28"/>
          <w:szCs w:val="28"/>
        </w:rPr>
        <w:t>= А</w:t>
      </w:r>
      <w:r>
        <w:rPr>
          <w:rFonts w:ascii="Times New Roman" w:hAnsi="Times New Roman"/>
          <w:sz w:val="28"/>
          <w:szCs w:val="28"/>
          <w:vertAlign w:val="subscript"/>
        </w:rPr>
        <w:t>э</w:t>
      </w:r>
      <w:r w:rsidR="006E6129">
        <w:rPr>
          <w:rFonts w:ascii="Times New Roman" w:hAnsi="Times New Roman"/>
          <w:sz w:val="28"/>
          <w:szCs w:val="28"/>
        </w:rPr>
        <w:t xml:space="preserve"> </w:t>
      </w:r>
      <w:r w:rsidR="006E6129"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α </w:t>
      </w:r>
      <w:r>
        <w:rPr>
          <w:rFonts w:ascii="Times New Roman" w:hAnsi="Times New Roman"/>
          <w:sz w:val="28"/>
          <w:szCs w:val="28"/>
          <w:vertAlign w:val="subscript"/>
        </w:rPr>
        <w:t xml:space="preserve">в </w:t>
      </w:r>
      <w:r w:rsidR="006E6129">
        <w:rPr>
          <w:rFonts w:ascii="Times New Roman" w:hAnsi="Times New Roman"/>
          <w:sz w:val="28"/>
          <w:szCs w:val="28"/>
        </w:rPr>
        <w:t xml:space="preserve"> = 37 </w:t>
      </w:r>
      <w:r w:rsidR="006E6129">
        <w:rPr>
          <w:rFonts w:ascii="Times New Roman" w:hAnsi="Times New Roman"/>
          <w:sz w:val="28"/>
          <w:szCs w:val="28"/>
          <w:vertAlign w:val="superscript"/>
        </w:rPr>
        <w:t xml:space="preserve">. </w:t>
      </w:r>
      <w:r w:rsidR="006E6129">
        <w:rPr>
          <w:rFonts w:ascii="Times New Roman" w:hAnsi="Times New Roman"/>
          <w:sz w:val="28"/>
          <w:szCs w:val="28"/>
        </w:rPr>
        <w:t>0,75 = 28 ед</w:t>
      </w:r>
    </w:p>
    <w:p w:rsidR="006E6129" w:rsidRDefault="006E6129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6E6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6E612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E6129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6E6129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vertAlign w:val="subscript"/>
        </w:rPr>
        <w:t xml:space="preserve">э </w:t>
      </w:r>
      <w:r>
        <w:rPr>
          <w:rFonts w:ascii="Times New Roman" w:hAnsi="Times New Roman"/>
          <w:sz w:val="28"/>
          <w:szCs w:val="28"/>
        </w:rPr>
        <w:t xml:space="preserve"> = 3,89 / 37 = 0,1ч = 6 мин</w:t>
      </w:r>
    </w:p>
    <w:p w:rsidR="006E6129" w:rsidRDefault="006E6129" w:rsidP="008464BA">
      <w:pPr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Далее находим количество погрузочно-разгрузочных машин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</w:p>
    <w:p w:rsidR="006E6129" w:rsidRPr="006E6129" w:rsidRDefault="006E6129" w:rsidP="008464BA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>(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>)</w:t>
      </w:r>
      <w:r w:rsidRPr="006E6129"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6E612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>(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) </w:t>
      </w:r>
      <w:r w:rsidRPr="006E6129">
        <w:rPr>
          <w:rFonts w:ascii="Times New Roman" w:hAnsi="Times New Roman"/>
          <w:sz w:val="28"/>
          <w:szCs w:val="28"/>
          <w:lang w:val="en-US"/>
        </w:rPr>
        <w:t xml:space="preserve">/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6E612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6E6129">
        <w:rPr>
          <w:rFonts w:ascii="Times New Roman" w:hAnsi="Times New Roman"/>
          <w:sz w:val="28"/>
          <w:szCs w:val="28"/>
          <w:lang w:val="en-US"/>
        </w:rPr>
        <w:t xml:space="preserve"> = 0,36/0,1 = 3,6 = 4</w:t>
      </w:r>
    </w:p>
    <w:p w:rsidR="006E6129" w:rsidRPr="006E6129" w:rsidRDefault="006E6129" w:rsidP="008464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об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= 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.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>(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 w:rsidRPr="006E6129">
        <w:rPr>
          <w:rFonts w:ascii="Times New Roman" w:hAnsi="Times New Roman"/>
          <w:sz w:val="28"/>
          <w:szCs w:val="28"/>
          <w:vertAlign w:val="subscript"/>
          <w:lang w:val="en-US"/>
        </w:rPr>
        <w:t>)</w:t>
      </w:r>
      <w:r>
        <w:rPr>
          <w:rFonts w:ascii="Times New Roman" w:hAnsi="Times New Roman"/>
          <w:sz w:val="28"/>
          <w:szCs w:val="28"/>
        </w:rPr>
        <w:t xml:space="preserve"> = 8</w:t>
      </w:r>
    </w:p>
    <w:p w:rsidR="008464BA" w:rsidRPr="006E6129" w:rsidRDefault="008464BA" w:rsidP="003862BE">
      <w:pPr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8464BA" w:rsidRPr="006E6129" w:rsidSect="00973A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2BE"/>
    <w:rsid w:val="001D1290"/>
    <w:rsid w:val="003862BE"/>
    <w:rsid w:val="006E6129"/>
    <w:rsid w:val="008464BA"/>
    <w:rsid w:val="0085635A"/>
    <w:rsid w:val="008737A3"/>
    <w:rsid w:val="00895951"/>
    <w:rsid w:val="00965CD2"/>
    <w:rsid w:val="00973A56"/>
    <w:rsid w:val="009915C5"/>
    <w:rsid w:val="009F2C61"/>
    <w:rsid w:val="00AC39AD"/>
    <w:rsid w:val="00DF7C10"/>
    <w:rsid w:val="00EA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3C561ED-22CA-4C1F-9F20-C6E80414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29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E61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61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612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"/>
    <w:qFormat/>
    <w:rsid w:val="009F2C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F2C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6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4B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8464BA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E61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612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6E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E6129"/>
    <w:rPr>
      <w:b/>
      <w:bCs/>
    </w:rPr>
  </w:style>
  <w:style w:type="paragraph" w:styleId="a8">
    <w:name w:val="No Spacing"/>
    <w:uiPriority w:val="1"/>
    <w:qFormat/>
    <w:rsid w:val="006E6129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E6129"/>
    <w:rPr>
      <w:rFonts w:ascii="Cambria" w:eastAsia="Times New Roman" w:hAnsi="Cambria" w:cs="Times New Roman"/>
      <w:b/>
      <w:b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admin</cp:lastModifiedBy>
  <cp:revision>2</cp:revision>
  <dcterms:created xsi:type="dcterms:W3CDTF">2014-04-15T03:06:00Z</dcterms:created>
  <dcterms:modified xsi:type="dcterms:W3CDTF">2014-04-15T03:06:00Z</dcterms:modified>
</cp:coreProperties>
</file>