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F95B3B">
        <w:rPr>
          <w:b/>
          <w:sz w:val="32"/>
          <w:szCs w:val="24"/>
        </w:rPr>
        <w:t>Ценные бумаги – как объекты гражданских прав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F95B3B">
        <w:rPr>
          <w:sz w:val="28"/>
          <w:szCs w:val="24"/>
        </w:rPr>
        <w:t>Контрольная работа по дисциплине «Гражданское право»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F95B3B">
        <w:rPr>
          <w:sz w:val="28"/>
          <w:szCs w:val="24"/>
        </w:rPr>
        <w:t>Выполнена: 08.01.2010 г. студентом 3 курса ОЗО Войцехович А.А.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F95B3B">
        <w:rPr>
          <w:sz w:val="28"/>
          <w:szCs w:val="24"/>
        </w:rPr>
        <w:t>Владивостокский институт международных отношений стран АТР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F95B3B">
        <w:rPr>
          <w:sz w:val="28"/>
          <w:szCs w:val="24"/>
        </w:rPr>
        <w:t>Владивосток 2010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Введение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Законодательство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регулирующее рынок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далеко от совершенства. Тем не менее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сам рынок есть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он функционирует и развивается; он оказывает влияние на положение дел в государстве и способствует развитию предпринимательства.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Ранее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 наступления рыночных отношений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полностью государственной экономике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оборот ценных бумаг был очень небольшим и был представлен облигациями (целевыми и нецелевыми)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сберегательными книжками на предъявителя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выигрышными лотерейными билетами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аккредитивами государственных трудовых сберегательных касс. Между юридическими лицами использовались расчетные чеки. С развитием рыночных отношений увеличилось количество видов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стал формироваться фондовый рынок.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Относительно серьезно рынок ценных бумаг начал работать в России в 1991 году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 тогда же началось активное законотворчество в этой области. Законодатель наиболее полно регулирует такие вопросы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допуск тех или иных лиц на рынок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порядок и условия лицензирования профессиональных участников. В последнее время появляется все больше нормативных актов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посвященных вопросам защиты прав и интересов инвесторов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также усилению государственного контроля в данной сфере.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Важнейшими задачами рынка ценных бумаг являются обеспечение гибкого межотраслевого перераспределения инвестиционных ресурсов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привлечение инвестиций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 российские предприятия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создание условий для стимулирования накоплений и последующего их инвестирования.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Целью настоящей работы является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исследование таких вопросов как понятие и виды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их классификация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правила обращение на рынке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восстановление прав по утраченным ценным бумагам. 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Глава I. Объекты гражданских прав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1.1.Понятие и виды объектов гражданских правоотношений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Объектом гражданских прав является материальное или нематериальное благо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поводу которого лица вступают в отношения между собой. Поскольку гражданские отношения могут быть как имущественными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и неимущественными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и объекты этих отношений абсолютно различны – это не только реальные и осязаемые предметы материального мира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и такие нематериальные объекты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имя человека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оказанная услуга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информация.</w:t>
      </w:r>
      <w:r w:rsidRPr="005A61B0">
        <w:rPr>
          <w:sz w:val="24"/>
          <w:szCs w:val="24"/>
        </w:rPr>
        <w:footnoteReference w:id="1"/>
      </w:r>
      <w:r w:rsidRPr="005A61B0">
        <w:rPr>
          <w:sz w:val="24"/>
          <w:szCs w:val="24"/>
        </w:rPr>
        <w:t xml:space="preserve"> Установлены следующие виды объектов гражданских прав:</w:t>
      </w:r>
      <w:r w:rsidRPr="005A61B0">
        <w:rPr>
          <w:sz w:val="24"/>
          <w:szCs w:val="24"/>
        </w:rPr>
        <w:footnoteReference w:id="2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вещи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включая деньги и ценные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иное имущество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том числе имущественные права;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работы и услуги;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результаты интеллектуальной деятельности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том числе исключительные права на них (интеллектуальная собственность);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нематериальные блага.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Установленный перечень объектов гражданских правоотношений является исчерпывающим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объектом любого гражданского правоотношения может быть только та или иная разновидность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указанная в данном перечне.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числе объектов гражданских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относящихся к вещам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названы и ценные бумаги.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На современном этапе развития рынка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нормы Гражданского Кодекса играют основополагающую роль и направлены на обеспечение устойчивости и стабильности фондового рынка.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1.2. Ценные бумаги в системе объектов гражданских прав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«Ценной бумагой является документ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удостоверяющий с соблюдением установленной формы и обязательных реквизитов имущественные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осуществление или передача которых возможны только при его предъявлении. С передачей ценной бумаги переходят все удостоверяемые ею права в совокупности»</w:t>
      </w:r>
      <w:r w:rsidRPr="005A61B0">
        <w:rPr>
          <w:sz w:val="24"/>
          <w:szCs w:val="24"/>
        </w:rPr>
        <w:footnoteReference w:id="3"/>
      </w:r>
      <w:r w:rsidRPr="005A61B0">
        <w:rPr>
          <w:sz w:val="24"/>
          <w:szCs w:val="24"/>
        </w:rPr>
        <w:t>. 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ценная бумага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строго формальный документ. Отсутствие обязательных реквизитов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предусмотренных для данного вида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несоответствие ценной бумаги установленной для неё форме влечёт её ничтожность. Например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вексель составлен с нарушением формы (чаще всего неправильно указывается дата оплаты векселя)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такой документ не может рассматриваться как вексель.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Отличительная особенность всех видов ценных бумаг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необходимость их предъявления для осуществления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удостоверенных ценными бумагами. В этом отличие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прав субъектов гражданско-правовой сделки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осуществление которой не требует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общему правилу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предъявления документа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подтверждающего заключение данной сделки.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Ценные бумаги подразделяются на «каузальные» и «абстрактные». Каузальными являются ценные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содержащие ссылку на основную сделку. В тех случаях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когда из ценной бумаги возникает новое обязательство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которое не зависит от лежащей в его основе сделки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имеют место абстрактные ценные бумаги.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удостоверенные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могут принадлежать:</w:t>
      </w:r>
      <w:r w:rsidRPr="005A61B0">
        <w:rPr>
          <w:sz w:val="24"/>
          <w:szCs w:val="24"/>
        </w:rPr>
        <w:footnoteReference w:id="4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предъявителю ценной бумаги (ценная бумага на предъявителя);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названному в ценной бумаге лицу (именная ценная бумага);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названному в ценной бумаге лицу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которое может само осуществить эти права или назначить своим распоряжением (приказом) другое управомоченное лицо (ордерная ценная бумага).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Особенность всех видов ценных бумаг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возможность их широкого обращения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достигается за счёт упрощённого порядка передачи прав по ценной бумаге.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удостоверенные ценной бумагой на предъявителя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передаются путём вручения ценной бумаги новому владельцу. Предъявительские ценные бумаги обладают наибольшей оборотоспособностью. Более сложный порядок передачи именных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можно переуступить только в обычном гражданско-правовом порядке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установленном для уступки требования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путём заключения сделки между новым и предыдущим владельцами ценной бумаги. Права по ордерной ценной бумаге передаются с помощью передаточной надписи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индоссамента. Передаточная надпись на ценной бумаге означает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все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удостоверенные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принадлежащие лицу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учинившему надпись</w:t>
      </w:r>
      <w:r>
        <w:rPr>
          <w:sz w:val="24"/>
          <w:szCs w:val="24"/>
        </w:rPr>
        <w:t xml:space="preserve">, - </w:t>
      </w:r>
      <w:r w:rsidRPr="005A61B0">
        <w:rPr>
          <w:sz w:val="24"/>
          <w:szCs w:val="24"/>
        </w:rPr>
        <w:t>индоссанту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переходят субъекту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которому передаются права по ценной бумаге</w:t>
      </w:r>
      <w:r>
        <w:rPr>
          <w:sz w:val="24"/>
          <w:szCs w:val="24"/>
        </w:rPr>
        <w:t xml:space="preserve">, - </w:t>
      </w:r>
      <w:r w:rsidRPr="005A61B0">
        <w:rPr>
          <w:sz w:val="24"/>
          <w:szCs w:val="24"/>
        </w:rPr>
        <w:t>индоссату.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Все лица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учинившие передаточные надписи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индоссировавшие ценную бумагу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несут перед её законным владельцем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и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выдавшее ценную бумагу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солидарную ответственность. 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законный владелец ценной бумаги может требовать исполнения обязательства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вытекающего из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 лица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выдавшего ценную бумагу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либо от всех обязанных лиц.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Лица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исполнившие обязательство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удостоверенное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получают право обратного требования (регресса) к остальным лицам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обязавшимся по ценной бумаге.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Отказ от исполнения обязательства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удостоверенного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 ссылкой на отсутствие основания обязательства либо на его недействительность не допускается. Владелец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обнаруживший подлог или подделку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вправе предъявить к лицу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передавшему ему бумагу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требование о надлежащем исполнении обязательства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удостоверенного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о возмещении убытков.</w:t>
      </w:r>
      <w:r w:rsidRPr="005A61B0">
        <w:rPr>
          <w:sz w:val="24"/>
          <w:szCs w:val="24"/>
        </w:rPr>
        <w:footnoteReference w:id="5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К ценным бумагам относятся: государственная облигация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облигация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вексель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чек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депозитный и сберегательный сертификаты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банковская сберегательная книжка на предъявителя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коносамент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акция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приватизационные ценные бумаги и другие документы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законами о ценных бумагах или в установленном ими порядке отнесены к числу ценных бумаг.</w:t>
      </w:r>
      <w:r w:rsidRPr="005A61B0">
        <w:rPr>
          <w:sz w:val="24"/>
          <w:szCs w:val="24"/>
        </w:rPr>
        <w:footnoteReference w:id="6"/>
      </w:r>
      <w:r w:rsidRPr="005A61B0">
        <w:rPr>
          <w:sz w:val="24"/>
          <w:szCs w:val="24"/>
        </w:rPr>
        <w:t xml:space="preserve"> К ценным бумагам относятся бездокументарные ценные бумаги.</w:t>
      </w:r>
      <w:r w:rsidRPr="005A61B0">
        <w:rPr>
          <w:sz w:val="24"/>
          <w:szCs w:val="24"/>
        </w:rPr>
        <w:footnoteReference w:id="7"/>
      </w:r>
      <w:r w:rsidRPr="005A61B0">
        <w:rPr>
          <w:sz w:val="24"/>
          <w:szCs w:val="24"/>
        </w:rPr>
        <w:t xml:space="preserve">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закрепляемые именной или ордерной бездокументарной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фиксируются с помощью средств электронно-вычислительной техники.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уяснение понятия ценных бумаг как объектов гражданских прав играет особую роль в определении правового режима ценных бумаг и имеет немаловажное значение при заключении сделок с ними.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Глава II. Понятие и виды ценных бумаг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2.I. Понятие ценной бумаги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Ценной бумагой является документ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удостоверяющий с соблюдением установленной формы и обязательных реквизитов имущественные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осуществление или передача которых возможны только при его предъявлении. С передачей ценной бумаги переходят все удостоверяемые ею права в совокупности. В случаях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предусмотренных законом или в установленном им порядке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для осуществления и передачи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удостоверенных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достаточно доказательств их закрепления в специальном реестре (обычном или компьютеризованном).</w:t>
      </w:r>
      <w:r w:rsidRPr="005A61B0">
        <w:rPr>
          <w:sz w:val="24"/>
          <w:szCs w:val="24"/>
        </w:rPr>
        <w:footnoteReference w:id="8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Ценные бумаги – необходимый атрибут рыночного хозяйства. Как объекты гражданских прав они относятся к вещам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будучи их особой разновидностью. Гражданский Кодекс РФ включает главу о ценных бумагах как объектах гражданских прав. В соответствии с принципами построения ГК седьмая глава содержит общие для всех видов ценных бумаг вопросы. Особенности выпуска и обращения отдельных видов ценных бумаг регулируются специальными актами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положения которых конкретизируют и дополняют нормы ГК.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Классическое определение ценной бумаги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строго формальный документ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удостоверяющий имущественные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осуществление или передача которых возможны только при предъявлении этого документа.</w:t>
      </w:r>
      <w:r w:rsidRPr="005A61B0">
        <w:rPr>
          <w:sz w:val="24"/>
          <w:szCs w:val="24"/>
        </w:rPr>
        <w:footnoteReference w:id="9"/>
      </w:r>
      <w:r w:rsidRPr="005A61B0">
        <w:rPr>
          <w:sz w:val="24"/>
          <w:szCs w:val="24"/>
        </w:rPr>
        <w:t xml:space="preserve"> Отсюда следует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ценная бумага представляет собой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во-первых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документ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удостоверяющий определенное имущественное право (в том числе право требования уплаты определенной денежной суммы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передачи определенного имущества); во-вторых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этот документ имеет строгую форму и обязательные реквизиты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отсутствие хотя одного из которых (либо неправильное его указание) делает бумагу ничтожной; в-третьих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этот документ неразрывно связан с воплощенным в нем правом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ибо реализовать это право или передать его другому лицу можно только путем соответствующего использования этого документа.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С этим полностью следует согласиться. Недопустим отказ от исполнения по ценной бумаге со ссылкой на отсутствие основания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которому она выдана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либо на его недействительность.</w:t>
      </w:r>
      <w:r w:rsidRPr="005A61B0">
        <w:rPr>
          <w:sz w:val="24"/>
          <w:szCs w:val="24"/>
        </w:rPr>
        <w:footnoteReference w:id="10"/>
      </w:r>
      <w:r w:rsidRPr="005A61B0">
        <w:rPr>
          <w:sz w:val="24"/>
          <w:szCs w:val="24"/>
        </w:rPr>
        <w:t xml:space="preserve"> Следовательно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обязанное лицо должно произвести исполнение по ценной бумаге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удостоверившись лишь в наличии в ней необходимых реквизитов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ее владелец может не проверять основания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которым она выдана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вполне доверившись ее формальным признакам. Такое свойство ценной бумаги называется публичной достоверностью.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Виды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могут удостоверяться ценными бумагами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обязательные реквизиты ценных бумаг и требования к их форме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определяются только законом или в установленном им порядке</w:t>
      </w:r>
      <w:r w:rsidRPr="005A61B0">
        <w:rPr>
          <w:sz w:val="24"/>
          <w:szCs w:val="24"/>
        </w:rPr>
        <w:footnoteReference w:id="11"/>
      </w:r>
      <w:r w:rsidRPr="005A61B0">
        <w:rPr>
          <w:sz w:val="24"/>
          <w:szCs w:val="24"/>
        </w:rPr>
        <w:t>; следовательно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 любые виды гражданских прав могут удостоверяться ценными бумагами или облекаться в их форму – для этого требуется указание закона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не воля сторон.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Лишь в отдельных случаях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прямо предусмотренных законом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для осуществления и передачи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удостоверенных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достаточно доказательств их закрепления в специальном реестре</w:t>
      </w:r>
      <w:r w:rsidRPr="005A61B0">
        <w:rPr>
          <w:sz w:val="24"/>
          <w:szCs w:val="24"/>
        </w:rPr>
        <w:footnoteReference w:id="12"/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не предъявления и использования самой ценной бумаги. Речь при этом идет главным образом об именных акциях акционерных обществ (которые зачастую в этих случаях и не выпускались в обычной бумажной форме). Здесь акционеру для доказательства своих прав или их передачи достаточно предъявить и использовать выписку из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реестра акционеров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который хотя и ведется в строго установленном порядке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не представляет собой ценную бумагу (как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выписка из него).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Ценными бумагами в юридическом смысле являются документы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ценны не сами по себе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бумаги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материальные предметы: в силу своих естественных свойств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в силу содержащегося в них права на некоторую ценность.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Любую ценную бумагу как специфический инструмент правового регулирования можно рассматривать в двух аспектах. Во-первых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инструмент оформления каких-либо отношений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обязательственных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позволяет говорить о правах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удостоверенных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о правах “из” ценной бумаги. Во-вторых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ценная бумага является имуществом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объектом вещных прав и может быть объектом различных договоров. 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всегда можно говорить о правах “на” ценную бумагу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понимая под этим термином право собственности или иное вещное право.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настоящее время в связи с развитием безналичных ценных бумаг можно говорить о некоторой модификации этого определения. Однако та связь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которая устанавливает возможность осуществления прав из ценной бумаги в зависимости от обладания правами на ценную бумагу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должна существовать при любой форме выпуска. Это является одной из характеристик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позволяющей отличить этот инструмент от имущественных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возникающих из договоров.</w:t>
      </w:r>
      <w:r w:rsidRPr="005A61B0">
        <w:rPr>
          <w:sz w:val="24"/>
          <w:szCs w:val="24"/>
        </w:rPr>
        <w:footnoteReference w:id="13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условиях рынка его участники вступают между собой в многочисленные отношения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том числе по поводу передачи денег и товаров. Эти отношения определенным образом фиксируются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оформляются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закрепляются. В этом смысле ценная бумага – это такая форма фиксации рыночных отношений между участниками рынка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которая сама является объектом этих отношений. То есть заключение сделки или какого-либо соглашения между его участниками состоит в передаче или купле продаже ценной бумаги в обмен на деньги или на товар. Но ценная бумага – это не деньги и не материальный товар. Ее ценность состоит в тех правах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она дает своему владельцу. Последний обменивает свои товар или свои деньги на ценную бумагу только в том случае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он уверен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эта бумага ничуть не хуже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даже лучше (удобнее)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чем сами деньги или товар.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Понятие ценной бумаги многогранно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поскольку сами отношения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выражаются ею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очень сложны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плюс они постоянно видоизменяются и развиваются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находит свое выражение во все новых формах существования ценных бумаг. Можно даже сказать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ценная бумага – это особый товар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который обращается на особом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своем собственном рынке – рынке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не имеет ни вещественной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ни денежной потребительской стоимости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есть не является ни физическим товаром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ни услугой. В расширенном понимании ценная бумага – это любой документ (бумага) который продается и покупается по соответствующей цене.</w:t>
      </w:r>
      <w:r w:rsidRPr="005A61B0">
        <w:rPr>
          <w:sz w:val="24"/>
          <w:szCs w:val="24"/>
        </w:rPr>
        <w:footnoteReference w:id="14"/>
      </w:r>
      <w:r w:rsidRPr="005A61B0">
        <w:rPr>
          <w:sz w:val="24"/>
          <w:szCs w:val="24"/>
        </w:rPr>
        <w:t xml:space="preserve"> Теоретическое понятие ценной бумаги более узкое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как оно включает в себя только такие ценные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отражают конкретные имущественные отношения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не любые отношения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например отношения религиозной веры или веры во что-либо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другое. Практический подход к определению ценной бумаги может состоять в следующем. Если невозможно дать строго научное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затем и юридическое определение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невозможно сформулировать понятие ценной бумаги на все случаи жизни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эту трудность можно обойти путем перечисления признанных государством конкретных видов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имеются на практике. Например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Гражданском кодеке РФ или в иных законах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относящихся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к рынку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определенные виды бумаг фиксируются именно как ценные бумаги. С другой стороны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все что объявлено как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подпадает под законодательные акты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регулирующие ее жизнь от момента выпуска до окончания срока обращения.</w:t>
      </w:r>
      <w:r w:rsidRPr="005A61B0">
        <w:rPr>
          <w:sz w:val="24"/>
          <w:szCs w:val="24"/>
        </w:rPr>
        <w:footnoteReference w:id="15"/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2.2. Классификация ценных бумаг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Ценная бумага является объектом гражданских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разновидностью вещей.</w:t>
      </w:r>
      <w:r w:rsidRPr="005A61B0">
        <w:rPr>
          <w:sz w:val="24"/>
          <w:szCs w:val="24"/>
        </w:rPr>
        <w:footnoteReference w:id="16"/>
      </w:r>
      <w:r w:rsidRPr="005A61B0">
        <w:rPr>
          <w:sz w:val="24"/>
          <w:szCs w:val="24"/>
        </w:rPr>
        <w:t xml:space="preserve"> Кодекс закрепляет классификацию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имеющую юридическое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не экономическое значение. Речь идет о категориях предъявительских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именных и ордерных ценных бумаг. При этом далеко не каждый вид ценной бумаги может существовать в качестве предъявительских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либо в качестве именных или ордерных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поскольку закон может ограничивать такую возможность.</w:t>
      </w:r>
      <w:r w:rsidRPr="005A61B0">
        <w:rPr>
          <w:sz w:val="24"/>
          <w:szCs w:val="24"/>
        </w:rPr>
        <w:footnoteReference w:id="17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ценной бумаге на предъявителя удостоверенные ею имущественные права принадлежат тому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кто фактически сможет предъявить ее обязанному лицу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последний вправе и обязан произвести исполнение такому владельцу. Соответственно этому и для передачи другому лицу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удостоверенных такой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достаточно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передачи самой бумаги путем ее вручения.</w:t>
      </w:r>
      <w:r w:rsidRPr="005A61B0">
        <w:rPr>
          <w:sz w:val="24"/>
          <w:szCs w:val="24"/>
        </w:rPr>
        <w:footnoteReference w:id="18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именной ценной бумаге удостоверенные ею имущественные права принадлежат только прямо обозначенному там лицу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которому только и может быть произведено надлежащее исполнение по такой бумаге. Поэтому при необходимости передачи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удостоверенного именной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иному лицу ее владелец должен соответствующим образом оформить уступку своего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соблюсти необходимые требования к форме такой уступки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footnoteReference w:id="19"/>
      </w:r>
      <w:r w:rsidRPr="005A61B0">
        <w:rPr>
          <w:sz w:val="24"/>
          <w:szCs w:val="24"/>
        </w:rPr>
        <w:t xml:space="preserve"> и уведомить о состоявшейся уступке должника – обязанное по ценной бумаге лицо.</w:t>
      </w:r>
      <w:r w:rsidRPr="005A61B0">
        <w:rPr>
          <w:sz w:val="24"/>
          <w:szCs w:val="24"/>
        </w:rPr>
        <w:footnoteReference w:id="20"/>
      </w:r>
      <w:r w:rsidRPr="005A61B0">
        <w:rPr>
          <w:sz w:val="24"/>
          <w:szCs w:val="24"/>
        </w:rPr>
        <w:t xml:space="preserve"> В такой ситуации прежний владелец именной ценной бумаги отвечает перед новым владельцем только за недействительность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требования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удостоверенного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не несет ответственности за фактическое неисполнение этого требования обязанным лицом.</w:t>
      </w:r>
      <w:r w:rsidRPr="005A61B0">
        <w:rPr>
          <w:sz w:val="24"/>
          <w:szCs w:val="24"/>
        </w:rPr>
        <w:footnoteReference w:id="21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ордерной ценной бумаге назван субъект удостоверенного ею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сближает ее с именной ценной бумагой. Однако это лицо не только само вправе осуществить это право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и назначить своим распоряжением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приказом «ордером»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другое управомоченное лицо. Иначе говоря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такая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сути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заранее рассчитана на возможность ее передачи (отчуждения) иному владельцу. При этом и новый владелец не лишается возможности в свою очередь передать такую ценную бумагу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другому приобретателю. Однако любой из владельцев ордерной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осуществивший ее передачу с помощью необходимой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для этого передаточной надписи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становится ответственным перед управомоченным по бумаге лицом не только за существование (то есть действительность)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и за его осуществление.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Возможные виды передаточных надписей по ордерным ценным бумагам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индоссаментов.</w:t>
      </w:r>
      <w:r w:rsidRPr="005A61B0">
        <w:rPr>
          <w:sz w:val="24"/>
          <w:szCs w:val="24"/>
        </w:rPr>
        <w:footnoteReference w:id="22"/>
      </w:r>
      <w:r w:rsidRPr="005A61B0">
        <w:rPr>
          <w:sz w:val="24"/>
          <w:szCs w:val="24"/>
        </w:rPr>
        <w:t xml:space="preserve"> Такие надписи могут переносить удостоверенные бумагой права на конкретное лицо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индоссата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быть бланковыми (“чистыми”)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без указания лица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которому должно быть произведено исполнение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сближает такой документ с предъявительской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либо ордерными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есть указывать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которому или приказу которого должно быть произведено исполнение. Особый характер имеет препоручительный индоссамент</w:t>
      </w:r>
      <w:r w:rsidRPr="005A61B0">
        <w:rPr>
          <w:sz w:val="24"/>
          <w:szCs w:val="24"/>
        </w:rPr>
        <w:footnoteReference w:id="23"/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который не переносит на индоссата никаких имущественных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содержит лишь поручение ему осуществить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удостоверенные такой ценной бумагой. В этом случае индоссат становится представителем индоссанта и на их отношения распространяются общие нормы ГК РФ о представительстве.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Ценная бумага обладает определенным набором характеристик (признаков).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Временные характеристики: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срок существования ценной бумаги: когда выпущена в обращение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 какой период времени или бессрочно;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происхождение: ведет ли начало ценная бумага от своей первичной основы (товар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деньги) или от других ценных бумаг.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Пространственные характеристики: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форма существования: бумажная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выражаясь юридически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документарная форма или безбумажная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бездокументарная форма;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национальная принадлежность: ценная бумага отечественная или другого государства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иностранная;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территориальная принадлежность: в каком регионе страны выпущена данная ценная бумага.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Рыночные характеристики: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тип актива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лежащего в основе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ее исходная основа (товары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деньги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совокупные активы фирмы и др.)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порядок владения: ценная бумага на предъявителя или на конкретное лицо (юридическое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физическое);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форма выпуска: эмиссионная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 выпускаемая отдельными сериями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внутри которых все ценные бумаги совершенно одинаковы по своим характеристикам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неэмиссионная (индивидуальная);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форма собственности и вид эмитента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того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кто выпускает на рынок ценную бумагу: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государство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корпорации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частные лица;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характер обращаемости: свободно обращается на рынке или есть ограничения;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юридическая сущность с точки зрения видов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предоставляет ценная бумага;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уровень риска: высокий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низкий и т.п.;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наличие дохода: выплачивается по ценной бумаге какой-либо доход или нет;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форма вложения средств: инвестируются деньги в долг или для приобретения прав собственности.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ценные бумаги можно классифицировать по различным основаниям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имеющим практическое значение. 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Необходимо добавить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мнение некоторых теоретиков права об отнесении к ценным бумагам опционов и фьючерсов представляется достаточно спорным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поскольку ценными бумагами являются лишь те документы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законами о ценных бумагах или в установленном ими порядке отнесены к числу ценных бумаг. Но рассмотреть такие документы в данной работе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мнению автора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небезынтересно.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Опционное свидетельство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именная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которая закрепляет право ее владельца в сроки и на условиях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указанных в сертификате опционного свидетельства и решении о выпуске опционных свидетельств (для документарной формы выпуска) или решении о выпуске опционных свидетельств (для бездокументарной формы выпуска) на покупку (опционное свидетельство на покупку) или продажу (опционное свидетельство на продажу) ценных бумаг (базисного актива) эмитента опционных свидетельств или третьих лиц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отчет об итогах выпуска которых зарегистрирован до даты выпуска опционных свидетельств;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Опцион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представляет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собой двусторонний договор (контракт) о передаче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права (для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получателя) 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обязательства (для продавца )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купить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продать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определенный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актив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(ценные бумаги. валюту и т.п.) по определенной (фиксированной) цене в заранее согласованную дату или в течении согласованного периода времени.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Существуют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три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типа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опционов: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1) опцион на покупку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опцион колл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означает право покупателя (но не обязанность) купить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акции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валюту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другой актив для защиты от (в расчете на) потенциального повышения ее курса;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2) опцион на продажу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опцион пут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говорит о праве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покупателя (но не обязанность) продать акции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валюту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другой актив для защиты от (в расчете на) их потенциального обесценивания 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3) опцион двойной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опцион стеллаж означает право покупателя либо купить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либо продать акции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валюту (но не купить и продать одновременно) на базисной цене.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На опционе указывается срок. Срок опциона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дата или период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времени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истечении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которого (которой) опцион не может быть использован.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Существуют два стиля опциона: европейский и американский. Европейский означает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опцион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может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использован только в фиксированную дату. Американский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стиль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характеризуется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опцион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может быть использован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любой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момент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пределах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срока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опциона.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Опцион имеет свой курс.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Опционный курс – это цена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которой можно купить или продать актив опциона.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Особенность опциона заключается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в сделке купли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продажи опциона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покупатель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приобретает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титул собственности а право на его приобретение.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Сделка купли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продажи опциона называется контрактом.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Единичный контракт заключается на полный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лот.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Лот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партия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одинаковых ценных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бумаг (или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активов)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предлагаемая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к продаже. Партия лотов образуют более крупную партию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стринг.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Фьючерс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контракт на куплю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продажу какого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либо товара (ценных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валюты) в будущем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это срочный биржевой контракт.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Заключение фьючерсного контракта не является непосредственным актом купли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продажи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продавец не отдает покупателю свой товар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покупатель не отдает продавцу свои деньги.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Продавец принимает на себя обязательство поставить товар по зафиксированной в контракте цене к определенной дате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покупатель принимает обязательство выплатить соответствующую сумму денег.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Для гарантии выполнения обязательств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вносится залог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сохраняемый посредником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организацией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проводящей фьючерсные торги.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Фьючерс становится ценной бумагой и может в течении всего срока действия перекупаться много раз.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Держатель контракта может как угадать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и не угадать колеблемую стоимость товара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проиграть или получить прибыль.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главная особенность фьючерса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он может перепродаваться и переходить из рук в руки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вплоть до указанной в нем даты исполнения.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Фьючерсы бывают на покупку и на продажу. В нашей стране фьючерсные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торги касаются пока валюты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нефти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нефтепродуктов.</w:t>
      </w:r>
      <w:r w:rsidRPr="005A61B0">
        <w:rPr>
          <w:sz w:val="24"/>
          <w:szCs w:val="24"/>
        </w:rPr>
        <w:footnoteReference w:id="24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Анализируя вышесказанное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нужно подчеркнуть что рынок ценных бумаг не является чем-то постоянным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он все время находится в движении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развитии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заимствуя и порождая новые формы и виды ценных бумаг.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2.3. Отдельные виды ценных бумаг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К ценным бумагам относятся: государственная облигация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облигация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вексель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чек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депозитный и сберегательный сертификаты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банковская сберегательная книжка на предъявителя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коносамент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акция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приватизационные бумаги и другие документы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законами или в установленном ими порядке отнесены к числу ценных бумаг.</w:t>
      </w:r>
      <w:r w:rsidRPr="005A61B0">
        <w:rPr>
          <w:sz w:val="24"/>
          <w:szCs w:val="24"/>
        </w:rPr>
        <w:footnoteReference w:id="25"/>
      </w:r>
      <w:r w:rsidRPr="005A61B0">
        <w:rPr>
          <w:sz w:val="24"/>
          <w:szCs w:val="24"/>
        </w:rPr>
        <w:t xml:space="preserve"> Права владельцев ценных бумаг при совершении операций с ними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также порядок подтверждения этих прав весьма различны.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Акции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Под акцией обычно понимают ценную бумагу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которую выпускает акционерное общество при его создании (учреждении)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 преобразовании предприятия или организации в акционерное общество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 слиянии (поглощении) двух или нескольких акционерных обществ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также для мобилизации денежных средств при увеличении существующего уставного капитала. Поэтому акцию можно считать свидетельством о внесении определенной доли в уставный капитал акционерного общества.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 xml:space="preserve">Закон РФ «О рынке ценных бумаг» </w:t>
      </w:r>
      <w:r w:rsidRPr="005A61B0">
        <w:rPr>
          <w:sz w:val="24"/>
          <w:szCs w:val="24"/>
        </w:rPr>
        <w:footnoteReference w:id="26"/>
      </w:r>
      <w:r w:rsidRPr="005A61B0">
        <w:rPr>
          <w:sz w:val="24"/>
          <w:szCs w:val="24"/>
        </w:rPr>
        <w:t>содержит следующее определение: «Акция – эмиссионная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закрепляющая права ее держателя (акционера) на получение части прибыли акционерного общества в виде дивидендов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 участие в управлении и на часть имущества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остающегося после его ликвидации».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Акции обладают следующими свойствами: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Акция – это титул собственности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держатель акции является совладельцем акционерного общества с вытекающими из этого правами;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Акция не имеет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срока существования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права держателя акции сохраняются до тех пор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пока существует акционерное общество;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Для акции характерна ограниченная ответственность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как акционер не отвечает по обязательствам акционерного общества. Поэтому при банкротстве инвестор не потеряет больше того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вложил в акцию;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Для акции характерна неделимость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совместное владение акцией не связано с делением прав между собственниками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все они вместе выступают как одно лицо;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Акция может быть выпущена как в документарной (бумажной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материальной) форме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и в бездокументарной форме – в виде соответствующих записей на счетах. При документарной форме выпуска акций возможна замена акции сертификатом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который предоставляет собой свидетельство 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владении названным в нем лицом определенного количества акций.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зависимости от порядка владения (способа легитимации) акции могут быть именными и на предъявителя. Согласно федеральному закону «Об акционерных обществах»</w:t>
      </w:r>
      <w:r w:rsidRPr="005A61B0">
        <w:rPr>
          <w:sz w:val="24"/>
          <w:szCs w:val="24"/>
        </w:rPr>
        <w:footnoteReference w:id="27"/>
      </w:r>
      <w:r w:rsidRPr="005A61B0">
        <w:rPr>
          <w:sz w:val="24"/>
          <w:szCs w:val="24"/>
        </w:rPr>
        <w:t xml:space="preserve"> «…все акции общества являются именными». Это предполагает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владелец акции должен быть внесен в реестр акционерного общества. Закон РФ «О рынке ценных бумаг» разрешает выпуск акций на предъявителя в определенном отношении к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величине уставного капитала эмитента в соответствие с нормативом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установленным федеральной комиссией по рынку ценных бумаг. В связи с тем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акционерные общества могут быть открытыми и закрытыми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следует различать выпускаемые ими акции.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Акции акционерного общества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можно разделить на размещенные и объявленные.Размещенными считаются акции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уже приобретенные акционерами. Объявленными являются акции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акционерное общество может выпустить дополнительно к размещенным акциям. В зависимости от объема прав акции принято делить на обыкновенные и привилегированные. Владелец обыкновенной акции имеет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предоставляемые акциями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полном объеме (участвовать в общем собрании акционеров с правом голоса по всем вопросам его компетенции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иметь право на получение дивидендов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в случае ликвидации – право на получение части имущества общества в размере стоимости принадлежащих ему акций. Привилегированная акция не дает права голоса на общем собрании акционеров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привилегии владельца такой акции заключаются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в уставе должен быть определен размер дивиденда и (или) стоимость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выплачиваемая при ликвидации общества (ликвидационная стоимость)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определяются в твердой денежной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сумме или в процентах к номинальной стоимости привилегированных акций. Однако не следует понимать буквально лишение права голоса владельца привилегированной акции. Закон РФ «Об акционерных обществах»</w:t>
      </w:r>
      <w:r w:rsidRPr="005A61B0">
        <w:rPr>
          <w:sz w:val="24"/>
          <w:szCs w:val="24"/>
        </w:rPr>
        <w:footnoteReference w:id="28"/>
      </w:r>
      <w:r w:rsidRPr="005A61B0">
        <w:rPr>
          <w:sz w:val="24"/>
          <w:szCs w:val="24"/>
        </w:rPr>
        <w:t xml:space="preserve"> определяет случаи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когда владелец привилегированной акции получает право участвовать в общем собрании акционеров с правом голоса при решении вопросов о реорганизации и ликвидации общества и о внесении изменений и дополнений в устав общества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ограничивающих или изменяющих права акционеров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владельцев привилегированных акций. Право голоса владелец привилегированных акций получает и в том случае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на годовом собрании акционеров принимается решение о невыплате или неполной выплате установленных дивидендов.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акция по российскому законодательству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это эмиссионная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закрепляющая права ее владельца (акционера) на получение части прибыли акционерного общества в виде дивидендов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 участие в управлении акционерным обществом и на часть имущества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остающегося после его ликвидации.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Облигации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Облигация – это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удостоверяющая отношения займа между ее владельцем (кредитором) и лицом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выпустившим ее (заемщиком).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Действующее российское законодательство определяет облигацию как «эмиссионную ценную бумагу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закрепляющую право ее держателя на получение от эмитента облигации в предусмотренный ею срок ее номинальной стоимости и зафиксированного в ней процента от этой стоимости или иного имущественного эквивалента». 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облигация – это долговое свидетельство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которое непременно включает два главных элемента: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обязательство эмитента вернуть держателю облигации по истечении оговоренного срока сумму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указанную на титуле (лицевой стороне) облигации;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обязательство эмитента выплачивать держателю облигации фиксированный доход в виде процента от номинальной стоимости или иного имущественного эквивалента.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Принципиальная разница между акциями и облигациями заключатся в следующем. Покупая акцию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инвестор становится одним из собственников компании-эмитента. Купив облигацию компании-эмитента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инвестор становится ее кредитором. Кроме того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отличие от акций облигации имеют ограниченный срок обращения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истечении которого гасятся. Облигации имеют преимущество перед акциями при реализации имущественных прав их владельцев; в первую очередь выплачиваются проценты по облигациям и лишь затем дивиденды; при делении имущества компании-эмитента в случае ее ликвидации акционеры могут рассчитывать лишь на ту часть имущества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которая останется после выплаты всех долгов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том числе и по облигационным займам. Если акции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являясь титулом собственности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предоставляют их владельцам право на участие в управлении компанией-эмитентом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будучи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инструментом займа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такого права не дают. Облигации выступают главным инструментом мобилизации средств правительствами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различными государственными органами и муниципалитетами. К организации и размещению облигационных займов прибегают и компании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когда у них возникает потребность в дополнительных финансовых средствах.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Порядок выпуска облигаций акционерными обществами регламентируется Федеральным законом «Об акционерных обществах». В соответствии с названным законом при выпуске облигаций акционерными обществами должны быть соблюдены следующие дополнительные условия: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номинальная стоимость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всех выпущенных обществом облигаций не должна превышать размер уставного капитала общества либо величину обеспечения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предоставленного обществу третьими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лицами для целей выпуска;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выпуск облигаций допускается после полной оплаты уставного капитала;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выпуск облигаций без обеспечения допускается на третьем году существования общества и при условии надлежащего утверждения к этому времени двух годовых балансов общества;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общество не вправе размещать 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конвертируемые в акции общества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количество объявленных акций общества меньше количества акций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право на приобретение которых предоставляют облигации.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Для описания их различных видов облигации классифицируются по ряду признаков: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зависимости от эмитента различают облигации: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Государственные;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Муниципальные;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Корпораций;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Иностранные.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зависимости от сроков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 которые выпускается займ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все многообразие облигаций условно можно разделить на две большие группы: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Облигации с некоторой оговоренной датой погашения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свою очередь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делятся на: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Краткосрочные;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Среднесрочные;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Долгосрочные.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Облигации без фиксированного срока погашения включают в себя: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Бессрочные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непогашаемые;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Отзывные 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могут быть востребованы (отозваны) эмитентом до наступления срока погашения. Если при выпуске облигаций эмитент устанавливает условия такого востребования: по номиналу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с премией.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с правом погашения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предоставляют право инвестору на возврат облигации эмитенту до наступления срока погашения и получения за нее номинальной стоимости;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Продлеваемые облигации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предоставляющие инвестору право продлить срок погашения и продолжать получать проценты в течении этого срока;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Отсроченные облигации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дающие эмитенту право на отсрочку погашения.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зависимости от порядка владения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могут быть: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Именные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права владения которыми подтверждаются внесением имени владельца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 текст облигации и в книгу регистрации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которую ведет эмитент;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 предъявителя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права владения которыми подтверждаются простым предъявлением облигации;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По целям облигационного займа облигации подразделяются на: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Обычные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выпускаемые для рефинансирования имеющейся у эмитента задолженности или для привлечения дополнительных финансовых ресурсов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будут использованы на различные многочисленные предприятия;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Целевые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средства от продажи которых направляются на финансирование конкретных инвестиционных проектов или конкретных мероприятий (например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строительство моста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проведение телефонной сети и т.п.)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По способу размещения различают: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Свободно размещаемые облигационные займы;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Займы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предполагающие принудительных порядок размещения. Принудительно размещаемыми чаще всего являются государственные облигации (например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Государственные облигационные займы СССР 40-50-х годов).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зависимости от формы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которой возмещается позаимствованная сумма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облигации делятся на: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 возмещением в денежной форме;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Натуральные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погашаемые в натуре. Примером натуральных облигаций являются облигации хлебных займов СССР 20-х годов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облигации АвтоВаза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выпущенные в </w:t>
      </w:r>
      <w:smartTag w:uri="urn:schemas-microsoft-com:office:smarttags" w:element="metricconverter">
        <w:smartTagPr>
          <w:attr w:name="ProductID" w:val="1993 г"/>
        </w:smartTagPr>
        <w:r w:rsidRPr="005A61B0">
          <w:rPr>
            <w:sz w:val="24"/>
            <w:szCs w:val="24"/>
          </w:rPr>
          <w:t>1993 г</w:t>
        </w:r>
      </w:smartTag>
      <w:r w:rsidRPr="005A61B0">
        <w:rPr>
          <w:sz w:val="24"/>
          <w:szCs w:val="24"/>
        </w:rPr>
        <w:t>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По методу погашения номинала могут быть: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погашение номинала которых производится разовым платежом;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с распределенным по времени погашением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когда за определенный отрезок времени погашается некоторая доля номинала.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с последовательным погашением фиксированной доли общего количества облигаций (лотерейные или тиражные займы).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зависимости от того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какие выплаты производятся эмитентом по облигационному займу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различают: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которым производится только выплата процентов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капитал не возвращается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точнее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эмитент указывает на возможность их выкупа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не связывая себя конкретным сроком. 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которым лишь возвращается капитал по номинальной стоимости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не выплачиваются проценты. Это так называемые облигации с нулевым купоном;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которым проценты не выплачиваются до момента погашения 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а при погашении инвестор получает номинальную стоимость облигации и совокупный процентный доход. 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которым возвращается капитал по номинальной стоимости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выплата процентов не гарантируется и находится в прямой зависимости от результатов деятельности компании – эмитента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от того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получает компания прибыль или нет. Такие облигации называют доходными или реорганизационными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выпускаются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компаниями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которым грозит банкротство.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дающие право их владельцам на получение периодически выплачиваемого фиксированного дохода и номинальной стоимости облигации – в будущем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 ее погашении. Этот вид облигаций наиболее распространен в современной практике во всех странах. Периодическая выплата доходов по облигациям в виде процентов производится по купонам. Купон представляет собой вырезной талон с указанием на нем цифровой купонной (процентной) ставки.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По способам выплаты купонного дохода облигации подразделяются на: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с фиксированной купонной ставкой;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с плавающей купонной ставкой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когда купонная ставка зависит от уровня ссудного процента;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с равномерно возрастающей купонной ставкой по годам займа. Такие облигации еще называются индексируемыми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обычно эмитируются в условиях инфляции;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с минимальным или нулевым купоном (мелкопроцентные или беспроцентные облигации). Рыночная цена по таким облигациям устанавливается ниже номинальной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предполагает скидку. Доход по этим облигациям выплачивается в момент ее погашения по номинальной стоимости и представляет разницу между номинальной и рыночной стоимостью;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с оплатой по выбору. Владелец этой облигации может доход получить как в виде купонного дохода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и облигациями нового выпуска;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 смешанного типа. Часть срока облигационного займа владелец облигации получает доход по фиксированной купонной ставке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часть срока – по плавающей ставке.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По характеру обращения облигации бывают: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Неконвертируемые;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Конвертируемые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предоставляющие их владельцу право обменивать их на акции того же эмитента (как на обыкновенные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и на привилегированные).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зависимости от обеспечения облигации делятся на два класса: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Обеспеченные залогом;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Необеспеченные залогом.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зависимости от степени защищенности вложений инвесторов различают: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достойные инвестиций</w:t>
      </w:r>
      <w:r>
        <w:rPr>
          <w:sz w:val="24"/>
          <w:szCs w:val="24"/>
        </w:rPr>
        <w:t xml:space="preserve">, - </w:t>
      </w:r>
      <w:r w:rsidRPr="005A61B0">
        <w:rPr>
          <w:sz w:val="24"/>
          <w:szCs w:val="24"/>
        </w:rPr>
        <w:t>надежные 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выпускаемые компаниями с твердой репутацией; хорошее обеспечение;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Макулатурные облигации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носящие спекулятивный характер. Вложения в такие облигации всегда сопряжены с высоким риском.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Резюмируя сказанное выше об облигациях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можно рассматривать облигацию как: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долговое обязательство эмитента;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источник финансирования расходов бюджетов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превышающих доходы;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источник финансирования инвестиций акционерных обществ;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форму сбережений средств граждан и организаций и получения ими дохода.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Вексель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Вексель является одним из древнейших расчетных инструментов. История его возникновения уходит в далекое прошлое. Известно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элементы вексельного обращения появились еще в эпоху средневекового феодализма (XII-XVI в.в.).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Главная особенность векселя как ценной бумаги заключается в его определении: вексель – это безусловное обязательство уплатить какому-то лицу определенную сумму денег в определенном месте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определенный срок. Вексель – это абстрактное долговое обязательство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оно не зависит ни от каких условий. В этом заключается основное свойство либо вексельная сила – право безусловного требования платежа ко всем обязанным по векселю лицам. В тексте векселя не допускаются никакие ссылки на основание его выдачи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противном случае все условия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 относящиеся к обязательным реквизитам векселя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будут считаться ненаписанными. Поэтому добросовестному держателю векселя не могут быть противопоставлены возражения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вытекающие из договора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который лежит в основе выдачи или переуступке векселя. Вексель – это денежный документ со строго определенным набором реквизитов. При соблюдении всех формальных признаков оформления векселя с точки зрения вексельного права даже «бронзовые» векселя являются действительными.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«Бронзовый вексель»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это вексель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 имеющий реального обеспечения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выписанный на вымышленное лицо.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Совокупность надлежащим образом оформленных реквизитов векселя составляет форму векселя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отсутствие либо неверное оформление хотя бы одного из них может привести к дефекту формы векселя. Дефект формы векселя – это термин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определяющий несоответствие представленного как вексель документа формальным требованием вексельного права. Дефект формы векселя ведет к потере документом вексельной силы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безусловности изложенного в документе текста (абстрактность вексельного долга)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солидарной ответственности всех обязанных по векселю лиц. Солидарная ответственность – это полная ответственность каждого обязанного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по векселю лица перед законным векселедержателем. Векселедержатель в случае неплатежа и надлежащим образом опротестованного векселя в неплатеже имеет право предъявить иск ко всем или некоторым обязанным по векселю лицам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 соблюдая очередности индоссантов. Такое право векселедержателя называется правом регресса.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Предметом вексельного обязательства могут быть только деньги. Векселя делятся на два вида: простые и переводные. В свою очередь простые и переводные векселя делятся на процентные и дисконтные. Процентные векселя – это векселя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 вексельную суму которых начисляются проценты. Вексельная сумма – это денежная сумма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указанная векселем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подлежащая платежу. Дисконтные векселя – это векселя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выписываются или продаются с дисконтом. Дисконт – это скидка или разница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 которую уменьшается сумма при передаче либо продаже векселя. Банковский вексель – это вексель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которому банк является основным должником. Банковский вексель может быть валютным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вексельная сумма указана в иностранной валюте.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Переводной вексель (тратта) – это документ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регулирующий вексельные отношения трех сторон: кредитора (трассанта)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должника (трассата) и получателя платежа (ремитента). Суть этих отношений заключается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трассант выписывается (трассирует) вексель на трассата с предложением уплатить определенную сумму денег ремитенту в определенном месте в определенный срок.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Переводной вексель содержит следующие реквизиты: вексельные метки; вексельная сумма; наименование и адрес плательщика; срок платежа; наименование платежа; место платежа; указание места и даты составления; подпись векселедателя.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Вексельные метки. В тексте документа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являющегося векселем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обязательно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должно быть указано что данный документ есть вексель и все обязательства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вытекающие из документа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имеют вексельный характер. Например: «уплатить по данному векселю…»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«… местом платежа по векселю является…»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Вексельная сумма. Она обычно указывается и цифрами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прописью. В случае расхождения в сумме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написанной цифрами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сумме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написанной прописью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в векселе имеется несколько сумм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вексель считается выписанным на меньшую. Не допускается разбивка суммы векселя по срокам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поэтапная оплата векселя. Вексель – это абстрактное обязательство оплатить определенную сумму денег. Вексельная сумма никак не связана с основной сделкой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невыполнение или частичное невыполнение условий основной сделки не может быть основанием для полной или частичной неуплаты по векселю. Всякое условие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 имеющее отношения к вексельному обращению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считается ненаписанным.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Наименование и адрес плательщика. Обязательно должны быть указаны юридический адрес плательщика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его полное наименование и форма собственности в случае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плательщиком является юридическое лицо. Если плательщиком выступает физическое лицом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указываются фамилия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отчество и место жительств этого лица.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Срок платежа.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Наименования получателя платежа. В векселе обязательно должно содержаться полное наименование получателя платежа-ремитента. Обычно запись в векселе имеет следующий вид: «Платите … (наименование ремитента) или его приказу».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Место платежа. В силу того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по переводному векселю не должник приходит с платежом к кредитору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сам кредитор к должнику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данный реквизит является одним из самых важных в векселе.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Указание места и даты составления векселя. Местонахождение векселедателя и место составления векселя могут не совпадать. Переводной вексель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котором не указано место его составления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считается выписанным в месте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обозначенном рядом с наименованием векселедателя. Если в векселе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отсутствует и местонахождение трассанта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он считается недействительным.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Дата составления векселя. Должна быть обязательна указана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поскольку она имеет большое значение для исчисления срока платежа по векселю и периода вексельного обязательства. Векселя с заведомо нереальными датами считаются недействительными.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Подпись векселедателя. Подпись трассанта обычно находится после его полного наименования и местонахождения в правом нижнем углу векселя и производится только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рукописным путем. Без подписи вексель считается недействительным.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Акцепт тратты – согласие оплатить вексель в пользу векселедержателя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предъявившего вексель к оплате.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совершившее акцепт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называется акцептантом. Акцепт отмечается в левой части на левой стороне векселя и выражается словами: «Акцептован»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«Заплачу» или другими словами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равнозначными по смыслу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 обязательным проставлением подписи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печати плательщика и даты акцепта. Векселедержатель имеет право предъявлять вексель для акцепта плательщику по месту жительства последнего в любое время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начиная с даты выдачи векселя и кончая датой платежа.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Вексель является особенной ценной бумагой. Эта особенность состоит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вексель может быть использован как средство платежа. К обязательным реквизитам простого векселя относятся: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наименование «вексель»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включенное в текст документа и написанное на языке документа;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простое и ничем не обусловленное обязательство оплатить определенную сумму денег;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указание срока платежа;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указание места платежа;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наименование получателя платежа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которому или по приказу которого он должен быть совершен.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Индоссамент – это передаточная надпись на оборотной стороне векселя. Индоссамент фиксирует переход права требования от одного лица к другому. Обычно индоссамент имеет форму: «Платите приказу…» или «Уплатите пользу…». Обязательно указывается полное наименование лица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пользу которого передается вексель. Такое лицо называется индоссатом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лицо – передающее вексель</w:t>
      </w:r>
      <w:r>
        <w:rPr>
          <w:sz w:val="24"/>
          <w:szCs w:val="24"/>
        </w:rPr>
        <w:t xml:space="preserve">, - </w:t>
      </w:r>
      <w:r w:rsidRPr="005A61B0">
        <w:rPr>
          <w:sz w:val="24"/>
          <w:szCs w:val="24"/>
        </w:rPr>
        <w:t>индоссантом. Индоссамент должен быть простым и ничем не обусловленным.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Аваль – вексельное поручительство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суть которого заключается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какое-то лицо берет на себя ответственность за платеж по векселю одного или нескольких ответственных по векселю лиц. Аваль не может быть дан за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 ответственное по векселю (например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трассат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 акцептовавший вексель). Аваль делается на лицевой стороне векселя либо на алонже (добавочном листе к векселю) и обычно выражается словами «авалирую» или другими равнозначными словами.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выдающее аваль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называют авалистом. Авалист может ограничить поручительство только частью суммы или определенным сроком.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вексель удостоверяет ничем не обусловленное обязательство векселедателя либо иного указанного лица в качестве плательщика выплатить векселедержателю по наступлении предусмотренного срока обусловленную сумму.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Вексель является ценной бумагой 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любая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он удостоверяет имущественное право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которое может быть осуществлено только при предъявлении подлинника этого документа.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Чек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Чек по своей природе является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есть документом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удостоверяющим с соблюдением установленной формы и обязательных реквизитов имущественные 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осуществление или передача которых возможны только при его предъявлении.</w:t>
      </w:r>
      <w:r w:rsidRPr="005A61B0">
        <w:rPr>
          <w:sz w:val="24"/>
          <w:szCs w:val="24"/>
        </w:rPr>
        <w:footnoteReference w:id="29"/>
      </w:r>
      <w:r w:rsidRPr="005A61B0">
        <w:rPr>
          <w:sz w:val="24"/>
          <w:szCs w:val="24"/>
        </w:rPr>
        <w:t xml:space="preserve"> До введения в действие Гражданского Кодекса РФ отношения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связанные с расчетами чеками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регулировались Положением о чеках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утвержденным постановлением Верховного Совета РФ от 13 февраля </w:t>
      </w:r>
      <w:smartTag w:uri="urn:schemas-microsoft-com:office:smarttags" w:element="metricconverter">
        <w:smartTagPr>
          <w:attr w:name="ProductID" w:val="1992 г"/>
        </w:smartTagPr>
        <w:r w:rsidRPr="005A61B0">
          <w:rPr>
            <w:sz w:val="24"/>
            <w:szCs w:val="24"/>
          </w:rPr>
          <w:t>1992 г</w:t>
        </w:r>
      </w:smartTag>
      <w:r w:rsidRPr="005A61B0">
        <w:rPr>
          <w:sz w:val="24"/>
          <w:szCs w:val="24"/>
        </w:rPr>
        <w:t>. и изданными в соответствии с ним правилами Центрального банка РФ. Однако законодательство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регулировавшее расчеты чеками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имело существенные пробелы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том числе в части эмиссии чеков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ответственности лиц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участвующих в расчетах чеками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т.п. Данное обстоятельство в немалой степени способствовало негативным последствиями использования чеков в имущественном обороте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имевшим место в последние годы. Кроме того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некоторые новые нормы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содержащиеся в ГК РФ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вызваны к жизни необходимостью учета положений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закрепленных в Женевской конвенции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устанавливающей единообразный закон о чеках. В соответствии с ГК РФ чеком признается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содержащая ничем не обусловленное распоряжение чекодателя банку произвести платеж указанной в нем суммы чекодержателю.</w:t>
      </w:r>
      <w:r w:rsidRPr="005A61B0">
        <w:rPr>
          <w:sz w:val="24"/>
          <w:szCs w:val="24"/>
        </w:rPr>
        <w:footnoteReference w:id="30"/>
      </w:r>
      <w:r w:rsidRPr="005A61B0">
        <w:rPr>
          <w:sz w:val="24"/>
          <w:szCs w:val="24"/>
        </w:rPr>
        <w:t xml:space="preserve"> Отличительная черта отношений по расчетам чеками состоит в их особом субъектном составе. В качестве основных участников данных отношений выступают чекодатель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чекодержатель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плательщик. Чекодателем считается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выписавшее чек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чекодержателем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владелец выписанного чека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плательщиком – банк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производящий платеж по предъявленному чеку. В отношениях по расчетам чеками могут также участвовать индоссант – чекодержатель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передающий чек другому лицу посредством передаточной надписи (индоссамента) и авалист –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давшее поручительство за оплату чека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оформляемое гарантийной надписью на нем (аваль). Кодекс наделяет способностью быть плательщиком по чеку исключительно банки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том числе кредитные организации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имеющие лицензию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 занятие банковской деятельностью. В отношении конкретного чека плательщиком может быть указан только банк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где имеются средства чекодателя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которыми он вправе распоряжаться путем выставления чеков. Для правильного определения природы чека важное значение имеет положение о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выдача его не погашает денежного обязательства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во исполнение которого он выдан. Дело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чек лишь заменяет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не устраняет прежнее долговое обязательство чекодателя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которое остается в силе вплоть до момента оплаты чека плательщиком. Только с этого момента чекодержатель теряет право требования к чекодателю. Необходимо обратить внимание на положения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согласно которому отзыв чека до истечения срока для его предъявления не допускается.</w:t>
      </w:r>
      <w:r w:rsidRPr="005A61B0">
        <w:rPr>
          <w:sz w:val="24"/>
          <w:szCs w:val="24"/>
        </w:rPr>
        <w:footnoteReference w:id="31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Для чека как для всякой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принципиальное значение имеют соблюдение его формы и правильность заполнения всех необходимых реквизитов. Он в обязательном порядке должен включать в себя следующие сведения: наименование «чек» в тексте документа; поручение плательщику выплатить определенную сумму; наименование плательщика и указание счета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 которого должен быть произведен платеж; указание валюты платежа; указание даты и места составления чека; подпись чекодателя. Требования к форме чека 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порядку его заполнения определяются законом и установленными в соответствии с ним банковскими правилами.</w:t>
      </w:r>
      <w:r w:rsidRPr="005A61B0">
        <w:rPr>
          <w:sz w:val="24"/>
          <w:szCs w:val="24"/>
        </w:rPr>
        <w:footnoteReference w:id="32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Гражданский Кодекс РФ включает в себя определенные правила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регулирующие порядок оплаты чека.</w:t>
      </w:r>
      <w:r w:rsidRPr="005A61B0">
        <w:rPr>
          <w:sz w:val="24"/>
          <w:szCs w:val="24"/>
        </w:rPr>
        <w:footnoteReference w:id="33"/>
      </w:r>
      <w:r w:rsidRPr="005A61B0">
        <w:rPr>
          <w:sz w:val="24"/>
          <w:szCs w:val="24"/>
        </w:rPr>
        <w:t xml:space="preserve"> Он оплачивается за счет средств чекодателя плательщиком при условии предъявления его к оплате в установленный законом срок. В обязанности плательщика вменено удостовериться всеми доступными ему способами в подлинности чека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также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он предъявлен к оплате уполномоченным по нему лицом. В случае предъявления к оплате индоссированного чека плательщик должен проверить правильность индоссаментов. Правильность подписей индоссаментов при этом плательщиком не проверяется. Следует обратить внимание на новое положение Кодекса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регулирующее ответственность чекодателя и плательщика в случае подложного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похищенного или утраченного чека. Возникшие вследствие этого убытки налагаются на плательщика или чекодателя в зависимости от того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чьей вине они были причинены.</w:t>
      </w:r>
      <w:r w:rsidRPr="005A61B0">
        <w:rPr>
          <w:sz w:val="24"/>
          <w:szCs w:val="24"/>
        </w:rPr>
        <w:footnoteReference w:id="34"/>
      </w:r>
      <w:r w:rsidRPr="005A61B0">
        <w:rPr>
          <w:sz w:val="24"/>
          <w:szCs w:val="24"/>
        </w:rPr>
        <w:t xml:space="preserve"> Отступление от общих правил ответственности по обязательствам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связанным с предпринимательской деятельностью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когда ответственность наступает независимо от вины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преследовало цель побудить участников чековых правоотношений быть максимально заботливыми и осмотрительными.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Передача прав по чеку производится в общем порядке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предусмотренном для передачи прав по ценным бумагам. Для передачи другому лицу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удостоверенных ценной бумагой на предъявителя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известно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достаточно вручения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ценной бумаги этому лицу. Права по ордерной ценной бумаге передаются путем совершения на этой ценной бумаге надписи индоссамента.</w:t>
      </w:r>
      <w:r w:rsidRPr="005A61B0">
        <w:rPr>
          <w:sz w:val="24"/>
          <w:szCs w:val="24"/>
        </w:rPr>
        <w:footnoteReference w:id="35"/>
      </w:r>
      <w:r w:rsidRPr="005A61B0">
        <w:rPr>
          <w:sz w:val="24"/>
          <w:szCs w:val="24"/>
        </w:rPr>
        <w:t xml:space="preserve"> Вместе с тем Кодексом предусмотрены некоторые особенности передачи прав по чеку. В частности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именной чек не может быть передан другому лицу. В переводном чеке индоссамент на плательщика имеет силу расписки за получение платежа.</w:t>
      </w:r>
      <w:r w:rsidRPr="005A61B0">
        <w:rPr>
          <w:sz w:val="24"/>
          <w:szCs w:val="24"/>
        </w:rPr>
        <w:footnoteReference w:id="36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Определенные особенности имеются и в правовом регулировании гарантии платежа по чеку – аваля.</w:t>
      </w:r>
      <w:r w:rsidRPr="005A61B0">
        <w:rPr>
          <w:sz w:val="24"/>
          <w:szCs w:val="24"/>
        </w:rPr>
        <w:footnoteReference w:id="37"/>
      </w:r>
      <w:r w:rsidRPr="005A61B0">
        <w:rPr>
          <w:sz w:val="24"/>
          <w:szCs w:val="24"/>
        </w:rPr>
        <w:t xml:space="preserve"> В качестве авалиста по чеку может выступать любое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 исключением плательщика. Аваль по чеку проставляется на лицевой стороне чека или на дополнительном месте путем надписи «считать за аваль» и указания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кем и за кого он дан. Авалист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оплативший чек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получает права по нему против того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 кого он дал гарантию. Предъявление чека к платежу осуществляется чекодержателем путем представления чека в банк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обслуживающий чекодержателя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 инкассо (инкассирование чека). В этом случае оплата чека производится в общем порядке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предусмотренном для исполнения инкассового поручения. В случае отказа плательщика от оплаты чека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предъявленного к платежу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данное обстоятельство должно быть удостоверено одним из способов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предусмотренных ГК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footnoteReference w:id="38"/>
      </w:r>
      <w:r w:rsidRPr="005A61B0">
        <w:rPr>
          <w:sz w:val="24"/>
          <w:szCs w:val="24"/>
        </w:rPr>
        <w:t xml:space="preserve"> а именно: протестом нотариуса либо составлением равнозначного акта; отметкой плательщика на чеке об отказе в его оплате с указанием даты представления чека к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оплате; отметкой инкассирующего банка с указанием даты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свидетельствующей 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он своевременно выставлен и не оплачен. О неоплате чека чекодержатель должен известить своего индоссанта и чекодателя в течение двух рабочих дней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следующих за днем совершения протеста или равнозначного ему акта.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Если плательщик откажет в оплате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чекодержатель имеет право регресса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есть он вправе потребовать платежа по чеку ко всем обязанным по чеку лицам: чекодателям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авалистам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индоссантам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несут перед чекодержателем солидарную ответственность.</w:t>
      </w:r>
      <w:r w:rsidRPr="005A61B0">
        <w:rPr>
          <w:sz w:val="24"/>
          <w:szCs w:val="24"/>
        </w:rPr>
        <w:footnoteReference w:id="39"/>
      </w:r>
      <w:r w:rsidRPr="005A61B0">
        <w:rPr>
          <w:sz w:val="24"/>
          <w:szCs w:val="24"/>
        </w:rPr>
        <w:t xml:space="preserve"> Необходимо отметить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плательщик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не назван в качестве лица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обязанного по чеку перед чекодержателем. В случае неосновательного отказа от оплаты чека плательщик несет ответственность перед чекодателем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не перед чекодержателем.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Гражданским Кодексом установлен сокращенный срок исковой давности (шесть месяцев) для исков чекодержателя к обязанным по чеку лицам. Указанный срок исчисляется со дня окончания срока предъявления чека к платежу.</w:t>
      </w:r>
      <w:r w:rsidRPr="005A61B0">
        <w:rPr>
          <w:sz w:val="24"/>
          <w:szCs w:val="24"/>
        </w:rPr>
        <w:footnoteReference w:id="40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Основные отличия чека от векселя заключаются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чек оплачивается по предъявлении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вексель может быть предъявительским и срочным; чек всегда выписывается на банк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котором чекодатель имеет счёт.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Гражданский кодекс РФ регулирует порядок оформления чека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использование его в безналичных расчетах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ответственность лиц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участвующих в расчетах. Отличительная черта отношений по расчетам чеками состоит в их особом субъектном составе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где в качестве основных участников данных отношений выступают чекодатель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чекодержатель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плательщик.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Коносамент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Коносамент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документ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содержащий условия договора морской перевозки груза удостоверяющий факт наличия договора и служащий доказательством приема перевозчиком груза к перевозке. Коносамент является товарораспорядительным документом (ценной бумагой)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предоставляющим его держателю право распоряжения грузом.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Формы коносамента: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 предъявителя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предъявитель коносамента является владельцем груза;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Именной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владельцем груза является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поименованное в коносаменте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именной коносамент не подлежит передаче другому лицу;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Ордерный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передача индоссамента от одного лица к другому осуществляется с помощью передаточной надписи на нем – индоссамента; это самая распространенная форма коносамента.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К коносаменту обязательно прилагается страховой полис на груз. Коносамент может сопровождаться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различными дополнительными документами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необходимыми для перевозки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груза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его хранения и сохранности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для оформления таможенных процедур и т.п. Коносамент является документом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котором никакие изменения не возможны. Основные реквизиты коносамента: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Наименование судна;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Наименование фирмы – перевозчика;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Место приема груза;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Наименование отправителя груза;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Наименования получателя груза;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Наименование груза и его главные характеристики;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Время и место выдачи коносамента;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Подпись капитана судна.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применяемый в международной торговле коносамент признан разновидностью ценных бумаг.</w:t>
      </w:r>
      <w:r w:rsidRPr="005A61B0">
        <w:rPr>
          <w:sz w:val="24"/>
          <w:szCs w:val="24"/>
        </w:rPr>
        <w:footnoteReference w:id="41"/>
      </w:r>
      <w:r w:rsidRPr="005A61B0">
        <w:rPr>
          <w:sz w:val="24"/>
          <w:szCs w:val="24"/>
        </w:rPr>
        <w:t xml:space="preserve"> По своей форме и содержанию коносамент также должен отвечать требованиям публичной достоверности.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Государственные ценные бумаги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Государственные ценные бумаги – это форма существования государственного внутреннего долга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это долговые ценные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эмитентом которых выступает государство. Хотя по своей природе все виды ГЦБ есть долговые ценные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 практике каждая самостоятельная ГЦБ получает свое собственное название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позволяющее отличать ее от других видов. Обычно кроме термина «облигация»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используются термины «казначейский вексель»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«сертификат»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«займ» и др. Каждая страна использует свою терминологию для выпускаемых ГЦБ. В России примером государственных ценных бумаг могут служить Государственный республиканский внутренний займ </w:t>
      </w:r>
      <w:smartTag w:uri="urn:schemas-microsoft-com:office:smarttags" w:element="metricconverter">
        <w:smartTagPr>
          <w:attr w:name="ProductID" w:val="1991 г"/>
        </w:smartTagPr>
        <w:r w:rsidRPr="005A61B0">
          <w:rPr>
            <w:sz w:val="24"/>
            <w:szCs w:val="24"/>
          </w:rPr>
          <w:t>1991 г</w:t>
        </w:r>
      </w:smartTag>
      <w:r w:rsidRPr="005A61B0">
        <w:rPr>
          <w:sz w:val="24"/>
          <w:szCs w:val="24"/>
        </w:rPr>
        <w:t xml:space="preserve">.; Облигации внутреннего валютного займа </w:t>
      </w:r>
      <w:smartTag w:uri="urn:schemas-microsoft-com:office:smarttags" w:element="metricconverter">
        <w:smartTagPr>
          <w:attr w:name="ProductID" w:val="1993 г"/>
        </w:smartTagPr>
        <w:r w:rsidRPr="005A61B0">
          <w:rPr>
            <w:sz w:val="24"/>
            <w:szCs w:val="24"/>
          </w:rPr>
          <w:t>1993 г</w:t>
        </w:r>
      </w:smartTag>
      <w:r w:rsidRPr="005A61B0">
        <w:rPr>
          <w:sz w:val="24"/>
          <w:szCs w:val="24"/>
        </w:rPr>
        <w:t>.; Государственные краткосрочные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бескупонные облигации; Облигации федерального займа; Облигации государственного сберегательного займа и некоторые другие.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Ценные бумаги государства имеют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два очень крупных преимущества перед любыми другими ценными бумагами и активами. Во первых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это самый высокий относительный уровень надежности для вложенных средств и соответственно минимальный риск потери основного капитала и доходов по нему. Во вторых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наиболее льготное налогообложение по сравнению с другими ценными бумагами или направлениями вложений капитала. Часто на ГЦБ отсутствуют налоги на операции с ними и на получаемые доходы.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Каждая страна имеет свою сложившуюся историю и практику рынка ГЦБ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находит отражение в видах и формах выпускаемых государственных облигаций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масштабах национального рынка облигаций и его участниках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порядке размещения облигаций и особенностях их налогообложения и т.д. Российские ГЦБ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 одной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стороны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должны отвечать реалиям отечественного рынка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с другой – отражать общие для многих стран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проверенные временем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экономические основы функционирования рынка ГЦБ вообще и его современные новации.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Депозитные и сберегательные сертификаты коммерческих банков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Депозитные и сберегательные сертификаты – ценные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право выпускать которые предоставлено только коммерческим банкам. Депозитный (сберегательный) сертификат –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удостоверяющая сумму вклада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внесенного в банк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права вкладчика (держателя сертификата) на получение по истечении установленного срока суммы вклада и обусловленных в сертификате процентов в банке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выдавшем сертификат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в любом филиале этого банка. Если в качестве вкладчика выступает юридическое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оформляется депозитный сертификат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физическое лицо – сберегательный. При этом владельцем сертификата могут быть только юридические лица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зарегистрированные на территории РФ или иного государства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использующего рубль в качестве официальной денежной единицы. Оформление депозитного или сберегательного сертификата является надлежащей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формой заключения договора банковского вклада. Поэтому особенность сертификата как ценной бумаги заключается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он может быть выпущен только в документарной форме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 этом сертификат может быть именным или на предъявителя. Бланк сертификата должен содержать следующие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обязательные реквизиты: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наименование «депозитный» или «сберегательный сертификат»;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указание на причину выдачи сертификата (внесение депозита или сберегательного вклада);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дата внесения депозита или сберегательного вклада;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размер депозита или сберегательного вклада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оформленного сертификатом (прописью и цифрами);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безусловное обязательство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банка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вернуть сумму внесенную в депозит или на вклад;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дата востребования бенефициаром (вкладчиком) суммы по сертификату;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ставка процента за пользование депозитом или вкладом;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сумма причитающихся процентов;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наименование и адреса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банка – эмитента и для именного сертификата – бенефициара (вкладчика).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Подписи двух лиц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уполномоченных банком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 подписание такого рода обязательств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скрепленные печатью банка.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Приватизационный чек и складское свидетельство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Система использования приватизационных чеков основывалась на следующих принципах: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приватизационный чек является государственной ценной бумагой целевого назначения и может быть использован при приватизации объектов государственной и муниципальной собственности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жилищного фонда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земельных участков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также при приобретении акций инвестиционных фондов;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каждый гражданин РФ имеет право получить один приватизационный чек;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выпуск приватизационных чеков производится на основании указов Президента РФ;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приватизационные чеки действительны в течении ограниченного времени с момента их выпуска;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приватизационные чеки имеют номинальную стоимость в рублях;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·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приватизационные чеки продаются и покупаются гражданами свободно.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Приватизационный чек является государственной ценной бумагой целевого назначения на предъявителя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имеющей номинальную стоимость в рублях и используемой как платежной средство для приобретения объектов приватизации. Продажа акций приватизируемых государственных и муниципальных предприятий на аукционе исключительно за приватизационные чеки получила название чекового аукциона. 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Еще одной разновидностью многочисленного семейства ценных бумаг являются двойное складское свидетельство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каждая из двух его частей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простое складское свидетельство. Складские свидетельства выдаются товарным складом в подтверждение принятия товара на хранение.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Двойное складское свидетельство состоит из двух частей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складского свидетельства и залогового свидетельства (варранта)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могут быть отделены одно от другого.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Варрант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это свидетельство товарного склада о приеме на хранение определенного товара. Варрант является товарораспорядительным документом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передаваемым в порядке индоссамента (т.е. передаточной надписи).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Он используется при продаже и залоге товара.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Варрант бывает именной и на предъявителя и состоит из двух частей: складского и залогового свидетельств. Первое свидетельство служит для передачи собственности на товар при его продаже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второе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для получения кредита под залог товара с отметками об условиях ссуды. При этом варрант передается кредитору по индоссаменту. Кредитор может осуществит дальнейшую передачу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держателю складского свидетельства при погашении им ссуды.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При переходе варранта из рук в руки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товар может много раз менять своего владельца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оставаясь на одном и том же месте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т.е. на складе хозяйствующего субъекта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 которого получен денежный варрант.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Для получения товара со склада необходимо предъявление указанных выше обеих частей варранта.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Анализируя вышеизложенное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можно сказать что приватизационный чек и складское свидетельство имеют немаловажное значение среди иных видов ценных бумаг.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Правовой режим бездокументарных ценных бумаг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современном имущественном обороте стали использоваться новые формы фиксации прав его участников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связанные с применением средств электронно-вычислительной техники. При этом не производится выпуск (эмиссия) ценных бумаг непосредственно на бумажных носителях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соответствующие записи об их владельце и содержании принадлежащих ему прав производятся в памяти ЭВМ в форме записи счета. Данная ситуация ставит вопрос о возможности применения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к таким способам фиксации прав традиционных общих правил о ценных бумагах.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Прежде всего необходимо иметь ввиду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рассматриваемая проблема касается отнюдь не всех видов ценных бумаг. Очевидно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такая форма закрепления прав участников имущественного оборота не может быть применена к предъявительским ценным бумагам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в принципе не могут существовать иначе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на бумажных носителях. Не касается она обычно и таких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как векселя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чеки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депозитные и сберегательные сертификаты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коносаменты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варранты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даже если они являются именными. Речь идет практически исключительно об акциях и облигациях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 силу своего строгого именного характера допускают «безбумажную форму» закрепления удостоверяемых ими прав. «Запись на счете» находящуюся в памяти ЭВМ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ее «владельцу» невозможно не только утратить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даже и передать другому лицу с соблюдением каких угодно формальностей: при этом одна запись просто изменяется или уничтожается и заменяется другой соответствующей записью. Поэтому и «оборот» таких ценных бумаг весьма специфичен. Ведь их «владелец» в действительности не обладает какой-либо вещью как объектом права собственности (или иного вещного права) и лишен возможности предпринять с «записью на счете» те же действия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и владелец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документарной ценной бумаги.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На БЦБ распространяются следующие правила режима документарных ценных бумаг: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1. Хотя БЦБ и не являются предметами материального мира т.е вещью (res corporalis) на них распространяются некоторые положения права собственности. Право собственности на БЦБ принадлежит в системе ведения реестра владельцев ценных бумаг – владельцу лицевого счета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открытого у держателя реестра; в системе учета прав у депозитария – владельцу счета депо.</w:t>
      </w:r>
      <w:r w:rsidRPr="005A61B0">
        <w:rPr>
          <w:sz w:val="24"/>
          <w:szCs w:val="24"/>
        </w:rPr>
        <w:footnoteReference w:id="42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2. Хотя БЦБ невозможно передать из рук в руки ввиду их бестелесной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формы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законодательство приравнивает к передаче этих ценных бумаг их перевод как по счетам депо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и по лицевым счетам в системе ведения реестра. Последний влечет за собой передачу права собственности от продавца к покупателю.</w:t>
      </w:r>
      <w:r w:rsidRPr="005A61B0">
        <w:rPr>
          <w:sz w:val="24"/>
          <w:szCs w:val="24"/>
        </w:rPr>
        <w:footnoteReference w:id="43"/>
      </w:r>
      <w:r w:rsidRPr="005A61B0">
        <w:rPr>
          <w:sz w:val="24"/>
          <w:szCs w:val="24"/>
        </w:rPr>
        <w:t xml:space="preserve"> Поскольку БЦБ не могут существовать непосредственно в хозяйстве их собственника т.е. вне соответствующего счета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их следует рассматривать как имущество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находящееся у третьего лица. Реестродержатель и депозитарий обязаны по требованию клиентов предоставлять им выписки по соответствующим счетам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являются подтверждением их прав на БЦБ. Держатель реестра обязан предоставить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такую выписку в течении 5 рабочих дней с момента получения требования владельца счета или его представителя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уполномоченного лица.</w:t>
      </w:r>
      <w:r w:rsidRPr="005A61B0">
        <w:rPr>
          <w:sz w:val="24"/>
          <w:szCs w:val="24"/>
        </w:rPr>
        <w:footnoteReference w:id="44"/>
      </w:r>
      <w:r w:rsidRPr="005A61B0">
        <w:rPr>
          <w:sz w:val="24"/>
          <w:szCs w:val="24"/>
        </w:rPr>
        <w:t xml:space="preserve"> На сегодняшний день бездокументарные облигации могут быть предметом следующего ограниченного круга сделок: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 первичном рынке: размещение (продажа облигаций первым приобретателям) и погашение (платеж по наступлении срока);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на вторичном рынке: купля-продажа и залог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Купля продажа облигаций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совершаемая на бирже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может предполагать ее исполнение в течение ближайших двух-трех дней. В этом случае такая сделка будет называться кассовой. Если же договором предусмотрена отсрочка исполнения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то такая сделка будет называться форвардной.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Таким образом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бездокументарные ценные бумаги являются объектами обязательственных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не вещных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отличие от других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имеющих двойственную суть.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Глава III. Порядок обращения ценных бумаг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3.1. Права по ценной бумаге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Права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удостоверенные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могут принадлежать «названному в ценной бумаге лицу».</w:t>
      </w:r>
      <w:r w:rsidRPr="005A61B0">
        <w:rPr>
          <w:sz w:val="24"/>
          <w:szCs w:val="24"/>
        </w:rPr>
        <w:footnoteReference w:id="45"/>
      </w:r>
      <w:r w:rsidRPr="005A61B0">
        <w:rPr>
          <w:sz w:val="24"/>
          <w:szCs w:val="24"/>
        </w:rPr>
        <w:t xml:space="preserve"> Но одного этого обстоятельства недостаточно. Поэтому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для легитимации какого-либо лица по именным эмиссионным ценным бумагам (акциям и облигациям) необходимо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чтобы идентифицирующие его признаки были внесены в учетные записи держателя реестра владельцев ценных бумаг либо (в соответствующих случаях) в учетные записи депозитария.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«Право на именную документарную ценную бумагу переходит к приобретателю:</w:t>
      </w:r>
      <w:r w:rsidRPr="005A61B0">
        <w:rPr>
          <w:sz w:val="24"/>
          <w:szCs w:val="24"/>
        </w:rPr>
        <w:footnoteReference w:id="46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• в случае учета прав приобретателя на ценные бумаги в системе ведения реестра — с момента передачи ему сертификата ценной бумаги после внесения приходной записи по лицевому счету приобретателя;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• в случае учета прав приобретателя на ценные бумаги у лица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осуществляющего депозитарную деятельность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 депонированием сертификата ценной бумаги у депозитария — с момента внесения приходной записи по счету депо приобретателя».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3.2. Восстановление прав по утраченной ценной бумаге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Содержащиеся в ГК правила об обороте ценных бумаг касаются особенностей исполнения обязательств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удостоверенных ценными бумагами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также возможностей их оспаривания и восстановления в случае утраты. При этом на первый план выступает абстрактный характер обязательств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удостоверенных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их оторванность от своего основания. такие обязательства как бы получают самостоятельную жизнь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связанную уже не с судьбой основного обязательства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во исполнение или в удостоверение которого была выдана ценная бумага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с судьбой данной бумаги. В силу особой оборотоспособности большинства ценных бумаг важным становится вопрос о последствиях их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возможной утраты их законными владельцами. Для именных ценных бумаг он не имеет столь принципиального значения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 xml:space="preserve">ибо фактический владелец не сможет потребовать и получить исполнение по такой ценной бумаге. 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Существует возможность выпуска ценных бумаг в бездокументарной форме.</w:t>
      </w:r>
      <w:r w:rsidRPr="005A61B0">
        <w:rPr>
          <w:sz w:val="24"/>
          <w:szCs w:val="24"/>
        </w:rPr>
        <w:footnoteReference w:id="47"/>
      </w:r>
      <w:r w:rsidRPr="005A61B0">
        <w:rPr>
          <w:sz w:val="24"/>
          <w:szCs w:val="24"/>
        </w:rPr>
        <w:t xml:space="preserve"> Это означает лишь то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фиксация прав производится не при помощи составления документа (запись информации на бумажном носителе посредством наложения грифа)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с помощью средств электронно-вычислительной техники (запись информации на электромагнитном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оптическом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полупроводниковом носителях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требующая специальных технических устройств для ее записи и прочтения). Утрата информации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находящейся не на бумажном носителе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равно как и самого носителя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возможна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ее восстановление представляет собой отдельную проблему. Эта проблема как техническая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и юридическая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она тесно связана с уровнем современных технологий и их новизной. Для передачи прав при указанном способе их фиксации требуется обязательное обращение к лицу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которое произвело их фиксацию.</w:t>
      </w:r>
      <w:r w:rsidRPr="005A61B0">
        <w:rPr>
          <w:sz w:val="24"/>
          <w:szCs w:val="24"/>
        </w:rPr>
        <w:footnoteReference w:id="48"/>
      </w:r>
      <w:r w:rsidRPr="005A61B0">
        <w:rPr>
          <w:sz w:val="24"/>
          <w:szCs w:val="24"/>
        </w:rPr>
        <w:t xml:space="preserve"> Эти обстоятельства приводят к тому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на практике в бездокументарной форме выпускаются ценные бумаги либо составляющим предмет массовых эмиссий (акции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облигации и иные)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либо обращающиеся на ограниченных «площадках»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в рамках определенных компьютерных сетей (инструмент игры на бирже – опцион или государственные краткосрочные облигации – ГКО)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при выпуске на бумажном носителе приняли бы вид именных по форме ценных бумаг. Действительно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трудно себе представить бездокументарный вексель или чек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коносамент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банковскую книжку на предъявителя и т.д.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С развитием фондового рынка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неизбежным началом широкого выпуска облигаций на предъявителя и разрешением выпуска акций на предъявителя ценных бумаг в виде бумажных документов станет больше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поскольку это более простой и дешевый способ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чем развитие сети депозитариев по все России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связанных современными средствами коммуникации. В дальнейшем речь пойдет об утрате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выпущенной на бумажном носителе.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При утрате ценной бумаги ее держателем возникает довольно сложная ситуация. Во первых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кредитор не может доказать наличие своих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соответственно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распорядится ими. Во вторых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должник не может определить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которому он должен исполнить свое обязательство. Должник считается исполнившим обязательство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исполнил его надлежащему лицу</w:t>
      </w:r>
      <w:r>
        <w:rPr>
          <w:sz w:val="24"/>
          <w:szCs w:val="24"/>
        </w:rPr>
        <w:t xml:space="preserve"> - </w:t>
      </w:r>
      <w:r w:rsidRPr="005A61B0">
        <w:rPr>
          <w:sz w:val="24"/>
          <w:szCs w:val="24"/>
        </w:rPr>
        <w:t>субъекту права.</w:t>
      </w:r>
      <w:r w:rsidRPr="005A61B0">
        <w:rPr>
          <w:sz w:val="24"/>
          <w:szCs w:val="24"/>
        </w:rPr>
        <w:footnoteReference w:id="49"/>
      </w:r>
      <w:r w:rsidRPr="005A61B0">
        <w:rPr>
          <w:sz w:val="24"/>
          <w:szCs w:val="24"/>
        </w:rPr>
        <w:t xml:space="preserve"> Субъектом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удостоверенных ценной бумагой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признается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доказавшее свое право на бумагу в соответствии с ее формой.</w:t>
      </w:r>
      <w:r w:rsidRPr="005A61B0">
        <w:rPr>
          <w:sz w:val="24"/>
          <w:szCs w:val="24"/>
        </w:rPr>
        <w:footnoteReference w:id="50"/>
      </w:r>
      <w:r w:rsidRPr="005A61B0">
        <w:rPr>
          <w:sz w:val="24"/>
          <w:szCs w:val="24"/>
        </w:rPr>
        <w:t xml:space="preserve"> При утрате ценной бумаги должник отказывает в исполнении обязательства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даже признавая себя обязанным по утраченной ценной бумаге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 той причине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исполнив лицу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утратившему ценную бумагу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он может быть принужден повторно исполнить это обязательство лицу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впоследствии предъявившему эту самую ценную бумагу и доказавшему свое право на нее в соответствии с ее формой.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утратившее ценную бумагу и не знающее ее фактического владельца для предъявления к нему виндикационного иска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всегда может предъявить иск к должнику по бумаге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суд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рассмотрев дело по существу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установит то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исполнение которому будет признано исполнением должному лицу. Истец в таком иске может требовать либо выдачи должником дубликата утраченной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или совершения ему исполнения. Если факт гибели ценной бумаги на предъявителя не может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быть доказан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истец вправе требовать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бы суд обязал должника исполнить ему по истечении давностных сроков предъявления к исполнению этого обязательства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если оно не будет предъявлено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так как явившийся до этого момента добросовестный фактический держатель будет иметь полное право получить исполнение.</w:t>
      </w:r>
      <w:r w:rsidRPr="005A61B0">
        <w:rPr>
          <w:sz w:val="24"/>
          <w:szCs w:val="24"/>
        </w:rPr>
        <w:footnoteReference w:id="51"/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Судебное разбирательство в исковом порядке – это дорогостоящая и продолжительная процедура. Поэтому в случае фиксации права в ценной бумаге предусматривают особый порядок восстановления этого права. Восстановление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которое сопровождается восстановлением самой ценной бумаги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называется вызывным производством. Восстановление прав по утраченным предъявительским и ордерным ценным бумагам производится судом в порядке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предусмотренном процессуальным законодательством.</w:t>
      </w:r>
      <w:r w:rsidRPr="005A61B0">
        <w:rPr>
          <w:sz w:val="24"/>
          <w:szCs w:val="24"/>
        </w:rPr>
        <w:footnoteReference w:id="52"/>
      </w:r>
      <w:r w:rsidRPr="005A61B0">
        <w:rPr>
          <w:sz w:val="24"/>
          <w:szCs w:val="24"/>
        </w:rPr>
        <w:t xml:space="preserve"> Особый порядок восстановления прав по ордерным ценным бумагам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частности по векселю и ордерному коносаменту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действующим законодательством не предусмотрен.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Решение проблемы прав держателей при утрате ими ценных бумаг в настоящее время состоит в следующем: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необходим особый порядок восстановления судом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зафиксированных в ценной бумаге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независимо от вида ценной бумаги. Для именных ценных бумаг может быть допущена выдача дубликата утраченной ценной бумаги держателем книги учета кредиторов (реестра)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но с соблюдением особого порядка.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необходимо там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где это возможно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предусмотреть восстановлением прав без подрыва устойчивости оборота ценных бумаг.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Правила восстановления прав из утраченной ценной бумаги при отсутствие спора по ней могут быть установлены двумя способами. Первый состоит в описании соответствующей процедуры в законе о конкретном виде ценных бумаг. Такая процедура будет действовать только в отношении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тех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которые регулируются данным законом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и соответственно будет иметь только ей присущие особенности. Второй способ состоит в описании процедуры в ГПК.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В настоящее время представляется необходимым разработать общий подход к восстановлению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прав по утраченным ценным бумагам при отсутствии спора о существовании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содержании и форме овеществления выраженных в них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причем порядок вызывного производства должен применяться лишь тогда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когда невозможно применить последавностное удовлетворение или существуют достаточные основания для восстановления ценной бумаги. Законодательное закрепление такой процедуры позволит не повторять в нормативных документах о конкретных видах ценных бумаг правила восстановления прав по утраченным ценным бумагам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позволит сделать ссылку на соответствующие статьи и установить необходимые сроки и условия восстановления утраченных прав.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ЗАКЛЮЧЕНИЕ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Переход к рыночной экономике потребовал возрождения и использования всего многообразия ценных бумаг. В свою очередь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появилась настоятельная потребность в четком правовом оформлении ценных бумаг и особенностей их оборота. В сфере правового регулирования отношений связанных с</w:t>
      </w:r>
      <w:r>
        <w:rPr>
          <w:sz w:val="24"/>
          <w:szCs w:val="24"/>
        </w:rPr>
        <w:t xml:space="preserve"> </w:t>
      </w:r>
      <w:r w:rsidRPr="005A61B0">
        <w:rPr>
          <w:sz w:val="24"/>
          <w:szCs w:val="24"/>
        </w:rPr>
        <w:t>обращением ценных бумаг на современном временном этапе нормы Гражданского Кодекса РФ играют основополагающую роль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немаловажно для обеспечения устойчивости и стабильности таких отношений в целом.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Принятие Гражданского кодекса Российской Федерации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Законов РФ «Об акционерных обществах» и «О рынке ценных бумаг»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а также некоторых других регулирующих рассматриваемую сферу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создало определенную систему законов в сфере рынка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позволило устранить многочисленные разночтения и споры. В процессе вступления участников рынка ценных бумаг в складывающиеся между ними правоотношения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особую ценность имеет уяснение понятия ценных бумаг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том числе и как объектов гражданских прав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осознание сущности правового режима ценных бумаг.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Необходимо помнить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основным свойством ценных бумаг является их публичная достоверность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проявляющаяся в том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должник по ценной бумаге не вправе проверять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является ли его кредитором лицо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требующее исполнения. Чтобы освободиться от обязанности по ценной бумаге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должник должен совершить исполнение тому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кто отвечает официально установленным формальным признакам.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Необходимо и дальше следовать принципам преемственности в развитии нормативной правовой базы; использования гражданского права для развития фондового рынка в сочетании с формированием новых правовых институтов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способствующих его становлению и развитию; важно помнить что одной из ценностей стабильности и упорядочения рынка ценных бумаг является преимущественная и всесторонняя защита законных прав и интересов инвесторов; пресечение незаконной деятельности; повышение ответственности профессиональных участников рынка ценных бумаг и эмитентов за результаты своей деятельности;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Необходимо отметить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что существует необходимость дальнейшей разработки теоретических вопросов по ценным бумагам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которая не вызывает сомнений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частности моментов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касающихся восстановления прав по утраченным ценным бумагам.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Подводя итог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нужно подчеркнуть что рынок ценных бумаг не является чем-то постоянным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он все время находится в движении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в развитии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заимствуя и порождая новые формы и виды ценных бумаг.</w:t>
      </w:r>
    </w:p>
    <w:p w:rsidR="00912F58" w:rsidRPr="00F95B3B" w:rsidRDefault="00912F58" w:rsidP="00912F58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F95B3B">
        <w:rPr>
          <w:b/>
          <w:sz w:val="28"/>
          <w:szCs w:val="24"/>
        </w:rPr>
        <w:t>Список литературы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Андреев В.В. Правовое регулирование рынка ценных бумаг//Бухучет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№ 2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1997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Агарков М. М. Учение о ценных бумагах //М.: Финстатиформ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1993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Брагинский О. Л. Объекты гражданских прав//Хозяйство и право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№ 5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1995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Гражданский кодекс РФ //2006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Демушкина Е.К. Ценные бумаги// М.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Юринформ</w:t>
      </w:r>
      <w:r>
        <w:rPr>
          <w:sz w:val="24"/>
          <w:szCs w:val="24"/>
        </w:rPr>
        <w:t xml:space="preserve">, </w:t>
      </w:r>
      <w:r w:rsidRPr="005A61B0">
        <w:rPr>
          <w:sz w:val="24"/>
          <w:szCs w:val="24"/>
        </w:rPr>
        <w:t>1996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Пантелеев П.С. Рынок Ценных бумаг //М.: 1996</w:t>
      </w:r>
    </w:p>
    <w:p w:rsidR="00912F58" w:rsidRPr="005A61B0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Федеральный закон РФ от 22.04.1996 N 39-ФЗ «О рынке ценных бумаг»</w:t>
      </w:r>
    </w:p>
    <w:p w:rsidR="00912F58" w:rsidRDefault="00912F58" w:rsidP="00912F58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5A61B0">
        <w:rPr>
          <w:sz w:val="24"/>
          <w:szCs w:val="24"/>
        </w:rPr>
        <w:t>Федеральный закон "Об акционерных обществах" от 26.12.1995 N 208-ФЗ.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3E7" w:rsidRDefault="004953E7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4953E7" w:rsidRDefault="004953E7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3E7" w:rsidRDefault="004953E7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4953E7" w:rsidRDefault="004953E7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  <w:footnote w:id="1">
    <w:p w:rsidR="004953E7" w:rsidRDefault="00912F58" w:rsidP="00912F58">
      <w:pPr>
        <w:pStyle w:val="af8"/>
      </w:pPr>
      <w:r>
        <w:rPr>
          <w:rStyle w:val="af7"/>
        </w:rPr>
        <w:footnoteRef/>
      </w:r>
      <w:r>
        <w:t xml:space="preserve"> </w:t>
      </w:r>
      <w:r w:rsidRPr="009D7244">
        <w:rPr>
          <w:sz w:val="24"/>
          <w:szCs w:val="24"/>
        </w:rPr>
        <w:t>Брагинский О. Л. Объекты гражданских прав</w:t>
      </w:r>
    </w:p>
  </w:footnote>
  <w:footnote w:id="2">
    <w:p w:rsidR="004953E7" w:rsidRDefault="00912F58" w:rsidP="00912F58">
      <w:pPr>
        <w:pStyle w:val="af8"/>
      </w:pPr>
      <w:r w:rsidRPr="0087536C">
        <w:rPr>
          <w:rStyle w:val="af7"/>
        </w:rPr>
        <w:footnoteRef/>
      </w:r>
      <w:r w:rsidRPr="0087536C">
        <w:rPr>
          <w:sz w:val="24"/>
          <w:szCs w:val="24"/>
        </w:rPr>
        <w:t xml:space="preserve"> ст. 128 ГК РФ</w:t>
      </w:r>
    </w:p>
  </w:footnote>
  <w:footnote w:id="3">
    <w:p w:rsidR="004953E7" w:rsidRDefault="00912F58" w:rsidP="00912F58">
      <w:pPr>
        <w:pStyle w:val="af8"/>
      </w:pPr>
      <w:r w:rsidRPr="0087536C">
        <w:rPr>
          <w:rStyle w:val="af7"/>
        </w:rPr>
        <w:footnoteRef/>
      </w:r>
      <w:r w:rsidRPr="0087536C">
        <w:rPr>
          <w:sz w:val="24"/>
          <w:szCs w:val="24"/>
        </w:rPr>
        <w:t xml:space="preserve"> ст. 142 ГК РФ</w:t>
      </w:r>
    </w:p>
  </w:footnote>
  <w:footnote w:id="4">
    <w:p w:rsidR="004953E7" w:rsidRDefault="00912F58" w:rsidP="00912F58">
      <w:pPr>
        <w:pStyle w:val="af8"/>
      </w:pPr>
      <w:r w:rsidRPr="0087536C">
        <w:rPr>
          <w:rStyle w:val="af7"/>
        </w:rPr>
        <w:footnoteRef/>
      </w:r>
      <w:r w:rsidRPr="0087536C">
        <w:rPr>
          <w:sz w:val="24"/>
          <w:szCs w:val="24"/>
        </w:rPr>
        <w:t xml:space="preserve"> ст. 145 ГК РФ</w:t>
      </w:r>
    </w:p>
  </w:footnote>
  <w:footnote w:id="5">
    <w:p w:rsidR="004953E7" w:rsidRDefault="00912F58" w:rsidP="00912F58">
      <w:pPr>
        <w:pStyle w:val="af8"/>
      </w:pPr>
      <w:r>
        <w:rPr>
          <w:rStyle w:val="af7"/>
        </w:rPr>
        <w:footnoteRef/>
      </w:r>
      <w:r>
        <w:t xml:space="preserve"> </w:t>
      </w:r>
      <w:r>
        <w:rPr>
          <w:sz w:val="24"/>
          <w:szCs w:val="24"/>
        </w:rPr>
        <w:t>с</w:t>
      </w:r>
      <w:r w:rsidRPr="001E19AE">
        <w:rPr>
          <w:sz w:val="24"/>
          <w:szCs w:val="24"/>
        </w:rPr>
        <w:t>т</w:t>
      </w:r>
      <w:r>
        <w:rPr>
          <w:sz w:val="24"/>
          <w:szCs w:val="24"/>
        </w:rPr>
        <w:t>.</w:t>
      </w:r>
      <w:r w:rsidRPr="001E19AE">
        <w:rPr>
          <w:sz w:val="24"/>
          <w:szCs w:val="24"/>
        </w:rPr>
        <w:t xml:space="preserve"> 147 ГК РФ </w:t>
      </w:r>
    </w:p>
  </w:footnote>
  <w:footnote w:id="6">
    <w:p w:rsidR="004953E7" w:rsidRDefault="00912F58" w:rsidP="00912F58">
      <w:pPr>
        <w:pStyle w:val="af8"/>
      </w:pPr>
      <w:r w:rsidRPr="001E19AE">
        <w:rPr>
          <w:rStyle w:val="af7"/>
        </w:rPr>
        <w:footnoteRef/>
      </w:r>
      <w:r w:rsidRPr="001E19AE">
        <w:rPr>
          <w:sz w:val="24"/>
          <w:szCs w:val="24"/>
        </w:rPr>
        <w:t xml:space="preserve"> ст. 143 ГК РФ</w:t>
      </w:r>
    </w:p>
  </w:footnote>
  <w:footnote w:id="7">
    <w:p w:rsidR="004953E7" w:rsidRDefault="00912F58" w:rsidP="00912F58">
      <w:pPr>
        <w:pStyle w:val="af8"/>
      </w:pPr>
      <w:r w:rsidRPr="001E19AE">
        <w:rPr>
          <w:rStyle w:val="af7"/>
        </w:rPr>
        <w:footnoteRef/>
      </w:r>
      <w:r w:rsidRPr="001E19AE">
        <w:rPr>
          <w:sz w:val="24"/>
          <w:szCs w:val="24"/>
        </w:rPr>
        <w:t xml:space="preserve"> ст. 149 ГК РФ</w:t>
      </w:r>
    </w:p>
  </w:footnote>
  <w:footnote w:id="8">
    <w:p w:rsidR="004953E7" w:rsidRDefault="00912F58" w:rsidP="00912F58">
      <w:pPr>
        <w:pStyle w:val="ab"/>
        <w:spacing w:before="0" w:beforeAutospacing="0" w:after="0" w:afterAutospacing="0"/>
      </w:pPr>
      <w:r w:rsidRPr="004C3536">
        <w:rPr>
          <w:rStyle w:val="af7"/>
        </w:rPr>
        <w:footnoteRef/>
      </w:r>
      <w:r w:rsidRPr="004C3536">
        <w:t xml:space="preserve"> ст.142 ГК РФ</w:t>
      </w:r>
    </w:p>
  </w:footnote>
  <w:footnote w:id="9">
    <w:p w:rsidR="004953E7" w:rsidRDefault="00912F58" w:rsidP="00912F58">
      <w:pPr>
        <w:pStyle w:val="af8"/>
      </w:pPr>
      <w:r w:rsidRPr="004C3536">
        <w:rPr>
          <w:rStyle w:val="af7"/>
        </w:rPr>
        <w:footnoteRef/>
      </w:r>
      <w:r w:rsidRPr="004C3536">
        <w:rPr>
          <w:sz w:val="24"/>
          <w:szCs w:val="24"/>
        </w:rPr>
        <w:t xml:space="preserve"> ст. 142 ГК РФ</w:t>
      </w:r>
    </w:p>
  </w:footnote>
  <w:footnote w:id="10">
    <w:p w:rsidR="004953E7" w:rsidRDefault="00912F58" w:rsidP="00912F58">
      <w:pPr>
        <w:pStyle w:val="af8"/>
      </w:pPr>
      <w:r w:rsidRPr="004C3536">
        <w:rPr>
          <w:rStyle w:val="af7"/>
        </w:rPr>
        <w:footnoteRef/>
      </w:r>
      <w:r w:rsidRPr="004C3536">
        <w:rPr>
          <w:sz w:val="24"/>
          <w:szCs w:val="24"/>
        </w:rPr>
        <w:t xml:space="preserve"> п. 2 ст. 147 ГК РФ</w:t>
      </w:r>
    </w:p>
  </w:footnote>
  <w:footnote w:id="11">
    <w:p w:rsidR="004953E7" w:rsidRDefault="00912F58" w:rsidP="00912F58">
      <w:pPr>
        <w:pStyle w:val="af8"/>
      </w:pPr>
      <w:r w:rsidRPr="004C3536">
        <w:rPr>
          <w:rStyle w:val="af7"/>
        </w:rPr>
        <w:footnoteRef/>
      </w:r>
      <w:r w:rsidRPr="004C3536">
        <w:rPr>
          <w:sz w:val="24"/>
          <w:szCs w:val="24"/>
        </w:rPr>
        <w:t xml:space="preserve"> п. 2. ст. 142 ГК РФ</w:t>
      </w:r>
    </w:p>
  </w:footnote>
  <w:footnote w:id="12">
    <w:p w:rsidR="004953E7" w:rsidRDefault="00912F58" w:rsidP="00912F58">
      <w:pPr>
        <w:pStyle w:val="af8"/>
      </w:pPr>
      <w:r w:rsidRPr="004C3536">
        <w:rPr>
          <w:rStyle w:val="af7"/>
        </w:rPr>
        <w:footnoteRef/>
      </w:r>
      <w:r w:rsidRPr="004C3536">
        <w:rPr>
          <w:sz w:val="24"/>
          <w:szCs w:val="24"/>
        </w:rPr>
        <w:t xml:space="preserve"> п. 2. ст. 142 ГК РФ</w:t>
      </w:r>
    </w:p>
  </w:footnote>
  <w:footnote w:id="13">
    <w:p w:rsidR="004953E7" w:rsidRDefault="00912F58" w:rsidP="00912F58">
      <w:pPr>
        <w:pStyle w:val="af8"/>
      </w:pPr>
      <w:r>
        <w:rPr>
          <w:rStyle w:val="af7"/>
        </w:rPr>
        <w:footnoteRef/>
      </w:r>
      <w:r>
        <w:t xml:space="preserve"> </w:t>
      </w:r>
      <w:r w:rsidRPr="009D7244">
        <w:rPr>
          <w:sz w:val="24"/>
          <w:szCs w:val="24"/>
        </w:rPr>
        <w:t>Андреев В.В. Правовое регулирование рынка ценных бумаг</w:t>
      </w:r>
    </w:p>
  </w:footnote>
  <w:footnote w:id="14">
    <w:p w:rsidR="004953E7" w:rsidRDefault="00912F58" w:rsidP="00912F58">
      <w:pPr>
        <w:pStyle w:val="af8"/>
      </w:pPr>
      <w:r>
        <w:rPr>
          <w:rStyle w:val="af7"/>
        </w:rPr>
        <w:footnoteRef/>
      </w:r>
      <w:r>
        <w:t xml:space="preserve"> </w:t>
      </w:r>
      <w:r w:rsidRPr="000D1FCE">
        <w:rPr>
          <w:sz w:val="24"/>
          <w:szCs w:val="24"/>
        </w:rPr>
        <w:t>Демушкина Е.К. Ценные бумаги</w:t>
      </w:r>
    </w:p>
  </w:footnote>
  <w:footnote w:id="15">
    <w:p w:rsidR="004953E7" w:rsidRDefault="00912F58" w:rsidP="00912F58">
      <w:pPr>
        <w:pStyle w:val="af8"/>
      </w:pPr>
      <w:r>
        <w:rPr>
          <w:rStyle w:val="af7"/>
        </w:rPr>
        <w:footnoteRef/>
      </w:r>
      <w:r>
        <w:t xml:space="preserve"> </w:t>
      </w:r>
      <w:r w:rsidRPr="000D1FCE">
        <w:rPr>
          <w:sz w:val="24"/>
          <w:szCs w:val="24"/>
        </w:rPr>
        <w:t>Пантелеев П.С. Рынок Ценных бумаг</w:t>
      </w:r>
    </w:p>
  </w:footnote>
  <w:footnote w:id="16">
    <w:p w:rsidR="004953E7" w:rsidRDefault="00912F58" w:rsidP="00912F58">
      <w:pPr>
        <w:pStyle w:val="af8"/>
      </w:pPr>
      <w:r w:rsidRPr="004C3536">
        <w:rPr>
          <w:rStyle w:val="af7"/>
        </w:rPr>
        <w:footnoteRef/>
      </w:r>
      <w:r w:rsidRPr="004C3536">
        <w:rPr>
          <w:sz w:val="24"/>
          <w:szCs w:val="24"/>
        </w:rPr>
        <w:t xml:space="preserve"> ст. 128 ГК РФ</w:t>
      </w:r>
    </w:p>
  </w:footnote>
  <w:footnote w:id="17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п. 2 ст. 145 ГК РФ</w:t>
      </w:r>
    </w:p>
  </w:footnote>
  <w:footnote w:id="18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</w:t>
      </w:r>
      <w:r>
        <w:rPr>
          <w:sz w:val="24"/>
          <w:szCs w:val="24"/>
        </w:rPr>
        <w:t>п. 1 ст. 146 ГК РФ</w:t>
      </w:r>
    </w:p>
  </w:footnote>
  <w:footnote w:id="19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ст. 389 ГК</w:t>
      </w:r>
      <w:r>
        <w:rPr>
          <w:sz w:val="24"/>
          <w:szCs w:val="24"/>
        </w:rPr>
        <w:t xml:space="preserve"> РФ</w:t>
      </w:r>
    </w:p>
  </w:footnote>
  <w:footnote w:id="20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п. 3 ст. 382, ст. 385 ГК</w:t>
      </w:r>
      <w:r>
        <w:rPr>
          <w:sz w:val="24"/>
          <w:szCs w:val="24"/>
        </w:rPr>
        <w:t xml:space="preserve"> РФ</w:t>
      </w:r>
    </w:p>
  </w:footnote>
  <w:footnote w:id="21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п. 2 ст. 146, ст. 390 ГК</w:t>
      </w:r>
      <w:r>
        <w:rPr>
          <w:sz w:val="24"/>
          <w:szCs w:val="24"/>
        </w:rPr>
        <w:t xml:space="preserve"> РФ</w:t>
      </w:r>
    </w:p>
  </w:footnote>
  <w:footnote w:id="22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п. 3 ст. 146 ГК</w:t>
      </w:r>
      <w:r>
        <w:rPr>
          <w:sz w:val="24"/>
          <w:szCs w:val="24"/>
        </w:rPr>
        <w:t xml:space="preserve"> РФ</w:t>
      </w:r>
    </w:p>
  </w:footnote>
  <w:footnote w:id="23">
    <w:p w:rsidR="004953E7" w:rsidRDefault="00912F58" w:rsidP="00912F58">
      <w:pPr>
        <w:pStyle w:val="af8"/>
      </w:pPr>
      <w:r>
        <w:rPr>
          <w:rStyle w:val="af7"/>
        </w:rPr>
        <w:footnoteRef/>
      </w:r>
      <w:r>
        <w:t xml:space="preserve"> </w:t>
      </w:r>
      <w:r w:rsidRPr="00F7782F">
        <w:rPr>
          <w:sz w:val="28"/>
          <w:szCs w:val="28"/>
        </w:rPr>
        <w:t>п. 3 ст. 146 ГК РФ</w:t>
      </w:r>
    </w:p>
  </w:footnote>
  <w:footnote w:id="24">
    <w:p w:rsidR="004953E7" w:rsidRDefault="00912F58" w:rsidP="00912F58">
      <w:pPr>
        <w:pStyle w:val="af8"/>
      </w:pPr>
      <w:r>
        <w:rPr>
          <w:rStyle w:val="af7"/>
        </w:rPr>
        <w:footnoteRef/>
      </w:r>
      <w:r>
        <w:t xml:space="preserve"> </w:t>
      </w:r>
      <w:r w:rsidRPr="009D7244">
        <w:rPr>
          <w:sz w:val="24"/>
          <w:szCs w:val="24"/>
        </w:rPr>
        <w:t>Агарков М. М. Учение о ценных бумагах</w:t>
      </w:r>
    </w:p>
  </w:footnote>
  <w:footnote w:id="25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ст. 143 ГК РФ</w:t>
      </w:r>
    </w:p>
  </w:footnote>
  <w:footnote w:id="26">
    <w:p w:rsidR="004953E7" w:rsidRDefault="00912F58" w:rsidP="00912F58">
      <w:pPr>
        <w:pStyle w:val="af8"/>
      </w:pPr>
      <w:r w:rsidRPr="00F41E89">
        <w:rPr>
          <w:rStyle w:val="af7"/>
        </w:rPr>
        <w:footnoteRef/>
      </w:r>
      <w:r w:rsidRPr="00F41E89">
        <w:rPr>
          <w:sz w:val="24"/>
          <w:szCs w:val="24"/>
        </w:rPr>
        <w:t xml:space="preserve"> Федеральный закон РФ от 22.04.1996 N 39-ФЗ «О рынке ценных бумаг»</w:t>
      </w:r>
    </w:p>
  </w:footnote>
  <w:footnote w:id="27">
    <w:p w:rsidR="004953E7" w:rsidRDefault="00912F58" w:rsidP="00912F58">
      <w:pPr>
        <w:pStyle w:val="af8"/>
      </w:pPr>
      <w:r w:rsidRPr="00F41E89">
        <w:rPr>
          <w:rStyle w:val="af7"/>
        </w:rPr>
        <w:footnoteRef/>
      </w:r>
      <w:r w:rsidRPr="00F41E89">
        <w:rPr>
          <w:sz w:val="24"/>
          <w:szCs w:val="24"/>
        </w:rPr>
        <w:t xml:space="preserve"> </w:t>
      </w:r>
      <w:r w:rsidRPr="00F41E89">
        <w:rPr>
          <w:rStyle w:val="aa"/>
          <w:b/>
          <w:color w:val="000000"/>
          <w:sz w:val="24"/>
          <w:szCs w:val="24"/>
        </w:rPr>
        <w:t>Федеральный закон</w:t>
      </w:r>
      <w:r w:rsidRPr="00F41E89">
        <w:rPr>
          <w:b/>
          <w:color w:val="000000"/>
          <w:sz w:val="24"/>
          <w:szCs w:val="24"/>
        </w:rPr>
        <w:t xml:space="preserve"> "</w:t>
      </w:r>
      <w:r w:rsidRPr="00F41E89">
        <w:rPr>
          <w:rStyle w:val="aa"/>
          <w:b/>
          <w:color w:val="000000"/>
          <w:sz w:val="24"/>
          <w:szCs w:val="24"/>
        </w:rPr>
        <w:t>Об акционерных обществах</w:t>
      </w:r>
      <w:r w:rsidRPr="00F41E89">
        <w:rPr>
          <w:color w:val="000000"/>
          <w:sz w:val="24"/>
          <w:szCs w:val="24"/>
        </w:rPr>
        <w:t>" от 26.12.1995 N 208</w:t>
      </w:r>
      <w:r w:rsidRPr="00F41E89">
        <w:rPr>
          <w:b/>
          <w:color w:val="000000"/>
          <w:sz w:val="24"/>
          <w:szCs w:val="24"/>
        </w:rPr>
        <w:t>-</w:t>
      </w:r>
      <w:r w:rsidRPr="00F41E89">
        <w:rPr>
          <w:rStyle w:val="aa"/>
          <w:b/>
          <w:color w:val="000000"/>
          <w:sz w:val="24"/>
          <w:szCs w:val="24"/>
        </w:rPr>
        <w:t>ФЗ</w:t>
      </w:r>
      <w:r w:rsidRPr="00F41E89">
        <w:rPr>
          <w:b/>
          <w:color w:val="000000"/>
          <w:sz w:val="24"/>
          <w:szCs w:val="24"/>
        </w:rPr>
        <w:t>.</w:t>
      </w:r>
    </w:p>
  </w:footnote>
  <w:footnote w:id="28">
    <w:p w:rsidR="004953E7" w:rsidRDefault="00912F58" w:rsidP="00912F58">
      <w:pPr>
        <w:pStyle w:val="af8"/>
      </w:pPr>
      <w:r>
        <w:rPr>
          <w:rStyle w:val="af7"/>
        </w:rPr>
        <w:footnoteRef/>
      </w:r>
      <w:r>
        <w:t xml:space="preserve"> </w:t>
      </w:r>
      <w:r w:rsidRPr="00F41E89">
        <w:rPr>
          <w:rStyle w:val="aa"/>
          <w:b/>
          <w:color w:val="000000"/>
          <w:sz w:val="24"/>
          <w:szCs w:val="24"/>
        </w:rPr>
        <w:t>Федеральный закон</w:t>
      </w:r>
      <w:r w:rsidRPr="00F41E89">
        <w:rPr>
          <w:b/>
          <w:color w:val="000000"/>
          <w:sz w:val="24"/>
          <w:szCs w:val="24"/>
        </w:rPr>
        <w:t xml:space="preserve"> "</w:t>
      </w:r>
      <w:r w:rsidRPr="00F41E89">
        <w:rPr>
          <w:rStyle w:val="aa"/>
          <w:b/>
          <w:color w:val="000000"/>
          <w:sz w:val="24"/>
          <w:szCs w:val="24"/>
        </w:rPr>
        <w:t>Об акционерных обществах</w:t>
      </w:r>
      <w:r w:rsidRPr="00F41E89">
        <w:rPr>
          <w:color w:val="000000"/>
          <w:sz w:val="24"/>
          <w:szCs w:val="24"/>
        </w:rPr>
        <w:t>" от 26.12.1995 N 208</w:t>
      </w:r>
      <w:r w:rsidRPr="00F41E89">
        <w:rPr>
          <w:b/>
          <w:color w:val="000000"/>
          <w:sz w:val="24"/>
          <w:szCs w:val="24"/>
        </w:rPr>
        <w:t>-</w:t>
      </w:r>
      <w:r w:rsidRPr="00F41E89">
        <w:rPr>
          <w:rStyle w:val="aa"/>
          <w:b/>
          <w:color w:val="000000"/>
          <w:sz w:val="24"/>
          <w:szCs w:val="24"/>
        </w:rPr>
        <w:t>ФЗ</w:t>
      </w:r>
      <w:r w:rsidRPr="00F41E89">
        <w:rPr>
          <w:b/>
          <w:color w:val="000000"/>
          <w:sz w:val="24"/>
          <w:szCs w:val="24"/>
        </w:rPr>
        <w:t>.</w:t>
      </w:r>
    </w:p>
  </w:footnote>
  <w:footnote w:id="29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ст. 146 ГК РФ</w:t>
      </w:r>
    </w:p>
  </w:footnote>
  <w:footnote w:id="30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ст. 877 ГК РФ</w:t>
      </w:r>
    </w:p>
  </w:footnote>
  <w:footnote w:id="31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п. 3 ст. 877 ГК РФ</w:t>
      </w:r>
    </w:p>
  </w:footnote>
  <w:footnote w:id="32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>ст. 878 ГК РФ</w:t>
      </w:r>
    </w:p>
  </w:footnote>
  <w:footnote w:id="33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ст. 879 ГК РФ</w:t>
      </w:r>
    </w:p>
  </w:footnote>
  <w:footnote w:id="34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п. 4 ст. 879 ГК РФ</w:t>
      </w:r>
    </w:p>
  </w:footnote>
  <w:footnote w:id="35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ст. 146 ГК РФ</w:t>
      </w:r>
    </w:p>
  </w:footnote>
  <w:footnote w:id="36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ст. 880 ГК РФ</w:t>
      </w:r>
    </w:p>
  </w:footnote>
  <w:footnote w:id="37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>ст. 881 ГК РФ</w:t>
      </w:r>
    </w:p>
  </w:footnote>
  <w:footnote w:id="38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ст. 883 ГК РФ</w:t>
      </w:r>
    </w:p>
  </w:footnote>
  <w:footnote w:id="39">
    <w:p w:rsidR="004953E7" w:rsidRDefault="00912F58" w:rsidP="00912F58">
      <w:pPr>
        <w:pStyle w:val="af8"/>
      </w:pPr>
      <w:r w:rsidRPr="00124F88">
        <w:rPr>
          <w:rStyle w:val="af7"/>
        </w:rPr>
        <w:footnoteRef/>
      </w:r>
      <w:r w:rsidRPr="00124F88">
        <w:rPr>
          <w:sz w:val="24"/>
          <w:szCs w:val="24"/>
        </w:rPr>
        <w:t xml:space="preserve"> п. 1 ст. 885 ГК РФ</w:t>
      </w:r>
    </w:p>
  </w:footnote>
  <w:footnote w:id="40">
    <w:p w:rsidR="004953E7" w:rsidRDefault="00912F58" w:rsidP="00912F58">
      <w:pPr>
        <w:pStyle w:val="af8"/>
      </w:pPr>
      <w:r>
        <w:rPr>
          <w:rStyle w:val="af7"/>
        </w:rPr>
        <w:footnoteRef/>
      </w:r>
      <w:r>
        <w:t xml:space="preserve"> </w:t>
      </w:r>
      <w:r w:rsidRPr="00F7782F">
        <w:rPr>
          <w:sz w:val="28"/>
          <w:szCs w:val="28"/>
        </w:rPr>
        <w:t>(п. 3 ст. 885 ГК</w:t>
      </w:r>
    </w:p>
  </w:footnote>
  <w:footnote w:id="41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ст. 143 ГК РФ</w:t>
      </w:r>
    </w:p>
  </w:footnote>
  <w:footnote w:id="42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</w:t>
      </w:r>
      <w:r w:rsidRPr="002D1A8B">
        <w:rPr>
          <w:color w:val="000000"/>
          <w:sz w:val="24"/>
          <w:szCs w:val="24"/>
        </w:rPr>
        <w:t>Федеральный</w:t>
      </w:r>
      <w:r w:rsidRPr="002D1A8B">
        <w:rPr>
          <w:b/>
          <w:color w:val="000000"/>
          <w:sz w:val="24"/>
          <w:szCs w:val="24"/>
        </w:rPr>
        <w:t xml:space="preserve"> </w:t>
      </w:r>
      <w:r w:rsidRPr="002D1A8B">
        <w:rPr>
          <w:rStyle w:val="aa"/>
          <w:b/>
          <w:color w:val="000000"/>
          <w:sz w:val="24"/>
          <w:szCs w:val="24"/>
        </w:rPr>
        <w:t>закон</w:t>
      </w:r>
      <w:r w:rsidRPr="002D1A8B">
        <w:rPr>
          <w:b/>
          <w:color w:val="000000"/>
          <w:sz w:val="24"/>
          <w:szCs w:val="24"/>
        </w:rPr>
        <w:t xml:space="preserve"> "</w:t>
      </w:r>
      <w:r w:rsidRPr="002D1A8B">
        <w:rPr>
          <w:rStyle w:val="aa"/>
          <w:b/>
          <w:color w:val="000000"/>
          <w:sz w:val="24"/>
          <w:szCs w:val="24"/>
        </w:rPr>
        <w:t>О рынке ценных бумаг</w:t>
      </w:r>
      <w:r w:rsidRPr="002D1A8B">
        <w:rPr>
          <w:b/>
          <w:color w:val="000000"/>
          <w:sz w:val="24"/>
          <w:szCs w:val="24"/>
        </w:rPr>
        <w:t>"</w:t>
      </w:r>
      <w:r w:rsidRPr="002D1A8B">
        <w:rPr>
          <w:color w:val="000000"/>
          <w:sz w:val="24"/>
          <w:szCs w:val="24"/>
        </w:rPr>
        <w:t xml:space="preserve"> от 22.04.1996 N 39-ФЗ статья 28</w:t>
      </w:r>
    </w:p>
  </w:footnote>
  <w:footnote w:id="43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</w:t>
      </w:r>
      <w:r w:rsidRPr="002D1A8B">
        <w:rPr>
          <w:color w:val="000000"/>
          <w:sz w:val="24"/>
          <w:szCs w:val="24"/>
        </w:rPr>
        <w:t xml:space="preserve">Федеральный </w:t>
      </w:r>
      <w:r w:rsidRPr="002D1A8B">
        <w:rPr>
          <w:rStyle w:val="aa"/>
          <w:color w:val="000000"/>
          <w:sz w:val="24"/>
          <w:szCs w:val="24"/>
        </w:rPr>
        <w:t>закон</w:t>
      </w:r>
      <w:r w:rsidRPr="002D1A8B">
        <w:rPr>
          <w:color w:val="000000"/>
          <w:sz w:val="24"/>
          <w:szCs w:val="24"/>
        </w:rPr>
        <w:t xml:space="preserve"> "</w:t>
      </w:r>
      <w:r w:rsidRPr="002D1A8B">
        <w:rPr>
          <w:rStyle w:val="aa"/>
          <w:b/>
          <w:color w:val="000000"/>
          <w:sz w:val="24"/>
          <w:szCs w:val="24"/>
        </w:rPr>
        <w:t>О рынке ценных бумаг</w:t>
      </w:r>
      <w:r w:rsidRPr="002D1A8B">
        <w:rPr>
          <w:color w:val="000000"/>
          <w:sz w:val="24"/>
          <w:szCs w:val="24"/>
        </w:rPr>
        <w:t>" от 22.04.1996 N 39-ФЗ</w:t>
      </w:r>
    </w:p>
  </w:footnote>
  <w:footnote w:id="44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</w:t>
      </w:r>
      <w:r w:rsidRPr="002D1A8B">
        <w:rPr>
          <w:color w:val="000000"/>
          <w:sz w:val="24"/>
          <w:szCs w:val="24"/>
        </w:rPr>
        <w:t xml:space="preserve">Федеральный </w:t>
      </w:r>
      <w:r w:rsidRPr="002D1A8B">
        <w:rPr>
          <w:rStyle w:val="aa"/>
          <w:color w:val="000000"/>
          <w:sz w:val="24"/>
          <w:szCs w:val="24"/>
        </w:rPr>
        <w:t>закон</w:t>
      </w:r>
      <w:r w:rsidRPr="002D1A8B">
        <w:rPr>
          <w:color w:val="000000"/>
          <w:sz w:val="24"/>
          <w:szCs w:val="24"/>
        </w:rPr>
        <w:t xml:space="preserve"> "</w:t>
      </w:r>
      <w:r w:rsidRPr="002D1A8B">
        <w:rPr>
          <w:rStyle w:val="aa"/>
          <w:b/>
          <w:color w:val="000000"/>
          <w:sz w:val="24"/>
          <w:szCs w:val="24"/>
        </w:rPr>
        <w:t>О рынке ценных бумаг</w:t>
      </w:r>
      <w:r w:rsidRPr="002D1A8B">
        <w:rPr>
          <w:color w:val="000000"/>
          <w:sz w:val="24"/>
          <w:szCs w:val="24"/>
        </w:rPr>
        <w:t>" от 22.04.1996 N 39-ФЗ статья 8</w:t>
      </w:r>
    </w:p>
  </w:footnote>
  <w:footnote w:id="45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Согласно п.2 ч.1 ст. 145 ГК РФ</w:t>
      </w:r>
    </w:p>
  </w:footnote>
  <w:footnote w:id="46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</w:t>
      </w:r>
      <w:r w:rsidRPr="002D1A8B">
        <w:rPr>
          <w:color w:val="000000"/>
          <w:sz w:val="24"/>
          <w:szCs w:val="24"/>
        </w:rPr>
        <w:t xml:space="preserve">Федеральный </w:t>
      </w:r>
      <w:r w:rsidRPr="002D1A8B">
        <w:rPr>
          <w:rStyle w:val="aa"/>
          <w:b/>
          <w:color w:val="000000"/>
          <w:sz w:val="24"/>
          <w:szCs w:val="24"/>
        </w:rPr>
        <w:t>закон</w:t>
      </w:r>
      <w:r w:rsidRPr="002D1A8B">
        <w:rPr>
          <w:color w:val="000000"/>
          <w:sz w:val="24"/>
          <w:szCs w:val="24"/>
        </w:rPr>
        <w:t xml:space="preserve"> "</w:t>
      </w:r>
      <w:r w:rsidRPr="002D1A8B">
        <w:rPr>
          <w:rStyle w:val="aa"/>
          <w:b/>
          <w:color w:val="000000"/>
          <w:sz w:val="24"/>
          <w:szCs w:val="24"/>
        </w:rPr>
        <w:t>О рынке ценных бумаг</w:t>
      </w:r>
      <w:r w:rsidRPr="002D1A8B">
        <w:rPr>
          <w:color w:val="000000"/>
          <w:sz w:val="24"/>
          <w:szCs w:val="24"/>
        </w:rPr>
        <w:t>" от 22.04.1996 N 39-ФЗ статья 29</w:t>
      </w:r>
    </w:p>
  </w:footnote>
  <w:footnote w:id="47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ст. 149 ГК РФ</w:t>
      </w:r>
    </w:p>
  </w:footnote>
  <w:footnote w:id="48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п. 2 ст. 149 ГК РФ</w:t>
      </w:r>
    </w:p>
  </w:footnote>
  <w:footnote w:id="49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ст. 312 ГК РФ</w:t>
      </w:r>
    </w:p>
  </w:footnote>
  <w:footnote w:id="50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ст. 145 ГК РФ</w:t>
      </w:r>
    </w:p>
  </w:footnote>
  <w:footnote w:id="51">
    <w:p w:rsidR="004953E7" w:rsidRDefault="00912F58" w:rsidP="00912F58">
      <w:pPr>
        <w:pStyle w:val="ab"/>
        <w:spacing w:before="0" w:beforeAutospacing="0" w:after="0" w:afterAutospacing="0"/>
      </w:pPr>
      <w:r w:rsidRPr="002D1A8B">
        <w:rPr>
          <w:rStyle w:val="af7"/>
        </w:rPr>
        <w:footnoteRef/>
      </w:r>
      <w:r w:rsidRPr="002D1A8B">
        <w:t xml:space="preserve"> п. 3 ст. 302 ГК РФ.</w:t>
      </w:r>
    </w:p>
  </w:footnote>
  <w:footnote w:id="52">
    <w:p w:rsidR="004953E7" w:rsidRDefault="00912F58" w:rsidP="00912F58">
      <w:pPr>
        <w:pStyle w:val="af8"/>
      </w:pPr>
      <w:r w:rsidRPr="002D1A8B">
        <w:rPr>
          <w:rStyle w:val="af7"/>
        </w:rPr>
        <w:footnoteRef/>
      </w:r>
      <w:r w:rsidRPr="002D1A8B">
        <w:rPr>
          <w:sz w:val="24"/>
          <w:szCs w:val="24"/>
        </w:rPr>
        <w:t xml:space="preserve"> ст. 148 ГК РФ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69490C"/>
    <w:multiLevelType w:val="multilevel"/>
    <w:tmpl w:val="20468F5E"/>
    <w:lvl w:ilvl="0">
      <w:start w:val="3"/>
      <w:numFmt w:val="decimal"/>
      <w:pStyle w:val="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39F11462"/>
    <w:multiLevelType w:val="hybridMultilevel"/>
    <w:tmpl w:val="2DDCBB7C"/>
    <w:lvl w:ilvl="0" w:tplc="1C401A1E">
      <w:start w:val="1"/>
      <w:numFmt w:val="bullet"/>
      <w:pStyle w:val="z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5971077"/>
    <w:multiLevelType w:val="hybridMultilevel"/>
    <w:tmpl w:val="2B6E7EA2"/>
    <w:lvl w:ilvl="0" w:tplc="877AF9DA">
      <w:start w:val="1"/>
      <w:numFmt w:val="decimal"/>
      <w:pStyle w:val="z4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84A213F"/>
    <w:multiLevelType w:val="hybridMultilevel"/>
    <w:tmpl w:val="24FAD806"/>
    <w:lvl w:ilvl="0" w:tplc="66B4694E">
      <w:start w:val="1"/>
      <w:numFmt w:val="decimal"/>
      <w:pStyle w:val="s3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E0465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C41FCF"/>
    <w:multiLevelType w:val="hybridMultilevel"/>
    <w:tmpl w:val="BAC6D1B4"/>
    <w:lvl w:ilvl="0" w:tplc="376A60FE">
      <w:start w:val="1"/>
      <w:numFmt w:val="decimal"/>
      <w:pStyle w:val="a0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F58"/>
    <w:rsid w:val="000D1FCE"/>
    <w:rsid w:val="000E6AA6"/>
    <w:rsid w:val="00124F88"/>
    <w:rsid w:val="001A35F6"/>
    <w:rsid w:val="001E19AE"/>
    <w:rsid w:val="002D1A8B"/>
    <w:rsid w:val="0045309A"/>
    <w:rsid w:val="004953E7"/>
    <w:rsid w:val="004C3536"/>
    <w:rsid w:val="005A61B0"/>
    <w:rsid w:val="00811DD4"/>
    <w:rsid w:val="0087536C"/>
    <w:rsid w:val="00912F58"/>
    <w:rsid w:val="009D7244"/>
    <w:rsid w:val="00AC318F"/>
    <w:rsid w:val="00B926DD"/>
    <w:rsid w:val="00F41E89"/>
    <w:rsid w:val="00F7782F"/>
    <w:rsid w:val="00F9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5D1A4D-8286-4F58-A277-20C762A7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912F58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">
    <w:name w:val="heading 1"/>
    <w:basedOn w:val="a1"/>
    <w:next w:val="a1"/>
    <w:link w:val="11"/>
    <w:uiPriority w:val="99"/>
    <w:qFormat/>
    <w:rsid w:val="00912F58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912F58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1"/>
    <w:uiPriority w:val="99"/>
    <w:qFormat/>
    <w:rsid w:val="00912F58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link w:val="40"/>
    <w:uiPriority w:val="99"/>
    <w:qFormat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1"/>
    <w:next w:val="a1"/>
    <w:link w:val="50"/>
    <w:uiPriority w:val="99"/>
    <w:qFormat/>
    <w:rsid w:val="00912F58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912F58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912F58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912F58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1"/>
    <w:next w:val="a1"/>
    <w:link w:val="90"/>
    <w:uiPriority w:val="99"/>
    <w:qFormat/>
    <w:rsid w:val="00912F58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uiPriority w:val="99"/>
    <w:locked/>
    <w:rsid w:val="00912F5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12F58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header"/>
    <w:basedOn w:val="a1"/>
    <w:link w:val="10"/>
    <w:uiPriority w:val="99"/>
    <w:rsid w:val="00912F58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link w:val="1"/>
    <w:uiPriority w:val="99"/>
    <w:locked/>
    <w:rsid w:val="00912F5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6">
    <w:name w:val="footer"/>
    <w:basedOn w:val="a1"/>
    <w:link w:val="a7"/>
    <w:uiPriority w:val="99"/>
    <w:rsid w:val="00912F58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0">
    <w:name w:val="Верхний колонтитул Знак1"/>
    <w:link w:val="a5"/>
    <w:uiPriority w:val="99"/>
    <w:locked/>
    <w:rsid w:val="00912F58"/>
    <w:rPr>
      <w:rFonts w:cs="Times New Roman"/>
      <w:sz w:val="24"/>
      <w:szCs w:val="24"/>
      <w:lang w:val="ru-RU" w:eastAsia="ru-RU" w:bidi="ar-SA"/>
    </w:rPr>
  </w:style>
  <w:style w:type="character" w:styleId="a8">
    <w:name w:val="Hyperlink"/>
    <w:uiPriority w:val="99"/>
    <w:rsid w:val="00912F58"/>
    <w:rPr>
      <w:rFonts w:cs="Times New Roman"/>
      <w:color w:val="0000FF"/>
      <w:u w:val="single"/>
    </w:rPr>
  </w:style>
  <w:style w:type="character" w:customStyle="1" w:styleId="a7">
    <w:name w:val="Нижний колонтитул Знак"/>
    <w:link w:val="a6"/>
    <w:uiPriority w:val="99"/>
    <w:semiHidden/>
    <w:locked/>
    <w:rsid w:val="00912F58"/>
    <w:rPr>
      <w:rFonts w:cs="Times New Roman"/>
      <w:sz w:val="24"/>
      <w:szCs w:val="24"/>
      <w:lang w:val="ru-RU" w:eastAsia="ru-RU" w:bidi="ar-SA"/>
    </w:rPr>
  </w:style>
  <w:style w:type="character" w:styleId="a9">
    <w:name w:val="Strong"/>
    <w:uiPriority w:val="99"/>
    <w:qFormat/>
    <w:rsid w:val="00912F58"/>
    <w:rPr>
      <w:rFonts w:cs="Times New Roman"/>
      <w:b/>
      <w:bCs/>
    </w:rPr>
  </w:style>
  <w:style w:type="character" w:styleId="aa">
    <w:name w:val="Emphasis"/>
    <w:uiPriority w:val="99"/>
    <w:qFormat/>
    <w:rsid w:val="00912F58"/>
    <w:rPr>
      <w:rFonts w:cs="Times New Roman"/>
      <w:i/>
      <w:iCs/>
    </w:rPr>
  </w:style>
  <w:style w:type="paragraph" w:styleId="ab">
    <w:name w:val="Normal (Web)"/>
    <w:basedOn w:val="a1"/>
    <w:link w:val="ac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c">
    <w:name w:val="Обычный (веб) Знак"/>
    <w:link w:val="ab"/>
    <w:uiPriority w:val="99"/>
    <w:locked/>
    <w:rsid w:val="00912F58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912F58"/>
    <w:rPr>
      <w:rFonts w:cs="Times New Roman"/>
      <w:color w:val="486DAA"/>
    </w:rPr>
  </w:style>
  <w:style w:type="paragraph" w:styleId="ad">
    <w:name w:val="Body Text Indent"/>
    <w:basedOn w:val="a1"/>
    <w:link w:val="ae"/>
    <w:uiPriority w:val="99"/>
    <w:rsid w:val="00912F58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">
    <w:name w:val="Body Text"/>
    <w:aliases w:val="Основной текст Знак"/>
    <w:basedOn w:val="a1"/>
    <w:link w:val="12"/>
    <w:uiPriority w:val="99"/>
    <w:rsid w:val="00912F58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locked/>
    <w:rsid w:val="00912F58"/>
    <w:rPr>
      <w:rFonts w:cs="Times New Roman"/>
      <w:sz w:val="24"/>
      <w:szCs w:val="24"/>
      <w:lang w:val="ru-RU" w:eastAsia="ru-RU" w:bidi="ar-SA"/>
    </w:rPr>
  </w:style>
  <w:style w:type="paragraph" w:styleId="af0">
    <w:name w:val="Title"/>
    <w:basedOn w:val="a1"/>
    <w:link w:val="af1"/>
    <w:uiPriority w:val="99"/>
    <w:qFormat/>
    <w:rsid w:val="00912F58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2">
    <w:name w:val="Основной текст Знак1"/>
    <w:aliases w:val="Основной текст Знак Знак"/>
    <w:link w:val="af"/>
    <w:uiPriority w:val="99"/>
    <w:locked/>
    <w:rsid w:val="00912F58"/>
    <w:rPr>
      <w:rFonts w:cs="Times New Roman"/>
      <w:sz w:val="28"/>
      <w:lang w:val="ru-RU" w:eastAsia="ru-RU" w:bidi="ar-SA"/>
    </w:rPr>
  </w:style>
  <w:style w:type="paragraph" w:styleId="21">
    <w:name w:val="Body Text Indent 2"/>
    <w:basedOn w:val="a1"/>
    <w:link w:val="22"/>
    <w:uiPriority w:val="99"/>
    <w:rsid w:val="00912F58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1">
    <w:name w:val="Название Знак"/>
    <w:link w:val="af0"/>
    <w:uiPriority w:val="99"/>
    <w:locked/>
    <w:rsid w:val="00912F58"/>
    <w:rPr>
      <w:rFonts w:cs="Times New Roman"/>
      <w:sz w:val="28"/>
      <w:lang w:val="ru-RU" w:eastAsia="ru-RU" w:bidi="ar-SA"/>
    </w:rPr>
  </w:style>
  <w:style w:type="paragraph" w:styleId="23">
    <w:name w:val="Body Text 2"/>
    <w:basedOn w:val="a1"/>
    <w:link w:val="24"/>
    <w:uiPriority w:val="99"/>
    <w:semiHidden/>
    <w:rsid w:val="00912F58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912F58"/>
    <w:rPr>
      <w:rFonts w:cs="Times New Roman"/>
      <w:sz w:val="28"/>
      <w:szCs w:val="28"/>
      <w:lang w:val="ru-RU" w:eastAsia="ru-RU" w:bidi="ar-SA"/>
    </w:rPr>
  </w:style>
  <w:style w:type="character" w:customStyle="1" w:styleId="310">
    <w:name w:val="Основной текст с отступом 3 Знак1"/>
    <w:link w:val="32"/>
    <w:uiPriority w:val="99"/>
    <w:semiHidden/>
    <w:locked/>
    <w:rsid w:val="00912F58"/>
    <w:rPr>
      <w:rFonts w:cs="Times New Roman"/>
      <w:b/>
      <w:sz w:val="24"/>
      <w:szCs w:val="24"/>
      <w:lang w:val="x-none" w:eastAsia="ru-RU" w:bidi="ar-SA"/>
    </w:rPr>
  </w:style>
  <w:style w:type="character" w:customStyle="1" w:styleId="24">
    <w:name w:val="Основной текст 2 Знак"/>
    <w:link w:val="23"/>
    <w:uiPriority w:val="99"/>
    <w:semiHidden/>
    <w:locked/>
    <w:rsid w:val="00912F58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1"/>
    <w:link w:val="310"/>
    <w:uiPriority w:val="99"/>
    <w:semiHidden/>
    <w:rsid w:val="00912F58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1">
    <w:name w:val="Основной текст 3 Знак1"/>
    <w:link w:val="34"/>
    <w:uiPriority w:val="99"/>
    <w:semiHidden/>
    <w:locked/>
    <w:rsid w:val="00912F58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1"/>
    <w:link w:val="311"/>
    <w:uiPriority w:val="99"/>
    <w:semiHidden/>
    <w:rsid w:val="00912F58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uiPriority w:val="99"/>
    <w:semiHidden/>
    <w:rPr>
      <w:sz w:val="16"/>
      <w:szCs w:val="16"/>
    </w:rPr>
  </w:style>
  <w:style w:type="character" w:styleId="af2">
    <w:name w:val="page number"/>
    <w:uiPriority w:val="99"/>
    <w:semiHidden/>
    <w:rsid w:val="00912F58"/>
    <w:rPr>
      <w:rFonts w:cs="Times New Roman"/>
    </w:rPr>
  </w:style>
  <w:style w:type="paragraph" w:styleId="af3">
    <w:name w:val="No Spacing"/>
    <w:link w:val="13"/>
    <w:uiPriority w:val="99"/>
    <w:qFormat/>
    <w:rsid w:val="00912F58"/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1"/>
    <w:link w:val="af5"/>
    <w:uiPriority w:val="99"/>
    <w:semiHidden/>
    <w:rsid w:val="00912F58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1"/>
    <w:uiPriority w:val="99"/>
    <w:qFormat/>
    <w:rsid w:val="00912F58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5">
    <w:name w:val="Текст выноски Знак"/>
    <w:link w:val="af4"/>
    <w:uiPriority w:val="99"/>
    <w:semiHidden/>
    <w:locked/>
    <w:rsid w:val="00912F58"/>
    <w:rPr>
      <w:rFonts w:ascii="Tahoma" w:hAnsi="Tahoma" w:cs="Tahoma"/>
      <w:sz w:val="16"/>
      <w:szCs w:val="16"/>
      <w:lang w:val="ru-RU" w:eastAsia="ru-RU" w:bidi="ar-SA"/>
    </w:rPr>
  </w:style>
  <w:style w:type="character" w:styleId="af7">
    <w:name w:val="footnote reference"/>
    <w:uiPriority w:val="99"/>
    <w:semiHidden/>
    <w:rsid w:val="00912F58"/>
    <w:rPr>
      <w:rFonts w:cs="Times New Roman"/>
      <w:vertAlign w:val="superscript"/>
    </w:rPr>
  </w:style>
  <w:style w:type="paragraph" w:styleId="af8">
    <w:name w:val="footnote text"/>
    <w:basedOn w:val="a1"/>
    <w:link w:val="14"/>
    <w:uiPriority w:val="99"/>
    <w:semiHidden/>
    <w:rsid w:val="00912F58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912F58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4">
    <w:name w:val="Текст сноски Знак1"/>
    <w:link w:val="af8"/>
    <w:uiPriority w:val="99"/>
    <w:semiHidden/>
    <w:locked/>
    <w:rsid w:val="00912F58"/>
    <w:rPr>
      <w:rFonts w:eastAsia="MS Mincho" w:cs="Times New Roman"/>
      <w:lang w:val="ru-RU" w:eastAsia="ru-RU" w:bidi="ar-SA"/>
    </w:rPr>
  </w:style>
  <w:style w:type="paragraph" w:customStyle="1" w:styleId="af9">
    <w:name w:val="абзац"/>
    <w:basedOn w:val="a1"/>
    <w:uiPriority w:val="99"/>
    <w:rsid w:val="00912F58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1"/>
    <w:uiPriority w:val="99"/>
    <w:rsid w:val="00912F58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a">
    <w:name w:val="Subtitle"/>
    <w:basedOn w:val="a1"/>
    <w:next w:val="af"/>
    <w:link w:val="afb"/>
    <w:uiPriority w:val="99"/>
    <w:qFormat/>
    <w:rsid w:val="00912F58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b">
    <w:name w:val="Подзаголовок Знак"/>
    <w:link w:val="afa"/>
    <w:uiPriority w:val="11"/>
    <w:rPr>
      <w:rFonts w:ascii="Cambria" w:eastAsia="Times New Roman" w:hAnsi="Cambria" w:cs="Times New Roman"/>
      <w:sz w:val="24"/>
      <w:szCs w:val="24"/>
    </w:rPr>
  </w:style>
  <w:style w:type="table" w:styleId="afc">
    <w:name w:val="Table Grid"/>
    <w:basedOn w:val="a3"/>
    <w:uiPriority w:val="99"/>
    <w:rsid w:val="00912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бычный (веб)1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d">
    <w:name w:val="List"/>
    <w:basedOn w:val="a1"/>
    <w:uiPriority w:val="99"/>
    <w:rsid w:val="00912F58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b"/>
    <w:link w:val="z10"/>
    <w:uiPriority w:val="99"/>
    <w:rsid w:val="00912F58"/>
    <w:pPr>
      <w:pageBreakBefore/>
      <w:spacing w:before="120" w:beforeAutospacing="0" w:line="360" w:lineRule="auto"/>
      <w:ind w:left="72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912F58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b"/>
    <w:uiPriority w:val="99"/>
    <w:rsid w:val="00912F58"/>
    <w:pPr>
      <w:numPr>
        <w:numId w:val="7"/>
      </w:numPr>
      <w:tabs>
        <w:tab w:val="clear" w:pos="720"/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b"/>
    <w:link w:val="z30"/>
    <w:uiPriority w:val="99"/>
    <w:rsid w:val="00912F58"/>
    <w:pPr>
      <w:spacing w:line="360" w:lineRule="auto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912F58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1"/>
    <w:link w:val="z40"/>
    <w:uiPriority w:val="99"/>
    <w:rsid w:val="00912F58"/>
    <w:pPr>
      <w:widowControl/>
      <w:numPr>
        <w:numId w:val="5"/>
      </w:numPr>
      <w:tabs>
        <w:tab w:val="clear" w:pos="720"/>
      </w:tabs>
      <w:snapToGrid/>
      <w:spacing w:line="360" w:lineRule="auto"/>
      <w:ind w:left="0"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912F58"/>
    <w:rPr>
      <w:sz w:val="28"/>
      <w:szCs w:val="28"/>
    </w:rPr>
  </w:style>
  <w:style w:type="paragraph" w:customStyle="1" w:styleId="s1">
    <w:name w:val="s1"/>
    <w:basedOn w:val="ab"/>
    <w:uiPriority w:val="99"/>
    <w:rsid w:val="00912F58"/>
    <w:pPr>
      <w:tabs>
        <w:tab w:val="num" w:pos="720"/>
      </w:tabs>
      <w:spacing w:line="360" w:lineRule="auto"/>
      <w:ind w:left="720" w:hanging="360"/>
      <w:jc w:val="both"/>
    </w:pPr>
    <w:rPr>
      <w:sz w:val="28"/>
      <w:szCs w:val="28"/>
    </w:rPr>
  </w:style>
  <w:style w:type="paragraph" w:customStyle="1" w:styleId="s2">
    <w:name w:val="s2"/>
    <w:basedOn w:val="afd"/>
    <w:next w:val="z4"/>
    <w:uiPriority w:val="99"/>
    <w:rsid w:val="00912F58"/>
    <w:pPr>
      <w:numPr>
        <w:numId w:val="1"/>
      </w:numPr>
      <w:tabs>
        <w:tab w:val="clear" w:pos="360"/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912F58"/>
    <w:pPr>
      <w:numPr>
        <w:numId w:val="4"/>
      </w:numPr>
      <w:tabs>
        <w:tab w:val="num" w:pos="2118"/>
      </w:tabs>
      <w:ind w:left="2118" w:hanging="1410"/>
    </w:pPr>
  </w:style>
  <w:style w:type="paragraph" w:customStyle="1" w:styleId="3">
    <w:name w:val="ы3"/>
    <w:basedOn w:val="34"/>
    <w:uiPriority w:val="99"/>
    <w:rsid w:val="00912F58"/>
    <w:pPr>
      <w:numPr>
        <w:numId w:val="3"/>
      </w:numPr>
      <w:tabs>
        <w:tab w:val="num" w:pos="720"/>
      </w:tabs>
      <w:spacing w:line="360" w:lineRule="auto"/>
      <w:ind w:firstLine="720"/>
      <w:jc w:val="both"/>
    </w:pPr>
    <w:rPr>
      <w:b w:val="0"/>
      <w:sz w:val="28"/>
      <w:szCs w:val="28"/>
    </w:rPr>
  </w:style>
  <w:style w:type="paragraph" w:styleId="16">
    <w:name w:val="toc 1"/>
    <w:basedOn w:val="a1"/>
    <w:next w:val="a1"/>
    <w:autoRedefine/>
    <w:uiPriority w:val="99"/>
    <w:semiHidden/>
    <w:rsid w:val="00912F58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1"/>
    <w:next w:val="a1"/>
    <w:autoRedefine/>
    <w:uiPriority w:val="99"/>
    <w:semiHidden/>
    <w:rsid w:val="00912F58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5">
    <w:name w:val="toc 2"/>
    <w:basedOn w:val="a1"/>
    <w:next w:val="a1"/>
    <w:autoRedefine/>
    <w:uiPriority w:val="99"/>
    <w:semiHidden/>
    <w:rsid w:val="00912F58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e">
    <w:name w:val="Document Map"/>
    <w:basedOn w:val="a1"/>
    <w:link w:val="aff"/>
    <w:uiPriority w:val="99"/>
    <w:semiHidden/>
    <w:rsid w:val="00912F58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aff">
    <w:name w:val="Схема документа Знак"/>
    <w:link w:val="afe"/>
    <w:uiPriority w:val="99"/>
    <w:semiHidden/>
    <w:rPr>
      <w:rFonts w:ascii="Tahoma" w:hAnsi="Tahoma" w:cs="Tahoma"/>
      <w:sz w:val="16"/>
      <w:szCs w:val="16"/>
    </w:rPr>
  </w:style>
  <w:style w:type="character" w:customStyle="1" w:styleId="mw-headline">
    <w:name w:val="mw-headline"/>
    <w:uiPriority w:val="99"/>
    <w:rsid w:val="00912F58"/>
    <w:rPr>
      <w:rFonts w:cs="Times New Roman"/>
    </w:rPr>
  </w:style>
  <w:style w:type="paragraph" w:customStyle="1" w:styleId="aff0">
    <w:name w:val="Курсовик"/>
    <w:basedOn w:val="a1"/>
    <w:uiPriority w:val="99"/>
    <w:rsid w:val="00912F58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1">
    <w:name w:val="Plain Text"/>
    <w:basedOn w:val="a1"/>
    <w:link w:val="aff2"/>
    <w:uiPriority w:val="99"/>
    <w:rsid w:val="00912F58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2">
    <w:name w:val="Текст Знак"/>
    <w:link w:val="aff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912F58"/>
    <w:rPr>
      <w:rFonts w:cs="Times New Roman"/>
    </w:rPr>
  </w:style>
  <w:style w:type="character" w:customStyle="1" w:styleId="grame">
    <w:name w:val="grame"/>
    <w:uiPriority w:val="99"/>
    <w:rsid w:val="00912F58"/>
    <w:rPr>
      <w:rFonts w:cs="Times New Roman"/>
    </w:rPr>
  </w:style>
  <w:style w:type="character" w:styleId="aff3">
    <w:name w:val="FollowedHyperlink"/>
    <w:uiPriority w:val="99"/>
    <w:rsid w:val="00912F58"/>
    <w:rPr>
      <w:rFonts w:cs="Times New Roman"/>
      <w:color w:val="800080"/>
      <w:u w:val="single"/>
    </w:rPr>
  </w:style>
  <w:style w:type="paragraph" w:styleId="HTML">
    <w:name w:val="HTML Preformatted"/>
    <w:basedOn w:val="a1"/>
    <w:link w:val="HTML0"/>
    <w:uiPriority w:val="99"/>
    <w:rsid w:val="00912F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912F58"/>
    <w:rPr>
      <w:rFonts w:ascii="Courier New" w:hAnsi="Courier New" w:cs="Courier New"/>
      <w:lang w:val="ru-RU" w:eastAsia="ru-RU" w:bidi="ar-SA"/>
    </w:rPr>
  </w:style>
  <w:style w:type="paragraph" w:customStyle="1" w:styleId="aff4">
    <w:name w:val="Таня"/>
    <w:basedOn w:val="a1"/>
    <w:uiPriority w:val="99"/>
    <w:rsid w:val="00912F58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6">
    <w:name w:val="заголовок 2"/>
    <w:basedOn w:val="a1"/>
    <w:next w:val="a1"/>
    <w:uiPriority w:val="99"/>
    <w:rsid w:val="00912F58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912F58"/>
    <w:rPr>
      <w:rFonts w:cs="Times New Roman"/>
    </w:rPr>
  </w:style>
  <w:style w:type="paragraph" w:customStyle="1" w:styleId="17">
    <w:name w:val="заголовок 1"/>
    <w:basedOn w:val="a1"/>
    <w:next w:val="a1"/>
    <w:uiPriority w:val="99"/>
    <w:rsid w:val="00912F58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6">
    <w:name w:val="заголовок 3"/>
    <w:basedOn w:val="a1"/>
    <w:next w:val="a1"/>
    <w:uiPriority w:val="99"/>
    <w:rsid w:val="00912F58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1"/>
    <w:next w:val="a1"/>
    <w:uiPriority w:val="99"/>
    <w:rsid w:val="00912F58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1"/>
    <w:next w:val="a1"/>
    <w:uiPriority w:val="99"/>
    <w:rsid w:val="00912F58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5">
    <w:name w:val="Основной шрифт"/>
    <w:uiPriority w:val="99"/>
    <w:rsid w:val="00912F58"/>
  </w:style>
  <w:style w:type="character" w:customStyle="1" w:styleId="MTEquationSection">
    <w:name w:val="MTEquationSection"/>
    <w:uiPriority w:val="99"/>
    <w:rsid w:val="00912F58"/>
    <w:rPr>
      <w:rFonts w:cs="Times New Roman"/>
      <w:vanish/>
      <w:color w:val="FF0000"/>
    </w:rPr>
  </w:style>
  <w:style w:type="paragraph" w:customStyle="1" w:styleId="h6">
    <w:name w:val="h6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912F58"/>
    <w:rPr>
      <w:rFonts w:cs="Times New Roman"/>
    </w:rPr>
  </w:style>
  <w:style w:type="paragraph" w:styleId="aff6">
    <w:name w:val="endnote text"/>
    <w:basedOn w:val="a1"/>
    <w:link w:val="aff7"/>
    <w:uiPriority w:val="99"/>
    <w:semiHidden/>
    <w:rsid w:val="00912F58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7">
    <w:name w:val="Текст концевой сноски Знак"/>
    <w:link w:val="aff6"/>
    <w:uiPriority w:val="99"/>
    <w:semiHidden/>
    <w:rPr>
      <w:sz w:val="20"/>
      <w:szCs w:val="20"/>
    </w:rPr>
  </w:style>
  <w:style w:type="character" w:styleId="aff8">
    <w:name w:val="endnote reference"/>
    <w:uiPriority w:val="99"/>
    <w:semiHidden/>
    <w:rsid w:val="00912F58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912F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8">
    <w:name w:val="Обычный1"/>
    <w:uiPriority w:val="99"/>
    <w:rsid w:val="00912F5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ff9">
    <w:name w:val="Харалдс"/>
    <w:basedOn w:val="18"/>
    <w:uiPriority w:val="99"/>
    <w:rsid w:val="00912F58"/>
    <w:pPr>
      <w:framePr w:hSpace="181" w:vSpace="181" w:wrap="auto" w:vAnchor="text" w:hAnchor="text" w:y="1"/>
      <w:ind w:left="360" w:hanging="360"/>
    </w:pPr>
    <w:rPr>
      <w:rFonts w:ascii="Bangkok" w:hAnsi="Bangkok"/>
    </w:rPr>
  </w:style>
  <w:style w:type="character" w:customStyle="1" w:styleId="affa">
    <w:name w:val="номер страницы"/>
    <w:uiPriority w:val="99"/>
    <w:rsid w:val="00912F58"/>
    <w:rPr>
      <w:rFonts w:cs="Times New Roman"/>
    </w:rPr>
  </w:style>
  <w:style w:type="paragraph" w:customStyle="1" w:styleId="affb">
    <w:name w:val="текст сноски"/>
    <w:basedOn w:val="18"/>
    <w:uiPriority w:val="99"/>
    <w:rsid w:val="00912F58"/>
    <w:rPr>
      <w:sz w:val="20"/>
    </w:rPr>
  </w:style>
  <w:style w:type="character" w:customStyle="1" w:styleId="affc">
    <w:name w:val="знак сноски"/>
    <w:uiPriority w:val="99"/>
    <w:rsid w:val="00912F58"/>
    <w:rPr>
      <w:rFonts w:cs="Times New Roman"/>
      <w:vertAlign w:val="superscript"/>
    </w:rPr>
  </w:style>
  <w:style w:type="character" w:customStyle="1" w:styleId="affd">
    <w:name w:val="знак примечания"/>
    <w:uiPriority w:val="99"/>
    <w:rsid w:val="00912F58"/>
    <w:rPr>
      <w:rFonts w:cs="Times New Roman"/>
      <w:sz w:val="16"/>
    </w:rPr>
  </w:style>
  <w:style w:type="paragraph" w:customStyle="1" w:styleId="affe">
    <w:name w:val="текст примечания"/>
    <w:basedOn w:val="18"/>
    <w:uiPriority w:val="99"/>
    <w:rsid w:val="00912F58"/>
    <w:rPr>
      <w:sz w:val="20"/>
    </w:rPr>
  </w:style>
  <w:style w:type="paragraph" w:styleId="a0">
    <w:name w:val="List Bullet"/>
    <w:basedOn w:val="18"/>
    <w:uiPriority w:val="99"/>
    <w:rsid w:val="00912F58"/>
    <w:pPr>
      <w:numPr>
        <w:numId w:val="6"/>
      </w:numPr>
      <w:ind w:left="360" w:hanging="360"/>
    </w:pPr>
  </w:style>
  <w:style w:type="paragraph" w:styleId="afff">
    <w:name w:val="caption"/>
    <w:basedOn w:val="18"/>
    <w:uiPriority w:val="99"/>
    <w:qFormat/>
    <w:rsid w:val="00912F58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8"/>
    <w:uiPriority w:val="99"/>
    <w:rsid w:val="00912F58"/>
    <w:pPr>
      <w:jc w:val="both"/>
    </w:pPr>
    <w:rPr>
      <w:rFonts w:ascii="Times New Roman" w:hAnsi="Times New Roman"/>
      <w:i/>
    </w:rPr>
  </w:style>
  <w:style w:type="paragraph" w:styleId="afff0">
    <w:name w:val="annotation text"/>
    <w:basedOn w:val="a1"/>
    <w:link w:val="afff1"/>
    <w:uiPriority w:val="99"/>
    <w:semiHidden/>
    <w:rsid w:val="00912F58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2">
    <w:name w:val="Revision"/>
    <w:hidden/>
    <w:uiPriority w:val="99"/>
    <w:semiHidden/>
    <w:rsid w:val="00912F58"/>
  </w:style>
  <w:style w:type="character" w:customStyle="1" w:styleId="afff1">
    <w:name w:val="Текст примечания Знак"/>
    <w:link w:val="afff0"/>
    <w:uiPriority w:val="99"/>
    <w:semiHidden/>
    <w:locked/>
    <w:rsid w:val="00912F58"/>
    <w:rPr>
      <w:rFonts w:cs="Times New Roman"/>
      <w:lang w:val="ru-RU" w:eastAsia="ru-RU" w:bidi="ar-SA"/>
    </w:rPr>
  </w:style>
  <w:style w:type="paragraph" w:styleId="afff3">
    <w:name w:val="Body Text First Indent"/>
    <w:basedOn w:val="af"/>
    <w:link w:val="afff4"/>
    <w:uiPriority w:val="99"/>
    <w:rsid w:val="00912F58"/>
    <w:pPr>
      <w:spacing w:after="120"/>
      <w:ind w:firstLine="210"/>
    </w:pPr>
    <w:rPr>
      <w:sz w:val="24"/>
      <w:szCs w:val="24"/>
    </w:rPr>
  </w:style>
  <w:style w:type="character" w:customStyle="1" w:styleId="afff4">
    <w:name w:val="Красная строка Знак"/>
    <w:link w:val="afff3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7">
    <w:name w:val="List 2"/>
    <w:basedOn w:val="a1"/>
    <w:uiPriority w:val="99"/>
    <w:rsid w:val="00912F58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8">
    <w:name w:val="List Bullet 2"/>
    <w:basedOn w:val="a1"/>
    <w:uiPriority w:val="99"/>
    <w:rsid w:val="00912F58"/>
    <w:pPr>
      <w:widowControl/>
      <w:tabs>
        <w:tab w:val="num" w:pos="643"/>
        <w:tab w:val="num" w:pos="720"/>
      </w:tabs>
      <w:snapToGrid/>
      <w:spacing w:line="240" w:lineRule="auto"/>
      <w:ind w:left="643" w:hanging="360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912F58"/>
    <w:rPr>
      <w:rFonts w:cs="Times New Roman"/>
    </w:rPr>
  </w:style>
  <w:style w:type="paragraph" w:customStyle="1" w:styleId="author">
    <w:name w:val="author"/>
    <w:basedOn w:val="a1"/>
    <w:uiPriority w:val="99"/>
    <w:rsid w:val="00912F58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1"/>
    <w:uiPriority w:val="99"/>
    <w:rsid w:val="00912F58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1"/>
    <w:uiPriority w:val="99"/>
    <w:rsid w:val="00912F58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1"/>
    <w:uiPriority w:val="99"/>
    <w:rsid w:val="00912F58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1"/>
    <w:uiPriority w:val="99"/>
    <w:rsid w:val="00912F58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1"/>
    <w:uiPriority w:val="99"/>
    <w:rsid w:val="00912F58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1"/>
    <w:uiPriority w:val="99"/>
    <w:rsid w:val="00912F58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912F58"/>
    <w:rPr>
      <w:rFonts w:cs="Times New Roman"/>
    </w:rPr>
  </w:style>
  <w:style w:type="paragraph" w:customStyle="1" w:styleId="name">
    <w:name w:val="name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3">
    <w:name w:val="Без интервала Знак1"/>
    <w:link w:val="af3"/>
    <w:uiPriority w:val="99"/>
    <w:locked/>
    <w:rsid w:val="00912F58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912F58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5">
    <w:name w:val="TOC Heading"/>
    <w:basedOn w:val="1"/>
    <w:next w:val="a1"/>
    <w:uiPriority w:val="99"/>
    <w:qFormat/>
    <w:rsid w:val="00912F58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7">
    <w:name w:val="toc 3"/>
    <w:basedOn w:val="a1"/>
    <w:next w:val="a1"/>
    <w:autoRedefine/>
    <w:uiPriority w:val="99"/>
    <w:semiHidden/>
    <w:rsid w:val="00912F58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912F58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912F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12F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1"/>
    <w:uiPriority w:val="99"/>
    <w:rsid w:val="00912F58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1"/>
    <w:uiPriority w:val="99"/>
    <w:rsid w:val="00912F58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912F58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912F58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1"/>
    <w:uiPriority w:val="99"/>
    <w:rsid w:val="00912F58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912F58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912F58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912F58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912F58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1"/>
    <w:uiPriority w:val="99"/>
    <w:rsid w:val="00912F58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912F58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1"/>
    <w:uiPriority w:val="99"/>
    <w:rsid w:val="00912F58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912F58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1"/>
    <w:uiPriority w:val="99"/>
    <w:rsid w:val="00912F58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912F58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1"/>
    <w:uiPriority w:val="99"/>
    <w:rsid w:val="00912F58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912F5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912F58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912F5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1"/>
    <w:uiPriority w:val="99"/>
    <w:rsid w:val="00912F58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912F58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912F5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912F5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912F58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912F58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912F58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1"/>
    <w:uiPriority w:val="99"/>
    <w:rsid w:val="00912F58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912F58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912F58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912F58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912F58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912F58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912F58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912F58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1"/>
    <w:uiPriority w:val="99"/>
    <w:rsid w:val="00912F58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1"/>
    <w:uiPriority w:val="99"/>
    <w:rsid w:val="00912F58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912F58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1"/>
    <w:uiPriority w:val="99"/>
    <w:rsid w:val="00912F58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912F58"/>
    <w:rPr>
      <w:rFonts w:cs="Times New Roman"/>
    </w:rPr>
  </w:style>
  <w:style w:type="paragraph" w:customStyle="1" w:styleId="book">
    <w:name w:val="”book”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912F58"/>
    <w:rPr>
      <w:rFonts w:cs="Times New Roman"/>
    </w:rPr>
  </w:style>
  <w:style w:type="paragraph" w:customStyle="1" w:styleId="Web">
    <w:name w:val="Обычный (Web)"/>
    <w:basedOn w:val="a1"/>
    <w:uiPriority w:val="99"/>
    <w:rsid w:val="00912F58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z w:val="20"/>
    </w:rPr>
  </w:style>
  <w:style w:type="character" w:customStyle="1" w:styleId="Heading1Char">
    <w:name w:val="Heading 1 Char"/>
    <w:uiPriority w:val="99"/>
    <w:locked/>
    <w:rsid w:val="00912F58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912F58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912F58"/>
    <w:rPr>
      <w:rFonts w:cs="Times New Roman"/>
    </w:rPr>
  </w:style>
  <w:style w:type="character" w:customStyle="1" w:styleId="ff2fc0fs10">
    <w:name w:val="ff2 fc0 fs10"/>
    <w:uiPriority w:val="99"/>
    <w:rsid w:val="00912F58"/>
    <w:rPr>
      <w:rFonts w:cs="Times New Roman"/>
    </w:rPr>
  </w:style>
  <w:style w:type="paragraph" w:styleId="afff6">
    <w:name w:val="table of authorities"/>
    <w:basedOn w:val="a1"/>
    <w:next w:val="a1"/>
    <w:uiPriority w:val="99"/>
    <w:semiHidden/>
    <w:rsid w:val="00912F58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7">
    <w:name w:val="toa heading"/>
    <w:basedOn w:val="a1"/>
    <w:next w:val="a1"/>
    <w:uiPriority w:val="99"/>
    <w:semiHidden/>
    <w:rsid w:val="00912F58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8">
    <w:name w:val="Block Text"/>
    <w:basedOn w:val="a1"/>
    <w:uiPriority w:val="99"/>
    <w:rsid w:val="00912F58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9">
    <w:name w:val="Заголовок 1 Знак"/>
    <w:uiPriority w:val="99"/>
    <w:locked/>
    <w:rsid w:val="00912F58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9">
    <w:name w:val="Без интервала Знак"/>
    <w:uiPriority w:val="99"/>
    <w:locked/>
    <w:rsid w:val="00912F58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a">
    <w:name w:val="Текст сноски Знак"/>
    <w:uiPriority w:val="99"/>
    <w:locked/>
    <w:rsid w:val="00912F58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1"/>
    <w:next w:val="a1"/>
    <w:uiPriority w:val="99"/>
    <w:rsid w:val="00912F58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1"/>
    <w:uiPriority w:val="99"/>
    <w:rsid w:val="00912F58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1"/>
    <w:uiPriority w:val="99"/>
    <w:rsid w:val="00912F58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1"/>
    <w:uiPriority w:val="99"/>
    <w:rsid w:val="00912F58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912F58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912F58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b">
    <w:name w:val="Верхний колонтитул Знак"/>
    <w:uiPriority w:val="99"/>
    <w:semiHidden/>
    <w:locked/>
    <w:rsid w:val="00912F58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912F58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1"/>
    <w:next w:val="a1"/>
    <w:autoRedefine/>
    <w:uiPriority w:val="99"/>
    <w:semiHidden/>
    <w:rsid w:val="00912F58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1"/>
    <w:next w:val="a1"/>
    <w:autoRedefine/>
    <w:uiPriority w:val="99"/>
    <w:semiHidden/>
    <w:rsid w:val="00912F58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1"/>
    <w:next w:val="a1"/>
    <w:autoRedefine/>
    <w:uiPriority w:val="99"/>
    <w:semiHidden/>
    <w:rsid w:val="00912F58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1"/>
    <w:next w:val="a1"/>
    <w:autoRedefine/>
    <w:uiPriority w:val="99"/>
    <w:semiHidden/>
    <w:rsid w:val="00912F58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1"/>
    <w:next w:val="a1"/>
    <w:autoRedefine/>
    <w:uiPriority w:val="99"/>
    <w:semiHidden/>
    <w:rsid w:val="00912F58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912F58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1"/>
    <w:uiPriority w:val="99"/>
    <w:rsid w:val="00912F5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11242</Words>
  <Characters>64081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Ценные бумаги – как объекты гражданских прав</vt:lpstr>
    </vt:vector>
  </TitlesOfParts>
  <Company>Home</Company>
  <LinksUpToDate>false</LinksUpToDate>
  <CharactersWithSpaces>75173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Ценные бумаги – как объекты гражданских прав</dc:title>
  <dc:subject/>
  <dc:creator>User</dc:creator>
  <cp:keywords/>
  <dc:description/>
  <cp:lastModifiedBy>admin</cp:lastModifiedBy>
  <cp:revision>2</cp:revision>
  <dcterms:created xsi:type="dcterms:W3CDTF">2014-02-20T06:55:00Z</dcterms:created>
  <dcterms:modified xsi:type="dcterms:W3CDTF">2014-02-20T06:55:00Z</dcterms:modified>
</cp:coreProperties>
</file>