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39D" w:rsidRDefault="00855495">
      <w:pPr>
        <w:pStyle w:val="1"/>
        <w:jc w:val="center"/>
      </w:pPr>
      <w:r>
        <w:t>Сравнительный анализ и оценка инновационного потенциала регионов ЦФО</w:t>
      </w:r>
    </w:p>
    <w:p w:rsidR="0040139D" w:rsidRPr="00855495" w:rsidRDefault="00855495">
      <w:pPr>
        <w:pStyle w:val="a3"/>
      </w:pPr>
      <w:r>
        <w:t> </w:t>
      </w:r>
    </w:p>
    <w:p w:rsidR="0040139D" w:rsidRDefault="00855495">
      <w:pPr>
        <w:pStyle w:val="a3"/>
      </w:pPr>
      <w:r>
        <w:t>Д.И. Галахов, студент, Юго-Западный государственный университет (Курск)</w:t>
      </w:r>
    </w:p>
    <w:p w:rsidR="0040139D" w:rsidRDefault="00855495">
      <w:pPr>
        <w:pStyle w:val="a3"/>
      </w:pPr>
      <w:r>
        <w:t>Отличительной чертой инновационного развития России в сравнении с большинством развитых стран является высокий уровень региональной дифференциации. Такое неравенство определяется специфическими особенностями каждого региона, географическим положением, а также различным инновационным потенциалом.</w:t>
      </w:r>
    </w:p>
    <w:p w:rsidR="0040139D" w:rsidRDefault="00855495">
      <w:pPr>
        <w:pStyle w:val="a3"/>
      </w:pPr>
      <w:r>
        <w:t>В современной экономической литературе приводятся несколько трактовок категории «инновационный потенциал». Часть экономистов определяет инновационный потенциал как совокупность ряда инновационных ресурсов (научнотехнических, финансовых, интеллектуальных и материальных), обеспечивающих возможность возникновения и развития инновационной деятельности, создания новейших технологий, продуктов и услуг. Такую методику оценки можно назвать ресурсной. Другие ученые рассматривают инновационный потенциал с точки зрения получаемого результата инновационной деятельности или, по- другому, реального продукта или технологии, полученного в результате инновационного процесса. В данной трактовке инновационный потенциал представляет собой возможную инновационную продукцию. Отдельно можно выделить точку зрения, предложенную некоторыми экономистами, согласно которой инновационный потенциал приравнивается к интеллектуально-творческому или научнотехническому потенциалам. Данный подход во многом не обоснован, так как инновационную деятельность нельзя рассматривать только в пределах указанных потенциалов.</w:t>
      </w:r>
    </w:p>
    <w:p w:rsidR="0040139D" w:rsidRDefault="00855495">
      <w:pPr>
        <w:pStyle w:val="a3"/>
      </w:pPr>
      <w:r>
        <w:t>В настоящее время уровень инновационного потенциала - ключевой критерий определения потенциальных возможностей социально-экономического роста региона. Поэтому вопрос формирования эффективной методики оценки регионального инновационного потенциала становится все более актуальным. В течение двух последних десятилетий зарубежными и отечественными экономистами было предложено значительное количество подобных методик для различных экономических субъектов: страна, регион, отрасль, корпорация, предприятие и т.д.</w:t>
      </w:r>
    </w:p>
    <w:p w:rsidR="0040139D" w:rsidRDefault="00855495">
      <w:pPr>
        <w:pStyle w:val="a3"/>
      </w:pPr>
      <w:r>
        <w:t>Поиском оптимальной системы оценки инновационного потенциала занимаются множество международных научных организаций и экономических школ: Организация экономического сотрудничества и развития (ОЭСР), Европейская комиссия по инновациям, исследовательские институты Всемирного банка и Всемирного экономического форума и другие. Однако разрабатываемые методики каждой из этих организаций создаются для решения определенных задач для каждой из сторон, принимающей участие в инновационном развитии (частные инвесторы, государственные и муниципальные учреждения, научные и общественные школы и т.д.).</w:t>
      </w:r>
    </w:p>
    <w:p w:rsidR="0040139D" w:rsidRDefault="00855495">
      <w:pPr>
        <w:pStyle w:val="a3"/>
      </w:pPr>
      <w:r>
        <w:t>В данной статье будет предложена оригинальная методика оценки инновационного потенциала, основывающаяся на вычислении интегрального показателя на базе совокупности пяти основных критериев:организационного,кадрового,</w:t>
      </w:r>
    </w:p>
    <w:p w:rsidR="0040139D" w:rsidRDefault="00855495">
      <w:pPr>
        <w:pStyle w:val="a3"/>
      </w:pPr>
      <w:r>
        <w:t>финансово-экономического, производственного и информационно-коммуникационного. Полученный интегральный показатель позволяет не только оценить инновационную деятельность и проанализировать инновационный потенциал регионов, но и выявить возможности роста региональной экономики, а также определить ключевые направления государственной политики в области поддержки и активизации инновационного развития регионов.</w:t>
      </w:r>
    </w:p>
    <w:p w:rsidR="0040139D" w:rsidRDefault="00855495">
      <w:pPr>
        <w:pStyle w:val="a3"/>
      </w:pPr>
      <w:r>
        <w:t>Сформированные в процессе исследования 5 групп критериев, используемых для оценки инновационного потенциала регионов Центрального федерального округа, представлены в таблице 1.</w:t>
      </w:r>
    </w:p>
    <w:p w:rsidR="0040139D" w:rsidRDefault="00855495">
      <w:pPr>
        <w:pStyle w:val="a3"/>
      </w:pPr>
      <w:r>
        <w:t>Совокупность приведенных в таблице критериев позволяет проанализировать сложившуюся экономическую ситуацию в регионах, оценить величину инновационного потенциала, а также выявить тенденции инновационного развития.</w:t>
      </w:r>
    </w:p>
    <w:p w:rsidR="0040139D" w:rsidRDefault="00855495">
      <w:pPr>
        <w:pStyle w:val="a3"/>
      </w:pPr>
      <w:r>
        <w:t>Для анализа был выбран Центральный федеральный округ, характеризующийся как эпицентр инновационного развития страны в целом и ряда высокотехнологичных отраслей. Лидирующее положение в округе занимают энергетические, обрабатывающие отрасли, производство коммуникационного оборудования, электронная, фармацевтическая и пищевая промышленности.</w:t>
      </w:r>
    </w:p>
    <w:p w:rsidR="0040139D" w:rsidRDefault="00855495">
      <w:pPr>
        <w:pStyle w:val="a3"/>
      </w:pPr>
      <w:r>
        <w:t>Исследование проводится за период 2008-2011 гг. При этом каждому из критериев присваивается условное обозначение: O, H1, Z1, V и так далее. Затем производится расчет значения каждого из критериев и суммирование критериев, относящихся к одной группе.</w:t>
      </w:r>
    </w:p>
    <w:p w:rsidR="0040139D" w:rsidRDefault="00855495">
      <w:pPr>
        <w:pStyle w:val="a3"/>
      </w:pPr>
      <w:r>
        <w:t>H=H1+H2,(1)</w:t>
      </w:r>
    </w:p>
    <w:p w:rsidR="0040139D" w:rsidRDefault="00855495">
      <w:pPr>
        <w:pStyle w:val="a3"/>
      </w:pPr>
      <w:r>
        <w:t>где Н - кадровый потенциал региона.</w:t>
      </w:r>
    </w:p>
    <w:p w:rsidR="0040139D" w:rsidRDefault="00855495">
      <w:pPr>
        <w:pStyle w:val="a3"/>
      </w:pPr>
      <w:r>
        <w:t>Таблица 1</w:t>
      </w:r>
    </w:p>
    <w:p w:rsidR="0040139D" w:rsidRDefault="00855495">
      <w:pPr>
        <w:pStyle w:val="a3"/>
      </w:pPr>
      <w:r>
        <w:t>Группировка критериев используемых для оценки инновационного потенциала</w:t>
      </w:r>
    </w:p>
    <w:p w:rsidR="0040139D" w:rsidRDefault="00855495">
      <w:pPr>
        <w:pStyle w:val="a3"/>
      </w:pPr>
      <w:r>
        <w:t>регионов ЦФО</w:t>
      </w:r>
    </w:p>
    <w:p w:rsidR="0040139D" w:rsidRDefault="00855495">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tblGrid>
      <w:tr w:rsidR="0040139D">
        <w:trPr>
          <w:trHeight w:val="570"/>
          <w:tblCellSpacing w:w="0" w:type="dxa"/>
        </w:trPr>
        <w:tc>
          <w:tcPr>
            <w:tcW w:w="0" w:type="auto"/>
            <w:vAlign w:val="center"/>
            <w:hideMark/>
          </w:tcPr>
          <w:p w:rsidR="0040139D" w:rsidRDefault="00855495">
            <w:r>
              <w:t>Г руппа</w:t>
            </w:r>
          </w:p>
        </w:tc>
        <w:tc>
          <w:tcPr>
            <w:tcW w:w="0" w:type="auto"/>
            <w:vAlign w:val="center"/>
            <w:hideMark/>
          </w:tcPr>
          <w:p w:rsidR="0040139D" w:rsidRDefault="00855495">
            <w:r>
              <w:t>Критерий</w:t>
            </w:r>
          </w:p>
        </w:tc>
        <w:tc>
          <w:tcPr>
            <w:tcW w:w="0" w:type="auto"/>
            <w:vAlign w:val="center"/>
            <w:hideMark/>
          </w:tcPr>
          <w:p w:rsidR="0040139D" w:rsidRPr="00855495" w:rsidRDefault="00855495">
            <w:pPr>
              <w:pStyle w:val="a3"/>
            </w:pPr>
            <w:r w:rsidRPr="00855495">
              <w:t>Условное</w:t>
            </w:r>
          </w:p>
          <w:p w:rsidR="0040139D" w:rsidRPr="00855495" w:rsidRDefault="00855495">
            <w:pPr>
              <w:pStyle w:val="a3"/>
            </w:pPr>
            <w:r w:rsidRPr="00855495">
              <w:t>обозначение</w:t>
            </w:r>
          </w:p>
        </w:tc>
      </w:tr>
      <w:tr w:rsidR="0040139D">
        <w:trPr>
          <w:trHeight w:val="840"/>
          <w:tblCellSpacing w:w="0" w:type="dxa"/>
        </w:trPr>
        <w:tc>
          <w:tcPr>
            <w:tcW w:w="0" w:type="auto"/>
            <w:vAlign w:val="center"/>
            <w:hideMark/>
          </w:tcPr>
          <w:p w:rsidR="0040139D" w:rsidRPr="00855495" w:rsidRDefault="00855495">
            <w:pPr>
              <w:pStyle w:val="a3"/>
            </w:pPr>
            <w:r w:rsidRPr="00855495">
              <w:t>Организационные</w:t>
            </w:r>
          </w:p>
          <w:p w:rsidR="0040139D" w:rsidRPr="00855495" w:rsidRDefault="00855495">
            <w:pPr>
              <w:pStyle w:val="a3"/>
            </w:pPr>
            <w:r w:rsidRPr="00855495">
              <w:t>(О)</w:t>
            </w:r>
          </w:p>
        </w:tc>
        <w:tc>
          <w:tcPr>
            <w:tcW w:w="0" w:type="auto"/>
            <w:vAlign w:val="center"/>
            <w:hideMark/>
          </w:tcPr>
          <w:p w:rsidR="0040139D" w:rsidRDefault="00855495">
            <w:r>
              <w:t>Доля организаций, выполнявших научные исследования и разработки в общем числе организаций региона, в процентах</w:t>
            </w:r>
          </w:p>
        </w:tc>
        <w:tc>
          <w:tcPr>
            <w:tcW w:w="0" w:type="auto"/>
            <w:vAlign w:val="center"/>
            <w:hideMark/>
          </w:tcPr>
          <w:p w:rsidR="0040139D" w:rsidRDefault="00855495">
            <w:r>
              <w:t>О</w:t>
            </w:r>
          </w:p>
        </w:tc>
      </w:tr>
      <w:tr w:rsidR="0040139D">
        <w:trPr>
          <w:trHeight w:val="1110"/>
          <w:tblCellSpacing w:w="0" w:type="dxa"/>
        </w:trPr>
        <w:tc>
          <w:tcPr>
            <w:tcW w:w="0" w:type="auto"/>
            <w:vMerge w:val="restart"/>
            <w:vAlign w:val="center"/>
            <w:hideMark/>
          </w:tcPr>
          <w:p w:rsidR="0040139D" w:rsidRPr="00855495" w:rsidRDefault="00855495">
            <w:pPr>
              <w:pStyle w:val="a3"/>
            </w:pPr>
            <w:r w:rsidRPr="00855495">
              <w:t>Кадровые</w:t>
            </w:r>
          </w:p>
          <w:p w:rsidR="0040139D" w:rsidRPr="00855495" w:rsidRDefault="00855495">
            <w:pPr>
              <w:pStyle w:val="a3"/>
            </w:pPr>
            <w:r w:rsidRPr="00855495">
              <w:t>(К)</w:t>
            </w:r>
          </w:p>
        </w:tc>
        <w:tc>
          <w:tcPr>
            <w:tcW w:w="0" w:type="auto"/>
            <w:vAlign w:val="center"/>
            <w:hideMark/>
          </w:tcPr>
          <w:p w:rsidR="0040139D" w:rsidRDefault="00855495">
            <w:r>
              <w:t>Доля численности персонала, занятого научными исследованиями и разработками в общем числе экономически активного населения региона, в процентах</w:t>
            </w:r>
          </w:p>
        </w:tc>
        <w:tc>
          <w:tcPr>
            <w:tcW w:w="0" w:type="auto"/>
            <w:vAlign w:val="center"/>
            <w:hideMark/>
          </w:tcPr>
          <w:p w:rsidR="0040139D" w:rsidRDefault="00855495">
            <w:r>
              <w:t>H1</w:t>
            </w:r>
          </w:p>
        </w:tc>
      </w:tr>
      <w:tr w:rsidR="0040139D">
        <w:trPr>
          <w:trHeight w:val="1110"/>
          <w:tblCellSpacing w:w="0" w:type="dxa"/>
        </w:trPr>
        <w:tc>
          <w:tcPr>
            <w:tcW w:w="0" w:type="auto"/>
            <w:vMerge/>
            <w:vAlign w:val="center"/>
            <w:hideMark/>
          </w:tcPr>
          <w:p w:rsidR="0040139D" w:rsidRPr="00855495" w:rsidRDefault="0040139D"/>
        </w:tc>
        <w:tc>
          <w:tcPr>
            <w:tcW w:w="0" w:type="auto"/>
            <w:vAlign w:val="center"/>
            <w:hideMark/>
          </w:tcPr>
          <w:p w:rsidR="0040139D" w:rsidRDefault="00855495">
            <w:r>
              <w:t>Отношение общего количества докторов наук, докторантов, кандидатов, аспирантов к численности экономически активного населения региона, в процентах</w:t>
            </w:r>
          </w:p>
        </w:tc>
        <w:tc>
          <w:tcPr>
            <w:tcW w:w="0" w:type="auto"/>
            <w:vAlign w:val="center"/>
            <w:hideMark/>
          </w:tcPr>
          <w:p w:rsidR="0040139D" w:rsidRDefault="00855495">
            <w:r>
              <w:t>H2</w:t>
            </w:r>
          </w:p>
        </w:tc>
      </w:tr>
      <w:tr w:rsidR="0040139D">
        <w:trPr>
          <w:trHeight w:val="555"/>
          <w:tblCellSpacing w:w="0" w:type="dxa"/>
        </w:trPr>
        <w:tc>
          <w:tcPr>
            <w:tcW w:w="0" w:type="auto"/>
            <w:vMerge w:val="restart"/>
            <w:vAlign w:val="center"/>
            <w:hideMark/>
          </w:tcPr>
          <w:p w:rsidR="0040139D" w:rsidRPr="00855495" w:rsidRDefault="00855495">
            <w:pPr>
              <w:pStyle w:val="a3"/>
            </w:pPr>
            <w:r w:rsidRPr="00855495">
              <w:t>Финансово</w:t>
            </w:r>
          </w:p>
          <w:p w:rsidR="0040139D" w:rsidRPr="00855495" w:rsidRDefault="00855495">
            <w:pPr>
              <w:pStyle w:val="a3"/>
            </w:pPr>
            <w:r w:rsidRPr="00855495">
              <w:t>Экономические</w:t>
            </w:r>
          </w:p>
          <w:p w:rsidR="0040139D" w:rsidRPr="00855495" w:rsidRDefault="00855495">
            <w:pPr>
              <w:pStyle w:val="a3"/>
            </w:pPr>
            <w:r w:rsidRPr="00855495">
              <w:t>(ФЭ)</w:t>
            </w:r>
          </w:p>
        </w:tc>
        <w:tc>
          <w:tcPr>
            <w:tcW w:w="0" w:type="auto"/>
            <w:vAlign w:val="center"/>
            <w:hideMark/>
          </w:tcPr>
          <w:p w:rsidR="0040139D" w:rsidRDefault="00855495">
            <w:r>
              <w:t>Отношение внутренних затрат на научные исследования и разработки к ВРП, в процентах</w:t>
            </w:r>
          </w:p>
        </w:tc>
        <w:tc>
          <w:tcPr>
            <w:tcW w:w="0" w:type="auto"/>
            <w:vAlign w:val="center"/>
            <w:hideMark/>
          </w:tcPr>
          <w:p w:rsidR="0040139D" w:rsidRDefault="00855495">
            <w:r>
              <w:t>Z1</w:t>
            </w:r>
          </w:p>
        </w:tc>
      </w:tr>
      <w:tr w:rsidR="0040139D">
        <w:trPr>
          <w:trHeight w:val="570"/>
          <w:tblCellSpacing w:w="0" w:type="dxa"/>
        </w:trPr>
        <w:tc>
          <w:tcPr>
            <w:tcW w:w="0" w:type="auto"/>
            <w:vMerge/>
            <w:vAlign w:val="center"/>
            <w:hideMark/>
          </w:tcPr>
          <w:p w:rsidR="0040139D" w:rsidRPr="00855495" w:rsidRDefault="0040139D"/>
        </w:tc>
        <w:tc>
          <w:tcPr>
            <w:tcW w:w="0" w:type="auto"/>
            <w:vAlign w:val="center"/>
            <w:hideMark/>
          </w:tcPr>
          <w:p w:rsidR="0040139D" w:rsidRDefault="00855495">
            <w:r>
              <w:t>Доля затрат на технологические инновации в ВРП, в процентах</w:t>
            </w:r>
          </w:p>
        </w:tc>
        <w:tc>
          <w:tcPr>
            <w:tcW w:w="0" w:type="auto"/>
            <w:vAlign w:val="center"/>
            <w:hideMark/>
          </w:tcPr>
          <w:p w:rsidR="0040139D" w:rsidRDefault="00855495">
            <w:r>
              <w:t>Z2</w:t>
            </w:r>
          </w:p>
        </w:tc>
      </w:tr>
      <w:tr w:rsidR="0040139D">
        <w:trPr>
          <w:trHeight w:val="840"/>
          <w:tblCellSpacing w:w="0" w:type="dxa"/>
        </w:trPr>
        <w:tc>
          <w:tcPr>
            <w:tcW w:w="0" w:type="auto"/>
            <w:vAlign w:val="center"/>
            <w:hideMark/>
          </w:tcPr>
          <w:p w:rsidR="0040139D" w:rsidRPr="00855495" w:rsidRDefault="00855495">
            <w:pPr>
              <w:pStyle w:val="a3"/>
            </w:pPr>
            <w:r w:rsidRPr="00855495">
              <w:t>Производственные</w:t>
            </w:r>
          </w:p>
          <w:p w:rsidR="0040139D" w:rsidRPr="00855495" w:rsidRDefault="00855495">
            <w:pPr>
              <w:pStyle w:val="a3"/>
            </w:pPr>
            <w:r w:rsidRPr="00855495">
              <w:t>(П)</w:t>
            </w:r>
          </w:p>
        </w:tc>
        <w:tc>
          <w:tcPr>
            <w:tcW w:w="0" w:type="auto"/>
            <w:vAlign w:val="center"/>
            <w:hideMark/>
          </w:tcPr>
          <w:p w:rsidR="0040139D" w:rsidRDefault="00855495">
            <w:r>
              <w:t>Объем инновационных товаров, работ, услуг в процентах от общего объема отгруженных товаров, выполненных работ, услуг в регионе</w:t>
            </w:r>
          </w:p>
        </w:tc>
        <w:tc>
          <w:tcPr>
            <w:tcW w:w="0" w:type="auto"/>
            <w:vAlign w:val="center"/>
            <w:hideMark/>
          </w:tcPr>
          <w:p w:rsidR="0040139D" w:rsidRDefault="00855495">
            <w:r>
              <w:t>V</w:t>
            </w:r>
          </w:p>
        </w:tc>
      </w:tr>
      <w:tr w:rsidR="0040139D">
        <w:trPr>
          <w:trHeight w:val="840"/>
          <w:tblCellSpacing w:w="0" w:type="dxa"/>
        </w:trPr>
        <w:tc>
          <w:tcPr>
            <w:tcW w:w="0" w:type="auto"/>
            <w:vMerge w:val="restart"/>
            <w:vAlign w:val="center"/>
            <w:hideMark/>
          </w:tcPr>
          <w:p w:rsidR="0040139D" w:rsidRPr="00855495" w:rsidRDefault="00855495">
            <w:pPr>
              <w:pStyle w:val="a3"/>
            </w:pPr>
            <w:r w:rsidRPr="00855495">
              <w:t>Информационно</w:t>
            </w:r>
          </w:p>
          <w:p w:rsidR="0040139D" w:rsidRPr="00855495" w:rsidRDefault="00855495">
            <w:pPr>
              <w:pStyle w:val="a3"/>
            </w:pPr>
            <w:r w:rsidRPr="00855495">
              <w:t>коммуникационные</w:t>
            </w:r>
          </w:p>
          <w:p w:rsidR="0040139D" w:rsidRPr="00855495" w:rsidRDefault="00855495">
            <w:pPr>
              <w:pStyle w:val="a3"/>
            </w:pPr>
            <w:r w:rsidRPr="00855495">
              <w:t>(ИК)</w:t>
            </w:r>
          </w:p>
        </w:tc>
        <w:tc>
          <w:tcPr>
            <w:tcW w:w="0" w:type="auto"/>
            <w:vAlign w:val="center"/>
            <w:hideMark/>
          </w:tcPr>
          <w:p w:rsidR="0040139D" w:rsidRDefault="00855495">
            <w:r>
              <w:t>Удельный вес организаций, использующих Интернет от общего числа исследуемых организаций в регионе</w:t>
            </w:r>
          </w:p>
        </w:tc>
        <w:tc>
          <w:tcPr>
            <w:tcW w:w="0" w:type="auto"/>
            <w:vAlign w:val="center"/>
            <w:hideMark/>
          </w:tcPr>
          <w:p w:rsidR="0040139D" w:rsidRDefault="00855495">
            <w:r>
              <w:t>K1</w:t>
            </w:r>
          </w:p>
        </w:tc>
      </w:tr>
      <w:tr w:rsidR="0040139D">
        <w:trPr>
          <w:trHeight w:val="840"/>
          <w:tblCellSpacing w:w="0" w:type="dxa"/>
        </w:trPr>
        <w:tc>
          <w:tcPr>
            <w:tcW w:w="0" w:type="auto"/>
            <w:vMerge/>
            <w:vAlign w:val="center"/>
            <w:hideMark/>
          </w:tcPr>
          <w:p w:rsidR="0040139D" w:rsidRPr="00855495" w:rsidRDefault="0040139D"/>
        </w:tc>
        <w:tc>
          <w:tcPr>
            <w:tcW w:w="0" w:type="auto"/>
            <w:vAlign w:val="center"/>
            <w:hideMark/>
          </w:tcPr>
          <w:p w:rsidR="0040139D" w:rsidRDefault="00855495">
            <w:r>
              <w:t>Удельный вес организаций, имеющих веб-сайт от общего числа исследуемых организаций в регионе</w:t>
            </w:r>
          </w:p>
        </w:tc>
        <w:tc>
          <w:tcPr>
            <w:tcW w:w="0" w:type="auto"/>
            <w:vAlign w:val="center"/>
            <w:hideMark/>
          </w:tcPr>
          <w:p w:rsidR="0040139D" w:rsidRDefault="00855495">
            <w:r>
              <w:t>K2</w:t>
            </w:r>
          </w:p>
        </w:tc>
      </w:tr>
      <w:tr w:rsidR="0040139D">
        <w:trPr>
          <w:trHeight w:val="555"/>
          <w:tblCellSpacing w:w="0" w:type="dxa"/>
        </w:trPr>
        <w:tc>
          <w:tcPr>
            <w:tcW w:w="0" w:type="auto"/>
            <w:vMerge/>
            <w:vAlign w:val="center"/>
            <w:hideMark/>
          </w:tcPr>
          <w:p w:rsidR="0040139D" w:rsidRPr="00855495" w:rsidRDefault="0040139D"/>
        </w:tc>
        <w:tc>
          <w:tcPr>
            <w:tcW w:w="0" w:type="auto"/>
            <w:vAlign w:val="center"/>
            <w:hideMark/>
          </w:tcPr>
          <w:p w:rsidR="0040139D" w:rsidRDefault="00855495">
            <w:r>
              <w:t>Доля числа компьютеров на 100 человек, работающих в исследуемых организациях в регионе</w:t>
            </w:r>
          </w:p>
        </w:tc>
        <w:tc>
          <w:tcPr>
            <w:tcW w:w="0" w:type="auto"/>
            <w:vAlign w:val="center"/>
            <w:hideMark/>
          </w:tcPr>
          <w:p w:rsidR="0040139D" w:rsidRDefault="00855495">
            <w:r>
              <w:t>K3</w:t>
            </w:r>
          </w:p>
        </w:tc>
      </w:tr>
      <w:tr w:rsidR="0040139D">
        <w:trPr>
          <w:trHeight w:val="570"/>
          <w:tblCellSpacing w:w="0" w:type="dxa"/>
        </w:trPr>
        <w:tc>
          <w:tcPr>
            <w:tcW w:w="0" w:type="auto"/>
            <w:vMerge/>
            <w:vAlign w:val="center"/>
            <w:hideMark/>
          </w:tcPr>
          <w:p w:rsidR="0040139D" w:rsidRPr="00855495" w:rsidRDefault="0040139D"/>
        </w:tc>
        <w:tc>
          <w:tcPr>
            <w:tcW w:w="0" w:type="auto"/>
            <w:vAlign w:val="center"/>
            <w:hideMark/>
          </w:tcPr>
          <w:p w:rsidR="0040139D" w:rsidRDefault="00855495">
            <w:r>
              <w:t>Доля затрат на информационно-коммуникационной технологии в ВРП, в процентах</w:t>
            </w:r>
          </w:p>
        </w:tc>
        <w:tc>
          <w:tcPr>
            <w:tcW w:w="0" w:type="auto"/>
            <w:vAlign w:val="center"/>
            <w:hideMark/>
          </w:tcPr>
          <w:p w:rsidR="0040139D" w:rsidRDefault="00855495">
            <w:r>
              <w:t>K4</w:t>
            </w:r>
          </w:p>
        </w:tc>
      </w:tr>
    </w:tbl>
    <w:p w:rsidR="0040139D" w:rsidRPr="00855495" w:rsidRDefault="00855495">
      <w:pPr>
        <w:pStyle w:val="a3"/>
      </w:pPr>
      <w:r>
        <w:t>Z=Z1+Z2,(2)</w:t>
      </w:r>
    </w:p>
    <w:p w:rsidR="0040139D" w:rsidRDefault="00855495">
      <w:pPr>
        <w:pStyle w:val="a3"/>
      </w:pPr>
      <w:r>
        <w:t>где Z - финансово-экономический потенциал региона.</w:t>
      </w:r>
    </w:p>
    <w:p w:rsidR="0040139D" w:rsidRDefault="00855495">
      <w:pPr>
        <w:pStyle w:val="a3"/>
      </w:pPr>
      <w:r>
        <w:t>K=K 1+K2+K3+K4,(3)</w:t>
      </w:r>
    </w:p>
    <w:p w:rsidR="0040139D" w:rsidRDefault="00855495">
      <w:pPr>
        <w:pStyle w:val="a3"/>
      </w:pPr>
      <w:r>
        <w:t>где K - информационно-коммуникационный потенциал региона.</w:t>
      </w:r>
    </w:p>
    <w:p w:rsidR="0040139D" w:rsidRDefault="00855495">
      <w:pPr>
        <w:pStyle w:val="a3"/>
      </w:pPr>
      <w:r>
        <w:t>Для оценки совокупности критериев используется корень пятой степени из произведения всех величин потенциалов.</w:t>
      </w:r>
    </w:p>
    <w:p w:rsidR="0040139D" w:rsidRDefault="00855495">
      <w:pPr>
        <w:pStyle w:val="a3"/>
      </w:pPr>
      <w:r>
        <w:t>I = 5OHZVK ,(4)</w:t>
      </w:r>
    </w:p>
    <w:p w:rsidR="0040139D" w:rsidRDefault="00855495">
      <w:pPr>
        <w:pStyle w:val="a3"/>
      </w:pPr>
      <w:r>
        <w:t>где I - интегральный показатель инновационного потенциала региона.</w:t>
      </w:r>
    </w:p>
    <w:p w:rsidR="0040139D" w:rsidRDefault="00855495">
      <w:pPr>
        <w:pStyle w:val="a3"/>
      </w:pPr>
      <w:r>
        <w:t>Необходимо использовать именно такой подход, так как инновационный потенциал региона представляет собой сложный взаимосвязанный комплекс его составляющих, зависящих друг от друга. Сумма критериев не позволила бы получить обоснованную оценку инновационного потенциала.</w:t>
      </w:r>
    </w:p>
    <w:p w:rsidR="0040139D" w:rsidRDefault="00855495">
      <w:pPr>
        <w:pStyle w:val="a3"/>
      </w:pPr>
      <w:r>
        <w:t>Преимущество предложенного метода заключается в получении интегрального показателя, который максимально охватывает все составляющие инновационного потенциала региона.</w:t>
      </w:r>
    </w:p>
    <w:p w:rsidR="0040139D" w:rsidRDefault="00855495">
      <w:pPr>
        <w:pStyle w:val="a3"/>
      </w:pPr>
      <w:r>
        <w:t>В качестве примера в таблице 2 продемонстрированы полученные значения каждого из критериев в Курской, Воронежской и Московской областях в 2011 году.</w:t>
      </w:r>
    </w:p>
    <w:p w:rsidR="0040139D" w:rsidRDefault="00855495">
      <w:pPr>
        <w:pStyle w:val="a3"/>
      </w:pPr>
      <w:r>
        <w:t>Таблица 2</w:t>
      </w:r>
    </w:p>
    <w:p w:rsidR="0040139D" w:rsidRDefault="00855495">
      <w:pPr>
        <w:pStyle w:val="a3"/>
      </w:pPr>
      <w:r>
        <w:t>Значения критериев инновационного потенциала в Курской, Воронежской и</w:t>
      </w:r>
    </w:p>
    <w:p w:rsidR="0040139D" w:rsidRDefault="00855495">
      <w:pPr>
        <w:pStyle w:val="a3"/>
      </w:pPr>
      <w:r>
        <w:t>Московской областях в 2011 году</w:t>
      </w:r>
    </w:p>
    <w:p w:rsidR="0040139D" w:rsidRDefault="00855495">
      <w:pPr>
        <w:pStyle w:val="a3"/>
      </w:pPr>
      <w:r>
        <w:t> </w:t>
      </w:r>
    </w:p>
    <w:tbl>
      <w:tblPr>
        <w:tblW w:w="0" w:type="auto"/>
        <w:tblCellSpacing w:w="0" w:type="dxa"/>
        <w:tblCellMar>
          <w:left w:w="0" w:type="dxa"/>
          <w:right w:w="0" w:type="dxa"/>
        </w:tblCellMar>
        <w:tblLook w:val="04A0" w:firstRow="1" w:lastRow="0" w:firstColumn="1" w:lastColumn="0" w:noHBand="0" w:noVBand="1"/>
      </w:tblPr>
      <w:tblGrid>
        <w:gridCol w:w="87"/>
        <w:gridCol w:w="87"/>
        <w:gridCol w:w="87"/>
        <w:gridCol w:w="87"/>
        <w:gridCol w:w="87"/>
        <w:gridCol w:w="87"/>
        <w:gridCol w:w="87"/>
        <w:gridCol w:w="87"/>
        <w:gridCol w:w="87"/>
        <w:gridCol w:w="87"/>
        <w:gridCol w:w="90"/>
      </w:tblGrid>
      <w:tr w:rsidR="0040139D">
        <w:trPr>
          <w:trHeight w:val="285"/>
          <w:tblCellSpacing w:w="0" w:type="dxa"/>
        </w:trPr>
        <w:tc>
          <w:tcPr>
            <w:tcW w:w="0" w:type="auto"/>
            <w:vAlign w:val="center"/>
            <w:hideMark/>
          </w:tcPr>
          <w:p w:rsidR="0040139D" w:rsidRDefault="00855495">
            <w:r>
              <w:t>Критерий</w:t>
            </w:r>
          </w:p>
        </w:tc>
        <w:tc>
          <w:tcPr>
            <w:tcW w:w="0" w:type="auto"/>
            <w:vAlign w:val="center"/>
            <w:hideMark/>
          </w:tcPr>
          <w:p w:rsidR="0040139D" w:rsidRDefault="00855495">
            <w:r>
              <w:t>O</w:t>
            </w:r>
          </w:p>
        </w:tc>
        <w:tc>
          <w:tcPr>
            <w:tcW w:w="0" w:type="auto"/>
            <w:vAlign w:val="center"/>
            <w:hideMark/>
          </w:tcPr>
          <w:p w:rsidR="0040139D" w:rsidRDefault="00855495">
            <w:r>
              <w:t>H1</w:t>
            </w:r>
          </w:p>
        </w:tc>
        <w:tc>
          <w:tcPr>
            <w:tcW w:w="0" w:type="auto"/>
            <w:vAlign w:val="center"/>
            <w:hideMark/>
          </w:tcPr>
          <w:p w:rsidR="0040139D" w:rsidRDefault="00855495">
            <w:r>
              <w:t>H2</w:t>
            </w:r>
          </w:p>
        </w:tc>
        <w:tc>
          <w:tcPr>
            <w:tcW w:w="0" w:type="auto"/>
            <w:vAlign w:val="center"/>
            <w:hideMark/>
          </w:tcPr>
          <w:p w:rsidR="0040139D" w:rsidRDefault="00855495">
            <w:r>
              <w:t>Z1</w:t>
            </w:r>
          </w:p>
        </w:tc>
        <w:tc>
          <w:tcPr>
            <w:tcW w:w="0" w:type="auto"/>
            <w:vAlign w:val="center"/>
            <w:hideMark/>
          </w:tcPr>
          <w:p w:rsidR="0040139D" w:rsidRDefault="00855495">
            <w:r>
              <w:t>Z2</w:t>
            </w:r>
          </w:p>
        </w:tc>
        <w:tc>
          <w:tcPr>
            <w:tcW w:w="0" w:type="auto"/>
            <w:vAlign w:val="center"/>
            <w:hideMark/>
          </w:tcPr>
          <w:p w:rsidR="0040139D" w:rsidRDefault="00855495">
            <w:r>
              <w:t>V</w:t>
            </w:r>
          </w:p>
        </w:tc>
        <w:tc>
          <w:tcPr>
            <w:tcW w:w="0" w:type="auto"/>
            <w:vAlign w:val="center"/>
            <w:hideMark/>
          </w:tcPr>
          <w:p w:rsidR="0040139D" w:rsidRDefault="00855495">
            <w:r>
              <w:t>К1</w:t>
            </w:r>
          </w:p>
        </w:tc>
        <w:tc>
          <w:tcPr>
            <w:tcW w:w="0" w:type="auto"/>
            <w:vAlign w:val="center"/>
            <w:hideMark/>
          </w:tcPr>
          <w:p w:rsidR="0040139D" w:rsidRDefault="00855495">
            <w:r>
              <w:t>К2</w:t>
            </w:r>
          </w:p>
        </w:tc>
        <w:tc>
          <w:tcPr>
            <w:tcW w:w="0" w:type="auto"/>
            <w:vAlign w:val="center"/>
            <w:hideMark/>
          </w:tcPr>
          <w:p w:rsidR="0040139D" w:rsidRDefault="00855495">
            <w:r>
              <w:t>K3</w:t>
            </w:r>
          </w:p>
        </w:tc>
        <w:tc>
          <w:tcPr>
            <w:tcW w:w="0" w:type="auto"/>
            <w:vAlign w:val="center"/>
            <w:hideMark/>
          </w:tcPr>
          <w:p w:rsidR="0040139D" w:rsidRDefault="00855495">
            <w:r>
              <w:t>K4</w:t>
            </w:r>
          </w:p>
        </w:tc>
      </w:tr>
      <w:tr w:rsidR="0040139D">
        <w:trPr>
          <w:trHeight w:val="285"/>
          <w:tblCellSpacing w:w="0" w:type="dxa"/>
        </w:trPr>
        <w:tc>
          <w:tcPr>
            <w:tcW w:w="0" w:type="auto"/>
            <w:gridSpan w:val="11"/>
            <w:vAlign w:val="center"/>
            <w:hideMark/>
          </w:tcPr>
          <w:p w:rsidR="0040139D" w:rsidRDefault="00855495">
            <w:r>
              <w:t>Курская область</w:t>
            </w:r>
          </w:p>
        </w:tc>
      </w:tr>
      <w:tr w:rsidR="0040139D">
        <w:trPr>
          <w:trHeight w:val="285"/>
          <w:tblCellSpacing w:w="0" w:type="dxa"/>
        </w:trPr>
        <w:tc>
          <w:tcPr>
            <w:tcW w:w="0" w:type="auto"/>
            <w:vAlign w:val="center"/>
            <w:hideMark/>
          </w:tcPr>
          <w:p w:rsidR="0040139D" w:rsidRDefault="00855495">
            <w:r>
              <w:t>Значение</w:t>
            </w:r>
          </w:p>
        </w:tc>
        <w:tc>
          <w:tcPr>
            <w:tcW w:w="0" w:type="auto"/>
            <w:vAlign w:val="center"/>
            <w:hideMark/>
          </w:tcPr>
          <w:p w:rsidR="0040139D" w:rsidRDefault="00855495">
            <w:r>
              <w:t>0,06</w:t>
            </w:r>
          </w:p>
        </w:tc>
        <w:tc>
          <w:tcPr>
            <w:tcW w:w="0" w:type="auto"/>
            <w:vAlign w:val="center"/>
            <w:hideMark/>
          </w:tcPr>
          <w:p w:rsidR="0040139D" w:rsidRDefault="00855495">
            <w:r>
              <w:t>0,49</w:t>
            </w:r>
          </w:p>
        </w:tc>
        <w:tc>
          <w:tcPr>
            <w:tcW w:w="0" w:type="auto"/>
            <w:vAlign w:val="center"/>
            <w:hideMark/>
          </w:tcPr>
          <w:p w:rsidR="0040139D" w:rsidRDefault="00855495">
            <w:r>
              <w:t>0,22</w:t>
            </w:r>
          </w:p>
        </w:tc>
        <w:tc>
          <w:tcPr>
            <w:tcW w:w="0" w:type="auto"/>
            <w:vAlign w:val="center"/>
            <w:hideMark/>
          </w:tcPr>
          <w:p w:rsidR="0040139D" w:rsidRDefault="00855495">
            <w:r>
              <w:t>1,11</w:t>
            </w:r>
          </w:p>
        </w:tc>
        <w:tc>
          <w:tcPr>
            <w:tcW w:w="0" w:type="auto"/>
            <w:vAlign w:val="center"/>
            <w:hideMark/>
          </w:tcPr>
          <w:p w:rsidR="0040139D" w:rsidRDefault="00855495">
            <w:r>
              <w:t>0,24</w:t>
            </w:r>
          </w:p>
        </w:tc>
        <w:tc>
          <w:tcPr>
            <w:tcW w:w="0" w:type="auto"/>
            <w:vAlign w:val="center"/>
            <w:hideMark/>
          </w:tcPr>
          <w:p w:rsidR="0040139D" w:rsidRDefault="00855495">
            <w:r>
              <w:t>0,6</w:t>
            </w:r>
          </w:p>
        </w:tc>
        <w:tc>
          <w:tcPr>
            <w:tcW w:w="0" w:type="auto"/>
            <w:vAlign w:val="center"/>
            <w:hideMark/>
          </w:tcPr>
          <w:p w:rsidR="0040139D" w:rsidRDefault="00855495">
            <w:r>
              <w:t>0,56</w:t>
            </w:r>
          </w:p>
        </w:tc>
        <w:tc>
          <w:tcPr>
            <w:tcW w:w="0" w:type="auto"/>
            <w:vAlign w:val="center"/>
            <w:hideMark/>
          </w:tcPr>
          <w:p w:rsidR="0040139D" w:rsidRDefault="00855495">
            <w:r>
              <w:t>0,16</w:t>
            </w:r>
          </w:p>
        </w:tc>
        <w:tc>
          <w:tcPr>
            <w:tcW w:w="0" w:type="auto"/>
            <w:vAlign w:val="center"/>
            <w:hideMark/>
          </w:tcPr>
          <w:p w:rsidR="0040139D" w:rsidRDefault="00855495">
            <w:r>
              <w:t>0,31</w:t>
            </w:r>
          </w:p>
        </w:tc>
        <w:tc>
          <w:tcPr>
            <w:tcW w:w="0" w:type="auto"/>
            <w:vAlign w:val="center"/>
            <w:hideMark/>
          </w:tcPr>
          <w:p w:rsidR="0040139D" w:rsidRDefault="00855495">
            <w:r>
              <w:t>0,76</w:t>
            </w:r>
          </w:p>
        </w:tc>
      </w:tr>
      <w:tr w:rsidR="0040139D">
        <w:trPr>
          <w:trHeight w:val="285"/>
          <w:tblCellSpacing w:w="0" w:type="dxa"/>
        </w:trPr>
        <w:tc>
          <w:tcPr>
            <w:tcW w:w="0" w:type="auto"/>
            <w:gridSpan w:val="11"/>
            <w:vAlign w:val="center"/>
            <w:hideMark/>
          </w:tcPr>
          <w:p w:rsidR="0040139D" w:rsidRDefault="00855495">
            <w:r>
              <w:t>Воронежская область</w:t>
            </w:r>
          </w:p>
        </w:tc>
      </w:tr>
      <w:tr w:rsidR="0040139D">
        <w:trPr>
          <w:trHeight w:val="285"/>
          <w:tblCellSpacing w:w="0" w:type="dxa"/>
        </w:trPr>
        <w:tc>
          <w:tcPr>
            <w:tcW w:w="0" w:type="auto"/>
            <w:vAlign w:val="center"/>
            <w:hideMark/>
          </w:tcPr>
          <w:p w:rsidR="0040139D" w:rsidRDefault="00855495">
            <w:r>
              <w:t>Значение</w:t>
            </w:r>
          </w:p>
        </w:tc>
        <w:tc>
          <w:tcPr>
            <w:tcW w:w="0" w:type="auto"/>
            <w:vAlign w:val="center"/>
            <w:hideMark/>
          </w:tcPr>
          <w:p w:rsidR="0040139D" w:rsidRDefault="00855495">
            <w:r>
              <w:t>0,11</w:t>
            </w:r>
          </w:p>
        </w:tc>
        <w:tc>
          <w:tcPr>
            <w:tcW w:w="0" w:type="auto"/>
            <w:vAlign w:val="center"/>
            <w:hideMark/>
          </w:tcPr>
          <w:p w:rsidR="0040139D" w:rsidRDefault="00855495">
            <w:r>
              <w:t>1,17</w:t>
            </w:r>
          </w:p>
        </w:tc>
        <w:tc>
          <w:tcPr>
            <w:tcW w:w="0" w:type="auto"/>
            <w:vAlign w:val="center"/>
            <w:hideMark/>
          </w:tcPr>
          <w:p w:rsidR="0040139D" w:rsidRDefault="00855495">
            <w:r>
              <w:t>0,26</w:t>
            </w:r>
          </w:p>
        </w:tc>
        <w:tc>
          <w:tcPr>
            <w:tcW w:w="0" w:type="auto"/>
            <w:vAlign w:val="center"/>
            <w:hideMark/>
          </w:tcPr>
          <w:p w:rsidR="0040139D" w:rsidRDefault="00855495">
            <w:r>
              <w:t>1,6</w:t>
            </w:r>
          </w:p>
        </w:tc>
        <w:tc>
          <w:tcPr>
            <w:tcW w:w="0" w:type="auto"/>
            <w:vAlign w:val="center"/>
            <w:hideMark/>
          </w:tcPr>
          <w:p w:rsidR="0040139D" w:rsidRDefault="00855495">
            <w:r>
              <w:t>0,97</w:t>
            </w:r>
          </w:p>
        </w:tc>
        <w:tc>
          <w:tcPr>
            <w:tcW w:w="0" w:type="auto"/>
            <w:vAlign w:val="center"/>
            <w:hideMark/>
          </w:tcPr>
          <w:p w:rsidR="0040139D" w:rsidRDefault="00855495">
            <w:r>
              <w:t>7,1</w:t>
            </w:r>
          </w:p>
        </w:tc>
        <w:tc>
          <w:tcPr>
            <w:tcW w:w="0" w:type="auto"/>
            <w:vAlign w:val="center"/>
            <w:hideMark/>
          </w:tcPr>
          <w:p w:rsidR="0040139D" w:rsidRDefault="00855495">
            <w:r>
              <w:t>0,81</w:t>
            </w:r>
          </w:p>
        </w:tc>
        <w:tc>
          <w:tcPr>
            <w:tcW w:w="0" w:type="auto"/>
            <w:vAlign w:val="center"/>
            <w:hideMark/>
          </w:tcPr>
          <w:p w:rsidR="0040139D" w:rsidRDefault="00855495">
            <w:r>
              <w:t>0,25</w:t>
            </w:r>
          </w:p>
        </w:tc>
        <w:tc>
          <w:tcPr>
            <w:tcW w:w="0" w:type="auto"/>
            <w:vAlign w:val="center"/>
            <w:hideMark/>
          </w:tcPr>
          <w:p w:rsidR="0040139D" w:rsidRDefault="00855495">
            <w:r>
              <w:t>0,34</w:t>
            </w:r>
          </w:p>
        </w:tc>
        <w:tc>
          <w:tcPr>
            <w:tcW w:w="0" w:type="auto"/>
            <w:vAlign w:val="center"/>
            <w:hideMark/>
          </w:tcPr>
          <w:p w:rsidR="0040139D" w:rsidRDefault="00855495">
            <w:r>
              <w:t>1,86</w:t>
            </w:r>
          </w:p>
        </w:tc>
      </w:tr>
      <w:tr w:rsidR="0040139D">
        <w:trPr>
          <w:trHeight w:val="285"/>
          <w:tblCellSpacing w:w="0" w:type="dxa"/>
        </w:trPr>
        <w:tc>
          <w:tcPr>
            <w:tcW w:w="0" w:type="auto"/>
            <w:gridSpan w:val="11"/>
            <w:vAlign w:val="center"/>
            <w:hideMark/>
          </w:tcPr>
          <w:p w:rsidR="0040139D" w:rsidRDefault="00855495">
            <w:r>
              <w:t>Московская область</w:t>
            </w:r>
          </w:p>
        </w:tc>
      </w:tr>
      <w:tr w:rsidR="0040139D">
        <w:trPr>
          <w:trHeight w:val="300"/>
          <w:tblCellSpacing w:w="0" w:type="dxa"/>
        </w:trPr>
        <w:tc>
          <w:tcPr>
            <w:tcW w:w="0" w:type="auto"/>
            <w:vAlign w:val="center"/>
            <w:hideMark/>
          </w:tcPr>
          <w:p w:rsidR="0040139D" w:rsidRDefault="00855495">
            <w:r>
              <w:t>Значение</w:t>
            </w:r>
          </w:p>
        </w:tc>
        <w:tc>
          <w:tcPr>
            <w:tcW w:w="0" w:type="auto"/>
            <w:vAlign w:val="center"/>
            <w:hideMark/>
          </w:tcPr>
          <w:p w:rsidR="0040139D" w:rsidRDefault="00855495">
            <w:r>
              <w:t>0,11</w:t>
            </w:r>
          </w:p>
        </w:tc>
        <w:tc>
          <w:tcPr>
            <w:tcW w:w="0" w:type="auto"/>
            <w:vAlign w:val="center"/>
            <w:hideMark/>
          </w:tcPr>
          <w:p w:rsidR="0040139D" w:rsidRDefault="00855495">
            <w:r>
              <w:t>2,24</w:t>
            </w:r>
          </w:p>
        </w:tc>
        <w:tc>
          <w:tcPr>
            <w:tcW w:w="0" w:type="auto"/>
            <w:vAlign w:val="center"/>
            <w:hideMark/>
          </w:tcPr>
          <w:p w:rsidR="0040139D" w:rsidRDefault="00855495">
            <w:r>
              <w:t>0,08</w:t>
            </w:r>
          </w:p>
        </w:tc>
        <w:tc>
          <w:tcPr>
            <w:tcW w:w="0" w:type="auto"/>
            <w:vAlign w:val="center"/>
            <w:hideMark/>
          </w:tcPr>
          <w:p w:rsidR="0040139D" w:rsidRDefault="00855495">
            <w:r>
              <w:t>3,61</w:t>
            </w:r>
          </w:p>
        </w:tc>
        <w:tc>
          <w:tcPr>
            <w:tcW w:w="0" w:type="auto"/>
            <w:vAlign w:val="center"/>
            <w:hideMark/>
          </w:tcPr>
          <w:p w:rsidR="0040139D" w:rsidRDefault="00855495">
            <w:r>
              <w:t>0,67</w:t>
            </w:r>
          </w:p>
        </w:tc>
        <w:tc>
          <w:tcPr>
            <w:tcW w:w="0" w:type="auto"/>
            <w:vAlign w:val="center"/>
            <w:hideMark/>
          </w:tcPr>
          <w:p w:rsidR="0040139D" w:rsidRDefault="00855495">
            <w:r>
              <w:t>8,1</w:t>
            </w:r>
          </w:p>
        </w:tc>
        <w:tc>
          <w:tcPr>
            <w:tcW w:w="0" w:type="auto"/>
            <w:vAlign w:val="center"/>
            <w:hideMark/>
          </w:tcPr>
          <w:p w:rsidR="0040139D" w:rsidRDefault="00855495">
            <w:r>
              <w:t>0,86</w:t>
            </w:r>
          </w:p>
        </w:tc>
        <w:tc>
          <w:tcPr>
            <w:tcW w:w="0" w:type="auto"/>
            <w:vAlign w:val="center"/>
            <w:hideMark/>
          </w:tcPr>
          <w:p w:rsidR="0040139D" w:rsidRDefault="00855495">
            <w:r>
              <w:t>0,35</w:t>
            </w:r>
          </w:p>
        </w:tc>
        <w:tc>
          <w:tcPr>
            <w:tcW w:w="0" w:type="auto"/>
            <w:vAlign w:val="center"/>
            <w:hideMark/>
          </w:tcPr>
          <w:p w:rsidR="0040139D" w:rsidRDefault="00855495">
            <w:r>
              <w:t>0,33</w:t>
            </w:r>
          </w:p>
        </w:tc>
        <w:tc>
          <w:tcPr>
            <w:tcW w:w="0" w:type="auto"/>
            <w:vAlign w:val="center"/>
            <w:hideMark/>
          </w:tcPr>
          <w:p w:rsidR="0040139D" w:rsidRDefault="00855495">
            <w:r>
              <w:t>1,01</w:t>
            </w:r>
          </w:p>
        </w:tc>
      </w:tr>
    </w:tbl>
    <w:p w:rsidR="0040139D" w:rsidRPr="00855495" w:rsidRDefault="00855495">
      <w:pPr>
        <w:pStyle w:val="a3"/>
      </w:pPr>
      <w:r>
        <w:t>Из полученных данных уже можно сделать вывод о том, что инновационный потенциал Московской и Воронежской областей значительно выше, чем Курской области.</w:t>
      </w:r>
    </w:p>
    <w:p w:rsidR="0040139D" w:rsidRDefault="00855495">
      <w:pPr>
        <w:pStyle w:val="a3"/>
      </w:pPr>
      <w:r>
        <w:t>Далее представлена динамика интегрального показателя инновационного потенциала регионов ЦФО, рассчитанного по предложенной методике за 20082011 гг. (табл. 3).</w:t>
      </w:r>
    </w:p>
    <w:p w:rsidR="0040139D" w:rsidRDefault="00855495">
      <w:pPr>
        <w:pStyle w:val="a3"/>
      </w:pPr>
      <w:r>
        <w:t>Таблица 3</w:t>
      </w:r>
    </w:p>
    <w:p w:rsidR="0040139D" w:rsidRDefault="00855495">
      <w:pPr>
        <w:pStyle w:val="a3"/>
      </w:pPr>
      <w:r>
        <w:t>Динамика интегрального инновационного потенциала регионов ЦФО за 2008-2011 гг.</w:t>
      </w:r>
    </w:p>
    <w:p w:rsidR="0040139D" w:rsidRDefault="00855495">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120"/>
        <w:gridCol w:w="120"/>
        <w:gridCol w:w="120"/>
        <w:gridCol w:w="120"/>
      </w:tblGrid>
      <w:tr w:rsidR="0040139D">
        <w:trPr>
          <w:trHeight w:val="315"/>
          <w:tblCellSpacing w:w="0" w:type="dxa"/>
        </w:trPr>
        <w:tc>
          <w:tcPr>
            <w:tcW w:w="0" w:type="auto"/>
            <w:vMerge w:val="restart"/>
            <w:vAlign w:val="center"/>
            <w:hideMark/>
          </w:tcPr>
          <w:p w:rsidR="0040139D" w:rsidRDefault="00855495">
            <w:r>
              <w:t>Регион</w:t>
            </w:r>
          </w:p>
        </w:tc>
        <w:tc>
          <w:tcPr>
            <w:tcW w:w="0" w:type="auto"/>
            <w:gridSpan w:val="4"/>
            <w:vAlign w:val="center"/>
            <w:hideMark/>
          </w:tcPr>
          <w:p w:rsidR="0040139D" w:rsidRDefault="00855495">
            <w:r>
              <w:t>Годы</w:t>
            </w:r>
          </w:p>
        </w:tc>
      </w:tr>
      <w:tr w:rsidR="0040139D">
        <w:trPr>
          <w:trHeight w:val="315"/>
          <w:tblCellSpacing w:w="0" w:type="dxa"/>
        </w:trPr>
        <w:tc>
          <w:tcPr>
            <w:tcW w:w="0" w:type="auto"/>
            <w:vMerge/>
            <w:vAlign w:val="center"/>
            <w:hideMark/>
          </w:tcPr>
          <w:p w:rsidR="0040139D" w:rsidRDefault="0040139D"/>
        </w:tc>
        <w:tc>
          <w:tcPr>
            <w:tcW w:w="0" w:type="auto"/>
            <w:vAlign w:val="center"/>
            <w:hideMark/>
          </w:tcPr>
          <w:p w:rsidR="0040139D" w:rsidRDefault="00855495">
            <w:r>
              <w:t>2008</w:t>
            </w:r>
          </w:p>
        </w:tc>
        <w:tc>
          <w:tcPr>
            <w:tcW w:w="0" w:type="auto"/>
            <w:vAlign w:val="center"/>
            <w:hideMark/>
          </w:tcPr>
          <w:p w:rsidR="0040139D" w:rsidRDefault="00855495">
            <w:r>
              <w:t>2009</w:t>
            </w:r>
          </w:p>
        </w:tc>
        <w:tc>
          <w:tcPr>
            <w:tcW w:w="0" w:type="auto"/>
            <w:vAlign w:val="center"/>
            <w:hideMark/>
          </w:tcPr>
          <w:p w:rsidR="0040139D" w:rsidRDefault="00855495">
            <w:r>
              <w:t>2010</w:t>
            </w:r>
          </w:p>
        </w:tc>
        <w:tc>
          <w:tcPr>
            <w:tcW w:w="0" w:type="auto"/>
            <w:vAlign w:val="center"/>
            <w:hideMark/>
          </w:tcPr>
          <w:p w:rsidR="0040139D" w:rsidRDefault="00855495">
            <w:r>
              <w:t>2011</w:t>
            </w:r>
          </w:p>
        </w:tc>
      </w:tr>
      <w:tr w:rsidR="0040139D">
        <w:trPr>
          <w:trHeight w:val="285"/>
          <w:tblCellSpacing w:w="0" w:type="dxa"/>
        </w:trPr>
        <w:tc>
          <w:tcPr>
            <w:tcW w:w="0" w:type="auto"/>
            <w:vAlign w:val="center"/>
            <w:hideMark/>
          </w:tcPr>
          <w:p w:rsidR="0040139D" w:rsidRDefault="00855495">
            <w:r>
              <w:t>Общий по ЦФО</w:t>
            </w:r>
          </w:p>
        </w:tc>
        <w:tc>
          <w:tcPr>
            <w:tcW w:w="0" w:type="auto"/>
            <w:vAlign w:val="center"/>
            <w:hideMark/>
          </w:tcPr>
          <w:p w:rsidR="0040139D" w:rsidRDefault="00855495">
            <w:r>
              <w:t>1,35</w:t>
            </w:r>
          </w:p>
        </w:tc>
        <w:tc>
          <w:tcPr>
            <w:tcW w:w="0" w:type="auto"/>
            <w:vAlign w:val="center"/>
            <w:hideMark/>
          </w:tcPr>
          <w:p w:rsidR="0040139D" w:rsidRDefault="00855495">
            <w:r>
              <w:t>1,39</w:t>
            </w:r>
          </w:p>
        </w:tc>
        <w:tc>
          <w:tcPr>
            <w:tcW w:w="0" w:type="auto"/>
            <w:vAlign w:val="center"/>
            <w:hideMark/>
          </w:tcPr>
          <w:p w:rsidR="0040139D" w:rsidRDefault="00855495">
            <w:r>
              <w:t>1,50</w:t>
            </w:r>
          </w:p>
        </w:tc>
        <w:tc>
          <w:tcPr>
            <w:tcW w:w="0" w:type="auto"/>
            <w:vAlign w:val="center"/>
            <w:hideMark/>
          </w:tcPr>
          <w:p w:rsidR="0040139D" w:rsidRDefault="00855495">
            <w:r>
              <w:t>1,44</w:t>
            </w:r>
          </w:p>
        </w:tc>
      </w:tr>
      <w:tr w:rsidR="0040139D">
        <w:trPr>
          <w:trHeight w:val="285"/>
          <w:tblCellSpacing w:w="0" w:type="dxa"/>
        </w:trPr>
        <w:tc>
          <w:tcPr>
            <w:tcW w:w="0" w:type="auto"/>
            <w:vAlign w:val="center"/>
            <w:hideMark/>
          </w:tcPr>
          <w:p w:rsidR="0040139D" w:rsidRDefault="00855495">
            <w:r>
              <w:t>Белгородская область</w:t>
            </w:r>
          </w:p>
        </w:tc>
        <w:tc>
          <w:tcPr>
            <w:tcW w:w="0" w:type="auto"/>
            <w:vAlign w:val="center"/>
            <w:hideMark/>
          </w:tcPr>
          <w:p w:rsidR="0040139D" w:rsidRDefault="00855495">
            <w:r>
              <w:t>0,69</w:t>
            </w:r>
          </w:p>
        </w:tc>
        <w:tc>
          <w:tcPr>
            <w:tcW w:w="0" w:type="auto"/>
            <w:vAlign w:val="center"/>
            <w:hideMark/>
          </w:tcPr>
          <w:p w:rsidR="0040139D" w:rsidRDefault="00855495">
            <w:r>
              <w:t>0,79</w:t>
            </w:r>
          </w:p>
        </w:tc>
        <w:tc>
          <w:tcPr>
            <w:tcW w:w="0" w:type="auto"/>
            <w:vAlign w:val="center"/>
            <w:hideMark/>
          </w:tcPr>
          <w:p w:rsidR="0040139D" w:rsidRDefault="00855495">
            <w:r>
              <w:t>0,64</w:t>
            </w:r>
          </w:p>
        </w:tc>
        <w:tc>
          <w:tcPr>
            <w:tcW w:w="0" w:type="auto"/>
            <w:vAlign w:val="center"/>
            <w:hideMark/>
          </w:tcPr>
          <w:p w:rsidR="0040139D" w:rsidRDefault="00855495">
            <w:r>
              <w:t>0,62</w:t>
            </w:r>
          </w:p>
        </w:tc>
      </w:tr>
      <w:tr w:rsidR="0040139D">
        <w:trPr>
          <w:trHeight w:val="285"/>
          <w:tblCellSpacing w:w="0" w:type="dxa"/>
        </w:trPr>
        <w:tc>
          <w:tcPr>
            <w:tcW w:w="0" w:type="auto"/>
            <w:vAlign w:val="center"/>
            <w:hideMark/>
          </w:tcPr>
          <w:p w:rsidR="0040139D" w:rsidRDefault="00855495">
            <w:r>
              <w:t>Брянская область</w:t>
            </w:r>
          </w:p>
        </w:tc>
        <w:tc>
          <w:tcPr>
            <w:tcW w:w="0" w:type="auto"/>
            <w:vAlign w:val="center"/>
            <w:hideMark/>
          </w:tcPr>
          <w:p w:rsidR="0040139D" w:rsidRDefault="00855495">
            <w:r>
              <w:t>0,95</w:t>
            </w:r>
          </w:p>
        </w:tc>
        <w:tc>
          <w:tcPr>
            <w:tcW w:w="0" w:type="auto"/>
            <w:vAlign w:val="center"/>
            <w:hideMark/>
          </w:tcPr>
          <w:p w:rsidR="0040139D" w:rsidRDefault="00855495">
            <w:r>
              <w:t>0,97</w:t>
            </w:r>
          </w:p>
        </w:tc>
        <w:tc>
          <w:tcPr>
            <w:tcW w:w="0" w:type="auto"/>
            <w:vAlign w:val="center"/>
            <w:hideMark/>
          </w:tcPr>
          <w:p w:rsidR="0040139D" w:rsidRDefault="00855495">
            <w:r>
              <w:t>0,93</w:t>
            </w:r>
          </w:p>
        </w:tc>
        <w:tc>
          <w:tcPr>
            <w:tcW w:w="0" w:type="auto"/>
            <w:vAlign w:val="center"/>
            <w:hideMark/>
          </w:tcPr>
          <w:p w:rsidR="0040139D" w:rsidRDefault="00855495">
            <w:r>
              <w:t>0,70</w:t>
            </w:r>
          </w:p>
        </w:tc>
      </w:tr>
      <w:tr w:rsidR="0040139D">
        <w:trPr>
          <w:trHeight w:val="285"/>
          <w:tblCellSpacing w:w="0" w:type="dxa"/>
        </w:trPr>
        <w:tc>
          <w:tcPr>
            <w:tcW w:w="0" w:type="auto"/>
            <w:vAlign w:val="center"/>
            <w:hideMark/>
          </w:tcPr>
          <w:p w:rsidR="0040139D" w:rsidRDefault="00855495">
            <w:r>
              <w:t>Владимирская область</w:t>
            </w:r>
          </w:p>
        </w:tc>
        <w:tc>
          <w:tcPr>
            <w:tcW w:w="0" w:type="auto"/>
            <w:vAlign w:val="center"/>
            <w:hideMark/>
          </w:tcPr>
          <w:p w:rsidR="0040139D" w:rsidRDefault="00855495">
            <w:r>
              <w:t>1,22</w:t>
            </w:r>
          </w:p>
        </w:tc>
        <w:tc>
          <w:tcPr>
            <w:tcW w:w="0" w:type="auto"/>
            <w:vAlign w:val="center"/>
            <w:hideMark/>
          </w:tcPr>
          <w:p w:rsidR="0040139D" w:rsidRDefault="00855495">
            <w:r>
              <w:t>1,20</w:t>
            </w:r>
          </w:p>
        </w:tc>
        <w:tc>
          <w:tcPr>
            <w:tcW w:w="0" w:type="auto"/>
            <w:vAlign w:val="center"/>
            <w:hideMark/>
          </w:tcPr>
          <w:p w:rsidR="0040139D" w:rsidRDefault="00855495">
            <w:r>
              <w:t>1,12</w:t>
            </w:r>
          </w:p>
        </w:tc>
        <w:tc>
          <w:tcPr>
            <w:tcW w:w="0" w:type="auto"/>
            <w:vAlign w:val="center"/>
            <w:hideMark/>
          </w:tcPr>
          <w:p w:rsidR="0040139D" w:rsidRDefault="00855495">
            <w:r>
              <w:t>0,92</w:t>
            </w:r>
          </w:p>
        </w:tc>
      </w:tr>
      <w:tr w:rsidR="0040139D">
        <w:trPr>
          <w:trHeight w:val="285"/>
          <w:tblCellSpacing w:w="0" w:type="dxa"/>
        </w:trPr>
        <w:tc>
          <w:tcPr>
            <w:tcW w:w="0" w:type="auto"/>
            <w:vAlign w:val="center"/>
            <w:hideMark/>
          </w:tcPr>
          <w:p w:rsidR="0040139D" w:rsidRDefault="00855495">
            <w:r>
              <w:t>Воронежская область</w:t>
            </w:r>
          </w:p>
        </w:tc>
        <w:tc>
          <w:tcPr>
            <w:tcW w:w="0" w:type="auto"/>
            <w:vAlign w:val="center"/>
            <w:hideMark/>
          </w:tcPr>
          <w:p w:rsidR="0040139D" w:rsidRDefault="00855495">
            <w:r>
              <w:t>1,65</w:t>
            </w:r>
          </w:p>
        </w:tc>
        <w:tc>
          <w:tcPr>
            <w:tcW w:w="0" w:type="auto"/>
            <w:vAlign w:val="center"/>
            <w:hideMark/>
          </w:tcPr>
          <w:p w:rsidR="0040139D" w:rsidRDefault="00855495">
            <w:r>
              <w:t>1,54</w:t>
            </w:r>
          </w:p>
        </w:tc>
        <w:tc>
          <w:tcPr>
            <w:tcW w:w="0" w:type="auto"/>
            <w:vAlign w:val="center"/>
            <w:hideMark/>
          </w:tcPr>
          <w:p w:rsidR="0040139D" w:rsidRDefault="00855495">
            <w:r>
              <w:t>1,43</w:t>
            </w:r>
          </w:p>
        </w:tc>
        <w:tc>
          <w:tcPr>
            <w:tcW w:w="0" w:type="auto"/>
            <w:vAlign w:val="center"/>
            <w:hideMark/>
          </w:tcPr>
          <w:p w:rsidR="0040139D" w:rsidRDefault="00855495">
            <w:r>
              <w:t>1,56</w:t>
            </w:r>
          </w:p>
        </w:tc>
      </w:tr>
      <w:tr w:rsidR="0040139D">
        <w:trPr>
          <w:trHeight w:val="285"/>
          <w:tblCellSpacing w:w="0" w:type="dxa"/>
        </w:trPr>
        <w:tc>
          <w:tcPr>
            <w:tcW w:w="0" w:type="auto"/>
            <w:vAlign w:val="center"/>
            <w:hideMark/>
          </w:tcPr>
          <w:p w:rsidR="0040139D" w:rsidRDefault="00855495">
            <w:r>
              <w:t>Ивановская область</w:t>
            </w:r>
          </w:p>
        </w:tc>
        <w:tc>
          <w:tcPr>
            <w:tcW w:w="0" w:type="auto"/>
            <w:vAlign w:val="center"/>
            <w:hideMark/>
          </w:tcPr>
          <w:p w:rsidR="0040139D" w:rsidRDefault="00855495">
            <w:r>
              <w:t>0,86</w:t>
            </w:r>
          </w:p>
        </w:tc>
        <w:tc>
          <w:tcPr>
            <w:tcW w:w="0" w:type="auto"/>
            <w:vAlign w:val="center"/>
            <w:hideMark/>
          </w:tcPr>
          <w:p w:rsidR="0040139D" w:rsidRDefault="00855495">
            <w:r>
              <w:t>0,77</w:t>
            </w:r>
          </w:p>
        </w:tc>
        <w:tc>
          <w:tcPr>
            <w:tcW w:w="0" w:type="auto"/>
            <w:vAlign w:val="center"/>
            <w:hideMark/>
          </w:tcPr>
          <w:p w:rsidR="0040139D" w:rsidRDefault="00855495">
            <w:r>
              <w:t>0,99</w:t>
            </w:r>
          </w:p>
        </w:tc>
        <w:tc>
          <w:tcPr>
            <w:tcW w:w="0" w:type="auto"/>
            <w:vAlign w:val="center"/>
            <w:hideMark/>
          </w:tcPr>
          <w:p w:rsidR="0040139D" w:rsidRDefault="00855495">
            <w:r>
              <w:t>0,91</w:t>
            </w:r>
          </w:p>
        </w:tc>
      </w:tr>
      <w:tr w:rsidR="0040139D">
        <w:trPr>
          <w:trHeight w:val="285"/>
          <w:tblCellSpacing w:w="0" w:type="dxa"/>
        </w:trPr>
        <w:tc>
          <w:tcPr>
            <w:tcW w:w="0" w:type="auto"/>
            <w:vAlign w:val="center"/>
            <w:hideMark/>
          </w:tcPr>
          <w:p w:rsidR="0040139D" w:rsidRDefault="00855495">
            <w:r>
              <w:t>Калужская область</w:t>
            </w:r>
          </w:p>
        </w:tc>
        <w:tc>
          <w:tcPr>
            <w:tcW w:w="0" w:type="auto"/>
            <w:vAlign w:val="center"/>
            <w:hideMark/>
          </w:tcPr>
          <w:p w:rsidR="0040139D" w:rsidRDefault="00855495">
            <w:r>
              <w:t>1,78</w:t>
            </w:r>
          </w:p>
        </w:tc>
        <w:tc>
          <w:tcPr>
            <w:tcW w:w="0" w:type="auto"/>
            <w:vAlign w:val="center"/>
            <w:hideMark/>
          </w:tcPr>
          <w:p w:rsidR="0040139D" w:rsidRDefault="00855495">
            <w:r>
              <w:t>1,56</w:t>
            </w:r>
          </w:p>
        </w:tc>
        <w:tc>
          <w:tcPr>
            <w:tcW w:w="0" w:type="auto"/>
            <w:vAlign w:val="center"/>
            <w:hideMark/>
          </w:tcPr>
          <w:p w:rsidR="0040139D" w:rsidRDefault="00855495">
            <w:r>
              <w:t>1,54</w:t>
            </w:r>
          </w:p>
        </w:tc>
        <w:tc>
          <w:tcPr>
            <w:tcW w:w="0" w:type="auto"/>
            <w:vAlign w:val="center"/>
            <w:hideMark/>
          </w:tcPr>
          <w:p w:rsidR="0040139D" w:rsidRDefault="00855495">
            <w:r>
              <w:t>1,69</w:t>
            </w:r>
          </w:p>
        </w:tc>
      </w:tr>
      <w:tr w:rsidR="0040139D">
        <w:trPr>
          <w:trHeight w:val="285"/>
          <w:tblCellSpacing w:w="0" w:type="dxa"/>
        </w:trPr>
        <w:tc>
          <w:tcPr>
            <w:tcW w:w="0" w:type="auto"/>
            <w:vAlign w:val="center"/>
            <w:hideMark/>
          </w:tcPr>
          <w:p w:rsidR="0040139D" w:rsidRDefault="00855495">
            <w:r>
              <w:t>Костромская область</w:t>
            </w:r>
          </w:p>
        </w:tc>
        <w:tc>
          <w:tcPr>
            <w:tcW w:w="0" w:type="auto"/>
            <w:vAlign w:val="center"/>
            <w:hideMark/>
          </w:tcPr>
          <w:p w:rsidR="0040139D" w:rsidRDefault="00855495">
            <w:r>
              <w:t>0,41</w:t>
            </w:r>
          </w:p>
        </w:tc>
        <w:tc>
          <w:tcPr>
            <w:tcW w:w="0" w:type="auto"/>
            <w:vAlign w:val="center"/>
            <w:hideMark/>
          </w:tcPr>
          <w:p w:rsidR="0040139D" w:rsidRDefault="00855495">
            <w:r>
              <w:t>0,44</w:t>
            </w:r>
          </w:p>
        </w:tc>
        <w:tc>
          <w:tcPr>
            <w:tcW w:w="0" w:type="auto"/>
            <w:vAlign w:val="center"/>
            <w:hideMark/>
          </w:tcPr>
          <w:p w:rsidR="0040139D" w:rsidRDefault="00855495">
            <w:r>
              <w:t>0,55</w:t>
            </w:r>
          </w:p>
        </w:tc>
        <w:tc>
          <w:tcPr>
            <w:tcW w:w="0" w:type="auto"/>
            <w:vAlign w:val="center"/>
            <w:hideMark/>
          </w:tcPr>
          <w:p w:rsidR="0040139D" w:rsidRDefault="00855495">
            <w:r>
              <w:t>0,62</w:t>
            </w:r>
          </w:p>
        </w:tc>
      </w:tr>
      <w:tr w:rsidR="0040139D">
        <w:trPr>
          <w:trHeight w:val="285"/>
          <w:tblCellSpacing w:w="0" w:type="dxa"/>
        </w:trPr>
        <w:tc>
          <w:tcPr>
            <w:tcW w:w="0" w:type="auto"/>
            <w:vAlign w:val="center"/>
            <w:hideMark/>
          </w:tcPr>
          <w:p w:rsidR="0040139D" w:rsidRDefault="00855495">
            <w:r>
              <w:t>Курская область</w:t>
            </w:r>
          </w:p>
        </w:tc>
        <w:tc>
          <w:tcPr>
            <w:tcW w:w="0" w:type="auto"/>
            <w:vAlign w:val="center"/>
            <w:hideMark/>
          </w:tcPr>
          <w:p w:rsidR="0040139D" w:rsidRDefault="00855495">
            <w:r>
              <w:t>0,90</w:t>
            </w:r>
          </w:p>
        </w:tc>
        <w:tc>
          <w:tcPr>
            <w:tcW w:w="0" w:type="auto"/>
            <w:vAlign w:val="center"/>
            <w:hideMark/>
          </w:tcPr>
          <w:p w:rsidR="0040139D" w:rsidRDefault="00855495">
            <w:r>
              <w:t>0,71</w:t>
            </w:r>
          </w:p>
        </w:tc>
        <w:tc>
          <w:tcPr>
            <w:tcW w:w="0" w:type="auto"/>
            <w:vAlign w:val="center"/>
            <w:hideMark/>
          </w:tcPr>
          <w:p w:rsidR="0040139D" w:rsidRDefault="00855495">
            <w:r>
              <w:t>0,57</w:t>
            </w:r>
          </w:p>
        </w:tc>
        <w:tc>
          <w:tcPr>
            <w:tcW w:w="0" w:type="auto"/>
            <w:vAlign w:val="center"/>
            <w:hideMark/>
          </w:tcPr>
          <w:p w:rsidR="0040139D" w:rsidRDefault="00855495">
            <w:r>
              <w:t>0,59</w:t>
            </w:r>
          </w:p>
        </w:tc>
      </w:tr>
      <w:tr w:rsidR="0040139D">
        <w:trPr>
          <w:trHeight w:val="285"/>
          <w:tblCellSpacing w:w="0" w:type="dxa"/>
        </w:trPr>
        <w:tc>
          <w:tcPr>
            <w:tcW w:w="0" w:type="auto"/>
            <w:vAlign w:val="center"/>
            <w:hideMark/>
          </w:tcPr>
          <w:p w:rsidR="0040139D" w:rsidRDefault="00855495">
            <w:r>
              <w:t>Липецкая область</w:t>
            </w:r>
          </w:p>
        </w:tc>
        <w:tc>
          <w:tcPr>
            <w:tcW w:w="0" w:type="auto"/>
            <w:vAlign w:val="center"/>
            <w:hideMark/>
          </w:tcPr>
          <w:p w:rsidR="0040139D" w:rsidRDefault="00855495">
            <w:r>
              <w:t>0,56</w:t>
            </w:r>
          </w:p>
        </w:tc>
        <w:tc>
          <w:tcPr>
            <w:tcW w:w="0" w:type="auto"/>
            <w:vAlign w:val="center"/>
            <w:hideMark/>
          </w:tcPr>
          <w:p w:rsidR="0040139D" w:rsidRDefault="00855495">
            <w:r>
              <w:t>0,55</w:t>
            </w:r>
          </w:p>
        </w:tc>
        <w:tc>
          <w:tcPr>
            <w:tcW w:w="0" w:type="auto"/>
            <w:vAlign w:val="center"/>
            <w:hideMark/>
          </w:tcPr>
          <w:p w:rsidR="0040139D" w:rsidRDefault="00855495">
            <w:r>
              <w:t>0,75</w:t>
            </w:r>
          </w:p>
        </w:tc>
        <w:tc>
          <w:tcPr>
            <w:tcW w:w="0" w:type="auto"/>
            <w:vAlign w:val="center"/>
            <w:hideMark/>
          </w:tcPr>
          <w:p w:rsidR="0040139D" w:rsidRDefault="00855495">
            <w:r>
              <w:t>0,71</w:t>
            </w:r>
          </w:p>
        </w:tc>
      </w:tr>
      <w:tr w:rsidR="0040139D">
        <w:trPr>
          <w:trHeight w:val="300"/>
          <w:tblCellSpacing w:w="0" w:type="dxa"/>
        </w:trPr>
        <w:tc>
          <w:tcPr>
            <w:tcW w:w="0" w:type="auto"/>
            <w:vAlign w:val="center"/>
            <w:hideMark/>
          </w:tcPr>
          <w:p w:rsidR="0040139D" w:rsidRDefault="00855495">
            <w:r>
              <w:t>Московская область</w:t>
            </w:r>
          </w:p>
        </w:tc>
        <w:tc>
          <w:tcPr>
            <w:tcW w:w="0" w:type="auto"/>
            <w:vAlign w:val="center"/>
            <w:hideMark/>
          </w:tcPr>
          <w:p w:rsidR="0040139D" w:rsidRDefault="00855495">
            <w:r>
              <w:t>1,76</w:t>
            </w:r>
          </w:p>
        </w:tc>
        <w:tc>
          <w:tcPr>
            <w:tcW w:w="0" w:type="auto"/>
            <w:vAlign w:val="center"/>
            <w:hideMark/>
          </w:tcPr>
          <w:p w:rsidR="0040139D" w:rsidRDefault="00855495">
            <w:r>
              <w:t>1,85</w:t>
            </w:r>
          </w:p>
        </w:tc>
        <w:tc>
          <w:tcPr>
            <w:tcW w:w="0" w:type="auto"/>
            <w:vAlign w:val="center"/>
            <w:hideMark/>
          </w:tcPr>
          <w:p w:rsidR="0040139D" w:rsidRDefault="00855495">
            <w:r>
              <w:t>2,00</w:t>
            </w:r>
          </w:p>
        </w:tc>
        <w:tc>
          <w:tcPr>
            <w:tcW w:w="0" w:type="auto"/>
            <w:vAlign w:val="center"/>
            <w:hideMark/>
          </w:tcPr>
          <w:p w:rsidR="0040139D" w:rsidRDefault="00855495">
            <w:r>
              <w:t>1,89</w:t>
            </w:r>
          </w:p>
        </w:tc>
      </w:tr>
    </w:tbl>
    <w:p w:rsidR="0040139D" w:rsidRPr="00855495" w:rsidRDefault="00855495">
      <w:pPr>
        <w:pStyle w:val="a3"/>
      </w:pPr>
      <w:r>
        <w:t>Анализируя полученные данные можно сделать вывод, что наиболее высоким инновационным потенциалом обладают Московская область, Воронежская область и город Москва. Однако следует отметить снижение инновационного потенциала Воронежской области с 1,65 до 1,56 за исследуемый период. Инновационные потенциалы столицы и Московской области имеют растущую тенденцию - от 1,42 до 1,48 и от 1,76 до 1,89 условных единиц соответственно.</w:t>
      </w:r>
    </w:p>
    <w:p w:rsidR="0040139D" w:rsidRDefault="00855495">
      <w:pPr>
        <w:pStyle w:val="a3"/>
      </w:pPr>
      <w:r>
        <w:t>Самым низким уровнем инновационного потенциала отличаются Белгородская, Костромская, Курская, Липецкая и Смоленская области. Для Белгородской и Курской областей характерно значительное снижение потенциала за 4 года - с 0,69 до 0,62 и с 0,9 до 0,59 условных единиц соответственно. Костромская, Липецкая и Смоленская области наращивают инновационный потенциал незначительными темпами - от 0,41 до 0,62, от 0,56 до 0,71 и от 0,61 до 0,69 условных единиц соответственно.</w:t>
      </w:r>
    </w:p>
    <w:p w:rsidR="0040139D" w:rsidRDefault="00855495">
      <w:pPr>
        <w:pStyle w:val="a3"/>
      </w:pPr>
      <w:r>
        <w:t>Колебания интегрального показателя остальных областей, представленных в таблице, незначительны и находятся в диапазоне 0,1 -0,2 условных единиц.</w:t>
      </w:r>
    </w:p>
    <w:p w:rsidR="0040139D" w:rsidRDefault="00855495">
      <w:pPr>
        <w:pStyle w:val="a3"/>
      </w:pPr>
      <w:r>
        <w:t>Обобщая полученные результаты, регионы ЦФО были распределены по трем группам в соответствии со значением интегрального показателя (табл. 4).</w:t>
      </w:r>
    </w:p>
    <w:p w:rsidR="0040139D" w:rsidRDefault="00855495">
      <w:pPr>
        <w:pStyle w:val="a3"/>
      </w:pPr>
      <w:r>
        <w:t>Продолжение табл. 3</w:t>
      </w:r>
    </w:p>
    <w:p w:rsidR="0040139D" w:rsidRDefault="00855495">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120"/>
        <w:gridCol w:w="120"/>
        <w:gridCol w:w="120"/>
        <w:gridCol w:w="120"/>
      </w:tblGrid>
      <w:tr w:rsidR="0040139D">
        <w:trPr>
          <w:trHeight w:val="315"/>
          <w:tblCellSpacing w:w="0" w:type="dxa"/>
        </w:trPr>
        <w:tc>
          <w:tcPr>
            <w:tcW w:w="0" w:type="auto"/>
            <w:vMerge w:val="restart"/>
            <w:vAlign w:val="center"/>
            <w:hideMark/>
          </w:tcPr>
          <w:p w:rsidR="0040139D" w:rsidRDefault="00855495">
            <w:r>
              <w:t>Регион</w:t>
            </w:r>
          </w:p>
        </w:tc>
        <w:tc>
          <w:tcPr>
            <w:tcW w:w="0" w:type="auto"/>
            <w:gridSpan w:val="4"/>
            <w:vAlign w:val="center"/>
            <w:hideMark/>
          </w:tcPr>
          <w:p w:rsidR="0040139D" w:rsidRDefault="00855495">
            <w:r>
              <w:t>Годы</w:t>
            </w:r>
          </w:p>
        </w:tc>
      </w:tr>
      <w:tr w:rsidR="0040139D">
        <w:trPr>
          <w:trHeight w:val="315"/>
          <w:tblCellSpacing w:w="0" w:type="dxa"/>
        </w:trPr>
        <w:tc>
          <w:tcPr>
            <w:tcW w:w="0" w:type="auto"/>
            <w:vMerge/>
            <w:vAlign w:val="center"/>
            <w:hideMark/>
          </w:tcPr>
          <w:p w:rsidR="0040139D" w:rsidRDefault="0040139D"/>
        </w:tc>
        <w:tc>
          <w:tcPr>
            <w:tcW w:w="0" w:type="auto"/>
            <w:vAlign w:val="center"/>
            <w:hideMark/>
          </w:tcPr>
          <w:p w:rsidR="0040139D" w:rsidRDefault="00855495">
            <w:r>
              <w:t>2008</w:t>
            </w:r>
          </w:p>
        </w:tc>
        <w:tc>
          <w:tcPr>
            <w:tcW w:w="0" w:type="auto"/>
            <w:vAlign w:val="center"/>
            <w:hideMark/>
          </w:tcPr>
          <w:p w:rsidR="0040139D" w:rsidRDefault="00855495">
            <w:r>
              <w:t>2009</w:t>
            </w:r>
          </w:p>
        </w:tc>
        <w:tc>
          <w:tcPr>
            <w:tcW w:w="0" w:type="auto"/>
            <w:vAlign w:val="center"/>
            <w:hideMark/>
          </w:tcPr>
          <w:p w:rsidR="0040139D" w:rsidRDefault="00855495">
            <w:r>
              <w:t>2010</w:t>
            </w:r>
          </w:p>
        </w:tc>
        <w:tc>
          <w:tcPr>
            <w:tcW w:w="0" w:type="auto"/>
            <w:vAlign w:val="center"/>
            <w:hideMark/>
          </w:tcPr>
          <w:p w:rsidR="0040139D" w:rsidRDefault="00855495">
            <w:r>
              <w:t>2011</w:t>
            </w:r>
          </w:p>
        </w:tc>
      </w:tr>
      <w:tr w:rsidR="0040139D">
        <w:trPr>
          <w:trHeight w:val="285"/>
          <w:tblCellSpacing w:w="0" w:type="dxa"/>
        </w:trPr>
        <w:tc>
          <w:tcPr>
            <w:tcW w:w="0" w:type="auto"/>
            <w:vAlign w:val="center"/>
            <w:hideMark/>
          </w:tcPr>
          <w:p w:rsidR="0040139D" w:rsidRDefault="00855495">
            <w:r>
              <w:t>Орловская область</w:t>
            </w:r>
          </w:p>
        </w:tc>
        <w:tc>
          <w:tcPr>
            <w:tcW w:w="0" w:type="auto"/>
            <w:vAlign w:val="center"/>
            <w:hideMark/>
          </w:tcPr>
          <w:p w:rsidR="0040139D" w:rsidRDefault="00855495">
            <w:r>
              <w:t>1,17</w:t>
            </w:r>
          </w:p>
        </w:tc>
        <w:tc>
          <w:tcPr>
            <w:tcW w:w="0" w:type="auto"/>
            <w:vAlign w:val="center"/>
            <w:hideMark/>
          </w:tcPr>
          <w:p w:rsidR="0040139D" w:rsidRDefault="00855495">
            <w:r>
              <w:t>1,06</w:t>
            </w:r>
          </w:p>
        </w:tc>
        <w:tc>
          <w:tcPr>
            <w:tcW w:w="0" w:type="auto"/>
            <w:vAlign w:val="center"/>
            <w:hideMark/>
          </w:tcPr>
          <w:p w:rsidR="0040139D" w:rsidRDefault="00855495">
            <w:r>
              <w:t>0,85</w:t>
            </w:r>
          </w:p>
        </w:tc>
        <w:tc>
          <w:tcPr>
            <w:tcW w:w="0" w:type="auto"/>
            <w:vAlign w:val="center"/>
            <w:hideMark/>
          </w:tcPr>
          <w:p w:rsidR="0040139D" w:rsidRDefault="00855495">
            <w:r>
              <w:t>0,93</w:t>
            </w:r>
          </w:p>
        </w:tc>
      </w:tr>
      <w:tr w:rsidR="0040139D">
        <w:trPr>
          <w:trHeight w:val="285"/>
          <w:tblCellSpacing w:w="0" w:type="dxa"/>
        </w:trPr>
        <w:tc>
          <w:tcPr>
            <w:tcW w:w="0" w:type="auto"/>
            <w:vAlign w:val="center"/>
            <w:hideMark/>
          </w:tcPr>
          <w:p w:rsidR="0040139D" w:rsidRDefault="00855495">
            <w:r>
              <w:t>Рязанская область</w:t>
            </w:r>
          </w:p>
        </w:tc>
        <w:tc>
          <w:tcPr>
            <w:tcW w:w="0" w:type="auto"/>
            <w:vAlign w:val="center"/>
            <w:hideMark/>
          </w:tcPr>
          <w:p w:rsidR="0040139D" w:rsidRDefault="00855495">
            <w:r>
              <w:t>0,84</w:t>
            </w:r>
          </w:p>
        </w:tc>
        <w:tc>
          <w:tcPr>
            <w:tcW w:w="0" w:type="auto"/>
            <w:vAlign w:val="center"/>
            <w:hideMark/>
          </w:tcPr>
          <w:p w:rsidR="0040139D" w:rsidRDefault="00855495">
            <w:r>
              <w:t>0,92</w:t>
            </w:r>
          </w:p>
        </w:tc>
        <w:tc>
          <w:tcPr>
            <w:tcW w:w="0" w:type="auto"/>
            <w:vAlign w:val="center"/>
            <w:hideMark/>
          </w:tcPr>
          <w:p w:rsidR="0040139D" w:rsidRDefault="00855495">
            <w:r>
              <w:t>0,85</w:t>
            </w:r>
          </w:p>
        </w:tc>
        <w:tc>
          <w:tcPr>
            <w:tcW w:w="0" w:type="auto"/>
            <w:vAlign w:val="center"/>
            <w:hideMark/>
          </w:tcPr>
          <w:p w:rsidR="0040139D" w:rsidRDefault="00855495">
            <w:r>
              <w:t>0,87</w:t>
            </w:r>
          </w:p>
        </w:tc>
      </w:tr>
      <w:tr w:rsidR="0040139D">
        <w:trPr>
          <w:trHeight w:val="285"/>
          <w:tblCellSpacing w:w="0" w:type="dxa"/>
        </w:trPr>
        <w:tc>
          <w:tcPr>
            <w:tcW w:w="0" w:type="auto"/>
            <w:vAlign w:val="center"/>
            <w:hideMark/>
          </w:tcPr>
          <w:p w:rsidR="0040139D" w:rsidRDefault="00855495">
            <w:r>
              <w:t>Смоленская область</w:t>
            </w:r>
          </w:p>
        </w:tc>
        <w:tc>
          <w:tcPr>
            <w:tcW w:w="0" w:type="auto"/>
            <w:vAlign w:val="center"/>
            <w:hideMark/>
          </w:tcPr>
          <w:p w:rsidR="0040139D" w:rsidRDefault="00855495">
            <w:r>
              <w:t>0,61</w:t>
            </w:r>
          </w:p>
        </w:tc>
        <w:tc>
          <w:tcPr>
            <w:tcW w:w="0" w:type="auto"/>
            <w:vAlign w:val="center"/>
            <w:hideMark/>
          </w:tcPr>
          <w:p w:rsidR="0040139D" w:rsidRDefault="00855495">
            <w:r>
              <w:t>0,66</w:t>
            </w:r>
          </w:p>
        </w:tc>
        <w:tc>
          <w:tcPr>
            <w:tcW w:w="0" w:type="auto"/>
            <w:vAlign w:val="center"/>
            <w:hideMark/>
          </w:tcPr>
          <w:p w:rsidR="0040139D" w:rsidRDefault="00855495">
            <w:r>
              <w:t>0,75</w:t>
            </w:r>
          </w:p>
        </w:tc>
        <w:tc>
          <w:tcPr>
            <w:tcW w:w="0" w:type="auto"/>
            <w:vAlign w:val="center"/>
            <w:hideMark/>
          </w:tcPr>
          <w:p w:rsidR="0040139D" w:rsidRDefault="00855495">
            <w:r>
              <w:t>0,69</w:t>
            </w:r>
          </w:p>
        </w:tc>
      </w:tr>
      <w:tr w:rsidR="0040139D">
        <w:trPr>
          <w:trHeight w:val="285"/>
          <w:tblCellSpacing w:w="0" w:type="dxa"/>
        </w:trPr>
        <w:tc>
          <w:tcPr>
            <w:tcW w:w="0" w:type="auto"/>
            <w:vAlign w:val="center"/>
            <w:hideMark/>
          </w:tcPr>
          <w:p w:rsidR="0040139D" w:rsidRDefault="00855495">
            <w:r>
              <w:t>Тамбовская область</w:t>
            </w:r>
          </w:p>
        </w:tc>
        <w:tc>
          <w:tcPr>
            <w:tcW w:w="0" w:type="auto"/>
            <w:vAlign w:val="center"/>
            <w:hideMark/>
          </w:tcPr>
          <w:p w:rsidR="0040139D" w:rsidRDefault="00855495">
            <w:r>
              <w:t>1,12</w:t>
            </w:r>
          </w:p>
        </w:tc>
        <w:tc>
          <w:tcPr>
            <w:tcW w:w="0" w:type="auto"/>
            <w:vAlign w:val="center"/>
            <w:hideMark/>
          </w:tcPr>
          <w:p w:rsidR="0040139D" w:rsidRDefault="00855495">
            <w:r>
              <w:t>1,09</w:t>
            </w:r>
          </w:p>
        </w:tc>
        <w:tc>
          <w:tcPr>
            <w:tcW w:w="0" w:type="auto"/>
            <w:vAlign w:val="center"/>
            <w:hideMark/>
          </w:tcPr>
          <w:p w:rsidR="0040139D" w:rsidRDefault="00855495">
            <w:r>
              <w:t>1,06</w:t>
            </w:r>
          </w:p>
        </w:tc>
        <w:tc>
          <w:tcPr>
            <w:tcW w:w="0" w:type="auto"/>
            <w:vAlign w:val="center"/>
            <w:hideMark/>
          </w:tcPr>
          <w:p w:rsidR="0040139D" w:rsidRDefault="00855495">
            <w:r>
              <w:t>0,91</w:t>
            </w:r>
          </w:p>
        </w:tc>
      </w:tr>
      <w:tr w:rsidR="0040139D">
        <w:trPr>
          <w:trHeight w:val="285"/>
          <w:tblCellSpacing w:w="0" w:type="dxa"/>
        </w:trPr>
        <w:tc>
          <w:tcPr>
            <w:tcW w:w="0" w:type="auto"/>
            <w:vAlign w:val="center"/>
            <w:hideMark/>
          </w:tcPr>
          <w:p w:rsidR="0040139D" w:rsidRDefault="00855495">
            <w:r>
              <w:t>Тверская область</w:t>
            </w:r>
          </w:p>
        </w:tc>
        <w:tc>
          <w:tcPr>
            <w:tcW w:w="0" w:type="auto"/>
            <w:vAlign w:val="center"/>
            <w:hideMark/>
          </w:tcPr>
          <w:p w:rsidR="0040139D" w:rsidRDefault="00855495">
            <w:r>
              <w:t>0,94</w:t>
            </w:r>
          </w:p>
        </w:tc>
        <w:tc>
          <w:tcPr>
            <w:tcW w:w="0" w:type="auto"/>
            <w:vAlign w:val="center"/>
            <w:hideMark/>
          </w:tcPr>
          <w:p w:rsidR="0040139D" w:rsidRDefault="00855495">
            <w:r>
              <w:t>1,24</w:t>
            </w:r>
          </w:p>
        </w:tc>
        <w:tc>
          <w:tcPr>
            <w:tcW w:w="0" w:type="auto"/>
            <w:vAlign w:val="center"/>
            <w:hideMark/>
          </w:tcPr>
          <w:p w:rsidR="0040139D" w:rsidRDefault="00855495">
            <w:r>
              <w:t>1,21</w:t>
            </w:r>
          </w:p>
        </w:tc>
        <w:tc>
          <w:tcPr>
            <w:tcW w:w="0" w:type="auto"/>
            <w:vAlign w:val="center"/>
            <w:hideMark/>
          </w:tcPr>
          <w:p w:rsidR="0040139D" w:rsidRDefault="00855495">
            <w:r>
              <w:t>1,18</w:t>
            </w:r>
          </w:p>
        </w:tc>
      </w:tr>
      <w:tr w:rsidR="0040139D">
        <w:trPr>
          <w:trHeight w:val="285"/>
          <w:tblCellSpacing w:w="0" w:type="dxa"/>
        </w:trPr>
        <w:tc>
          <w:tcPr>
            <w:tcW w:w="0" w:type="auto"/>
            <w:vAlign w:val="center"/>
            <w:hideMark/>
          </w:tcPr>
          <w:p w:rsidR="0040139D" w:rsidRDefault="00855495">
            <w:r>
              <w:t>Тульская область</w:t>
            </w:r>
          </w:p>
        </w:tc>
        <w:tc>
          <w:tcPr>
            <w:tcW w:w="0" w:type="auto"/>
            <w:vAlign w:val="center"/>
            <w:hideMark/>
          </w:tcPr>
          <w:p w:rsidR="0040139D" w:rsidRDefault="00855495">
            <w:r>
              <w:t>0,77</w:t>
            </w:r>
          </w:p>
        </w:tc>
        <w:tc>
          <w:tcPr>
            <w:tcW w:w="0" w:type="auto"/>
            <w:vAlign w:val="center"/>
            <w:hideMark/>
          </w:tcPr>
          <w:p w:rsidR="0040139D" w:rsidRDefault="00855495">
            <w:r>
              <w:t>0,75</w:t>
            </w:r>
          </w:p>
        </w:tc>
        <w:tc>
          <w:tcPr>
            <w:tcW w:w="0" w:type="auto"/>
            <w:vAlign w:val="center"/>
            <w:hideMark/>
          </w:tcPr>
          <w:p w:rsidR="0040139D" w:rsidRDefault="00855495">
            <w:r>
              <w:t>0,89</w:t>
            </w:r>
          </w:p>
        </w:tc>
        <w:tc>
          <w:tcPr>
            <w:tcW w:w="0" w:type="auto"/>
            <w:vAlign w:val="center"/>
            <w:hideMark/>
          </w:tcPr>
          <w:p w:rsidR="0040139D" w:rsidRDefault="00855495">
            <w:r>
              <w:t>0,98</w:t>
            </w:r>
          </w:p>
        </w:tc>
      </w:tr>
      <w:tr w:rsidR="0040139D">
        <w:trPr>
          <w:trHeight w:val="285"/>
          <w:tblCellSpacing w:w="0" w:type="dxa"/>
        </w:trPr>
        <w:tc>
          <w:tcPr>
            <w:tcW w:w="0" w:type="auto"/>
            <w:vAlign w:val="center"/>
            <w:hideMark/>
          </w:tcPr>
          <w:p w:rsidR="0040139D" w:rsidRDefault="00855495">
            <w:r>
              <w:t>Ярославская область</w:t>
            </w:r>
          </w:p>
        </w:tc>
        <w:tc>
          <w:tcPr>
            <w:tcW w:w="0" w:type="auto"/>
            <w:vAlign w:val="center"/>
            <w:hideMark/>
          </w:tcPr>
          <w:p w:rsidR="0040139D" w:rsidRDefault="00855495">
            <w:r>
              <w:t>1,34</w:t>
            </w:r>
          </w:p>
        </w:tc>
        <w:tc>
          <w:tcPr>
            <w:tcW w:w="0" w:type="auto"/>
            <w:vAlign w:val="center"/>
            <w:hideMark/>
          </w:tcPr>
          <w:p w:rsidR="0040139D" w:rsidRDefault="00855495">
            <w:r>
              <w:t>1,65</w:t>
            </w:r>
          </w:p>
        </w:tc>
        <w:tc>
          <w:tcPr>
            <w:tcW w:w="0" w:type="auto"/>
            <w:vAlign w:val="center"/>
            <w:hideMark/>
          </w:tcPr>
          <w:p w:rsidR="0040139D" w:rsidRDefault="00855495">
            <w:r>
              <w:t>1,51</w:t>
            </w:r>
          </w:p>
        </w:tc>
        <w:tc>
          <w:tcPr>
            <w:tcW w:w="0" w:type="auto"/>
            <w:vAlign w:val="center"/>
            <w:hideMark/>
          </w:tcPr>
          <w:p w:rsidR="0040139D" w:rsidRDefault="00855495">
            <w:r>
              <w:t>1,71</w:t>
            </w:r>
          </w:p>
        </w:tc>
      </w:tr>
      <w:tr w:rsidR="0040139D">
        <w:trPr>
          <w:trHeight w:val="300"/>
          <w:tblCellSpacing w:w="0" w:type="dxa"/>
        </w:trPr>
        <w:tc>
          <w:tcPr>
            <w:tcW w:w="0" w:type="auto"/>
            <w:vAlign w:val="center"/>
            <w:hideMark/>
          </w:tcPr>
          <w:p w:rsidR="0040139D" w:rsidRDefault="00855495">
            <w:r>
              <w:t>г. Москва</w:t>
            </w:r>
          </w:p>
        </w:tc>
        <w:tc>
          <w:tcPr>
            <w:tcW w:w="0" w:type="auto"/>
            <w:vAlign w:val="center"/>
            <w:hideMark/>
          </w:tcPr>
          <w:p w:rsidR="0040139D" w:rsidRDefault="00855495">
            <w:r>
              <w:t>1,42</w:t>
            </w:r>
          </w:p>
        </w:tc>
        <w:tc>
          <w:tcPr>
            <w:tcW w:w="0" w:type="auto"/>
            <w:vAlign w:val="center"/>
            <w:hideMark/>
          </w:tcPr>
          <w:p w:rsidR="0040139D" w:rsidRDefault="00855495">
            <w:r>
              <w:t>1,35</w:t>
            </w:r>
          </w:p>
        </w:tc>
        <w:tc>
          <w:tcPr>
            <w:tcW w:w="0" w:type="auto"/>
            <w:vAlign w:val="center"/>
            <w:hideMark/>
          </w:tcPr>
          <w:p w:rsidR="0040139D" w:rsidRDefault="00855495">
            <w:r>
              <w:t>1,44</w:t>
            </w:r>
          </w:p>
        </w:tc>
        <w:tc>
          <w:tcPr>
            <w:tcW w:w="0" w:type="auto"/>
            <w:vAlign w:val="center"/>
            <w:hideMark/>
          </w:tcPr>
          <w:p w:rsidR="0040139D" w:rsidRDefault="00855495">
            <w:r>
              <w:t>1,48</w:t>
            </w:r>
          </w:p>
        </w:tc>
      </w:tr>
    </w:tbl>
    <w:p w:rsidR="0040139D" w:rsidRPr="00855495" w:rsidRDefault="00855495">
      <w:pPr>
        <w:pStyle w:val="a3"/>
      </w:pPr>
      <w:r>
        <w:t>Таблица 4</w:t>
      </w:r>
    </w:p>
    <w:p w:rsidR="0040139D" w:rsidRDefault="00855495">
      <w:pPr>
        <w:pStyle w:val="a3"/>
      </w:pPr>
      <w:r>
        <w:t>Распределение регионов ЦФО по уровню инновационного потенциала в 2011 г.</w:t>
      </w:r>
    </w:p>
    <w:p w:rsidR="0040139D" w:rsidRDefault="00855495">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tblGrid>
      <w:tr w:rsidR="0040139D">
        <w:trPr>
          <w:trHeight w:val="570"/>
          <w:tblCellSpacing w:w="0" w:type="dxa"/>
        </w:trPr>
        <w:tc>
          <w:tcPr>
            <w:tcW w:w="0" w:type="auto"/>
            <w:vAlign w:val="center"/>
            <w:hideMark/>
          </w:tcPr>
          <w:p w:rsidR="0040139D" w:rsidRDefault="00855495">
            <w:r>
              <w:t>Низкий Менее 0,9</w:t>
            </w:r>
          </w:p>
        </w:tc>
        <w:tc>
          <w:tcPr>
            <w:tcW w:w="0" w:type="auto"/>
            <w:vAlign w:val="center"/>
            <w:hideMark/>
          </w:tcPr>
          <w:p w:rsidR="0040139D" w:rsidRDefault="00855495">
            <w:r>
              <w:t>Средний От 0,9 до 1,3</w:t>
            </w:r>
          </w:p>
        </w:tc>
        <w:tc>
          <w:tcPr>
            <w:tcW w:w="0" w:type="auto"/>
            <w:vAlign w:val="center"/>
            <w:hideMark/>
          </w:tcPr>
          <w:p w:rsidR="0040139D" w:rsidRDefault="00855495">
            <w:r>
              <w:t>Высокий Выше 1,3</w:t>
            </w:r>
          </w:p>
        </w:tc>
      </w:tr>
      <w:tr w:rsidR="0040139D">
        <w:trPr>
          <w:trHeight w:val="285"/>
          <w:tblCellSpacing w:w="0" w:type="dxa"/>
        </w:trPr>
        <w:tc>
          <w:tcPr>
            <w:tcW w:w="0" w:type="auto"/>
            <w:vAlign w:val="center"/>
            <w:hideMark/>
          </w:tcPr>
          <w:p w:rsidR="0040139D" w:rsidRDefault="00855495">
            <w:r>
              <w:t>Белгородская область</w:t>
            </w:r>
          </w:p>
        </w:tc>
        <w:tc>
          <w:tcPr>
            <w:tcW w:w="0" w:type="auto"/>
            <w:vAlign w:val="center"/>
            <w:hideMark/>
          </w:tcPr>
          <w:p w:rsidR="0040139D" w:rsidRDefault="00855495">
            <w:r>
              <w:t>Владимирская область</w:t>
            </w:r>
          </w:p>
        </w:tc>
        <w:tc>
          <w:tcPr>
            <w:tcW w:w="0" w:type="auto"/>
            <w:vAlign w:val="center"/>
            <w:hideMark/>
          </w:tcPr>
          <w:p w:rsidR="0040139D" w:rsidRDefault="00855495">
            <w:r>
              <w:t>Воронежская область</w:t>
            </w:r>
          </w:p>
        </w:tc>
      </w:tr>
      <w:tr w:rsidR="0040139D">
        <w:trPr>
          <w:trHeight w:val="285"/>
          <w:tblCellSpacing w:w="0" w:type="dxa"/>
        </w:trPr>
        <w:tc>
          <w:tcPr>
            <w:tcW w:w="0" w:type="auto"/>
            <w:vAlign w:val="center"/>
            <w:hideMark/>
          </w:tcPr>
          <w:p w:rsidR="0040139D" w:rsidRDefault="00855495">
            <w:r>
              <w:t>Брянская область</w:t>
            </w:r>
          </w:p>
        </w:tc>
        <w:tc>
          <w:tcPr>
            <w:tcW w:w="0" w:type="auto"/>
            <w:vAlign w:val="center"/>
            <w:hideMark/>
          </w:tcPr>
          <w:p w:rsidR="0040139D" w:rsidRDefault="00855495">
            <w:r>
              <w:t>Ивановская область</w:t>
            </w:r>
          </w:p>
        </w:tc>
        <w:tc>
          <w:tcPr>
            <w:tcW w:w="0" w:type="auto"/>
            <w:vAlign w:val="center"/>
            <w:hideMark/>
          </w:tcPr>
          <w:p w:rsidR="0040139D" w:rsidRDefault="00855495">
            <w:r>
              <w:t>Калужская область</w:t>
            </w:r>
          </w:p>
        </w:tc>
      </w:tr>
      <w:tr w:rsidR="0040139D">
        <w:trPr>
          <w:trHeight w:val="285"/>
          <w:tblCellSpacing w:w="0" w:type="dxa"/>
        </w:trPr>
        <w:tc>
          <w:tcPr>
            <w:tcW w:w="0" w:type="auto"/>
            <w:vAlign w:val="center"/>
            <w:hideMark/>
          </w:tcPr>
          <w:p w:rsidR="0040139D" w:rsidRDefault="00855495">
            <w:r>
              <w:t>Костромская область</w:t>
            </w:r>
          </w:p>
        </w:tc>
        <w:tc>
          <w:tcPr>
            <w:tcW w:w="0" w:type="auto"/>
            <w:vAlign w:val="center"/>
            <w:hideMark/>
          </w:tcPr>
          <w:p w:rsidR="0040139D" w:rsidRDefault="00855495">
            <w:r>
              <w:t>Орловская область</w:t>
            </w:r>
          </w:p>
        </w:tc>
        <w:tc>
          <w:tcPr>
            <w:tcW w:w="0" w:type="auto"/>
            <w:vAlign w:val="center"/>
            <w:hideMark/>
          </w:tcPr>
          <w:p w:rsidR="0040139D" w:rsidRDefault="00855495">
            <w:r>
              <w:t>г. Москва</w:t>
            </w:r>
          </w:p>
        </w:tc>
      </w:tr>
      <w:tr w:rsidR="0040139D">
        <w:trPr>
          <w:trHeight w:val="285"/>
          <w:tblCellSpacing w:w="0" w:type="dxa"/>
        </w:trPr>
        <w:tc>
          <w:tcPr>
            <w:tcW w:w="0" w:type="auto"/>
            <w:vAlign w:val="center"/>
            <w:hideMark/>
          </w:tcPr>
          <w:p w:rsidR="0040139D" w:rsidRDefault="00855495">
            <w:r>
              <w:t>Курская область</w:t>
            </w:r>
          </w:p>
        </w:tc>
        <w:tc>
          <w:tcPr>
            <w:tcW w:w="0" w:type="auto"/>
            <w:vAlign w:val="center"/>
            <w:hideMark/>
          </w:tcPr>
          <w:p w:rsidR="0040139D" w:rsidRDefault="00855495">
            <w:r>
              <w:t>Тамбовская область</w:t>
            </w:r>
          </w:p>
        </w:tc>
        <w:tc>
          <w:tcPr>
            <w:tcW w:w="0" w:type="auto"/>
            <w:vAlign w:val="center"/>
            <w:hideMark/>
          </w:tcPr>
          <w:p w:rsidR="0040139D" w:rsidRDefault="00855495">
            <w:r>
              <w:t>Московская область</w:t>
            </w:r>
          </w:p>
        </w:tc>
      </w:tr>
      <w:tr w:rsidR="0040139D">
        <w:trPr>
          <w:trHeight w:val="285"/>
          <w:tblCellSpacing w:w="0" w:type="dxa"/>
        </w:trPr>
        <w:tc>
          <w:tcPr>
            <w:tcW w:w="0" w:type="auto"/>
            <w:vAlign w:val="center"/>
            <w:hideMark/>
          </w:tcPr>
          <w:p w:rsidR="0040139D" w:rsidRDefault="00855495">
            <w:r>
              <w:t>Рязанская область</w:t>
            </w:r>
          </w:p>
        </w:tc>
        <w:tc>
          <w:tcPr>
            <w:tcW w:w="0" w:type="auto"/>
            <w:vAlign w:val="center"/>
            <w:hideMark/>
          </w:tcPr>
          <w:p w:rsidR="0040139D" w:rsidRDefault="00855495">
            <w:r>
              <w:t>Тверская область</w:t>
            </w:r>
          </w:p>
        </w:tc>
        <w:tc>
          <w:tcPr>
            <w:tcW w:w="0" w:type="auto"/>
            <w:vAlign w:val="center"/>
            <w:hideMark/>
          </w:tcPr>
          <w:p w:rsidR="0040139D" w:rsidRDefault="00855495">
            <w:r>
              <w:t>Ярославская область</w:t>
            </w:r>
          </w:p>
        </w:tc>
      </w:tr>
      <w:tr w:rsidR="0040139D">
        <w:trPr>
          <w:trHeight w:val="285"/>
          <w:tblCellSpacing w:w="0" w:type="dxa"/>
        </w:trPr>
        <w:tc>
          <w:tcPr>
            <w:tcW w:w="0" w:type="auto"/>
            <w:vAlign w:val="center"/>
            <w:hideMark/>
          </w:tcPr>
          <w:p w:rsidR="0040139D" w:rsidRDefault="00855495">
            <w:r>
              <w:t>Смоленская область</w:t>
            </w:r>
          </w:p>
        </w:tc>
        <w:tc>
          <w:tcPr>
            <w:tcW w:w="0" w:type="auto"/>
            <w:vAlign w:val="center"/>
            <w:hideMark/>
          </w:tcPr>
          <w:p w:rsidR="0040139D" w:rsidRDefault="00855495">
            <w:r>
              <w:t> </w:t>
            </w:r>
          </w:p>
        </w:tc>
        <w:tc>
          <w:tcPr>
            <w:tcW w:w="0" w:type="auto"/>
            <w:vAlign w:val="center"/>
            <w:hideMark/>
          </w:tcPr>
          <w:p w:rsidR="0040139D" w:rsidRDefault="00855495">
            <w:r>
              <w:t> </w:t>
            </w:r>
          </w:p>
        </w:tc>
      </w:tr>
      <w:tr w:rsidR="0040139D">
        <w:trPr>
          <w:trHeight w:val="300"/>
          <w:tblCellSpacing w:w="0" w:type="dxa"/>
        </w:trPr>
        <w:tc>
          <w:tcPr>
            <w:tcW w:w="0" w:type="auto"/>
            <w:vAlign w:val="center"/>
            <w:hideMark/>
          </w:tcPr>
          <w:p w:rsidR="0040139D" w:rsidRDefault="00855495">
            <w:r>
              <w:t>Липецкая область</w:t>
            </w:r>
          </w:p>
        </w:tc>
        <w:tc>
          <w:tcPr>
            <w:tcW w:w="0" w:type="auto"/>
            <w:vAlign w:val="center"/>
            <w:hideMark/>
          </w:tcPr>
          <w:p w:rsidR="0040139D" w:rsidRDefault="00855495">
            <w:r>
              <w:t> </w:t>
            </w:r>
          </w:p>
        </w:tc>
        <w:tc>
          <w:tcPr>
            <w:tcW w:w="0" w:type="auto"/>
            <w:vAlign w:val="center"/>
            <w:hideMark/>
          </w:tcPr>
          <w:p w:rsidR="0040139D" w:rsidRDefault="00855495">
            <w:r>
              <w:t> </w:t>
            </w:r>
          </w:p>
        </w:tc>
      </w:tr>
    </w:tbl>
    <w:p w:rsidR="0040139D" w:rsidRPr="00855495" w:rsidRDefault="00855495">
      <w:pPr>
        <w:pStyle w:val="a3"/>
      </w:pPr>
      <w:r>
        <w:t>Полученное распределение говорит о сильной дифференциации регионов ЦФО по уровню инновационного потенциала. В группе с низким потенциалом находятся 7 областей, в группах со средним и высоким потенциалом - по 5 областей.</w:t>
      </w:r>
    </w:p>
    <w:p w:rsidR="0040139D" w:rsidRDefault="00855495">
      <w:pPr>
        <w:pStyle w:val="a3"/>
      </w:pPr>
      <w:r>
        <w:t>В ходе исследования было установлено, что основными факторами различия регионов по уровню инновационного потенциала являются концентрация финансовых, интеллектуальных, информационно-коммуникационных, организационных ресурсов в развитых регионах, прежде всего, в Москве и Московской области. Для повышения инновационного потенциала остальных регионов необходимо соблюдение следующих условий:</w:t>
      </w:r>
    </w:p>
    <w:p w:rsidR="0040139D" w:rsidRDefault="00855495">
      <w:pPr>
        <w:pStyle w:val="a3"/>
      </w:pPr>
      <w:r>
        <w:t>Эффективное использование имеющихся бюджетных ресурсов.</w:t>
      </w:r>
    </w:p>
    <w:p w:rsidR="0040139D" w:rsidRDefault="00855495">
      <w:pPr>
        <w:pStyle w:val="a3"/>
      </w:pPr>
      <w:r>
        <w:t>Создание условий для ускоренного внедренияорганизационноуправленческих, маркетинговых, технологических и других нововведений.</w:t>
      </w:r>
    </w:p>
    <w:p w:rsidR="0040139D" w:rsidRDefault="00855495">
      <w:pPr>
        <w:pStyle w:val="a3"/>
      </w:pPr>
      <w:r>
        <w:t>Грамотное планирование и распределение материальных ресурсов в высокотехнологичных отраслях региона.</w:t>
      </w:r>
    </w:p>
    <w:p w:rsidR="0040139D" w:rsidRDefault="00855495">
      <w:pPr>
        <w:pStyle w:val="a3"/>
      </w:pPr>
      <w:r>
        <w:t>Поддержка существующих научно-исследовательских институтов и создание новых.</w:t>
      </w:r>
    </w:p>
    <w:p w:rsidR="0040139D" w:rsidRDefault="00855495">
      <w:pPr>
        <w:pStyle w:val="a3"/>
      </w:pPr>
      <w:r>
        <w:t>При выполнении данных условий возможно постепенное нивелирование дифференциации регионов ЦФО по уровню инновационного потенциала и дальнейшее эффективное инновационное развитие экономики страны в целом.</w:t>
      </w:r>
    </w:p>
    <w:p w:rsidR="0040139D" w:rsidRDefault="00855495">
      <w:pPr>
        <w:pStyle w:val="a3"/>
      </w:pPr>
      <w:r>
        <w:t>Список литературы</w:t>
      </w:r>
    </w:p>
    <w:p w:rsidR="0040139D" w:rsidRDefault="00855495">
      <w:pPr>
        <w:pStyle w:val="a3"/>
      </w:pPr>
      <w:r>
        <w:t>Вертакова Ю.В., Алпеева Е.А. Компаративный анализ методик измерения инновационного потенциала региона // Регион: системы, экономика, управление. 2009. №3. С. 9-20</w:t>
      </w:r>
    </w:p>
    <w:p w:rsidR="0040139D" w:rsidRDefault="00855495">
      <w:pPr>
        <w:pStyle w:val="a3"/>
      </w:pPr>
      <w:r>
        <w:t>Вертакова Ю.В., Залесский И.И. Диагностика инновационной системы региона // Экономика и управление. 2010. №11. С. 57-61.</w:t>
      </w:r>
    </w:p>
    <w:p w:rsidR="0040139D" w:rsidRDefault="00855495">
      <w:pPr>
        <w:pStyle w:val="a3"/>
      </w:pPr>
      <w:r>
        <w:t>Колмыкова Т.С., Галахов Д.И. Проблемы инновационного развития высокотехнологичного сектора экономики России // Микроэкономика. 2012. № 3. экономические показатели. 2012: стат. сб. С.91-94./ Росстат. М., 2012.</w:t>
      </w:r>
      <w:bookmarkStart w:id="0" w:name="_GoBack"/>
      <w:bookmarkEnd w:id="0"/>
    </w:p>
    <w:sectPr w:rsidR="0040139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495"/>
    <w:rsid w:val="00164984"/>
    <w:rsid w:val="0040139D"/>
    <w:rsid w:val="0085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8A413A-EA0F-439B-9703-853EE8C17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1714</Words>
  <Characters>9775</Characters>
  <Application>Microsoft Office Word</Application>
  <DocSecurity>0</DocSecurity>
  <Lines>81</Lines>
  <Paragraphs>22</Paragraphs>
  <ScaleCrop>false</ScaleCrop>
  <Company>diakov.net</Company>
  <LinksUpToDate>false</LinksUpToDate>
  <CharactersWithSpaces>11467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Сравнительный анализ и оценка инновационного потенциала регионов ЦФО</dc:title>
  <dc:subject/>
  <dc:creator>Irina</dc:creator>
  <cp:keywords/>
  <dc:description/>
  <cp:lastModifiedBy>Irina</cp:lastModifiedBy>
  <cp:revision>2</cp:revision>
  <dcterms:created xsi:type="dcterms:W3CDTF">2014-08-02T19:24:00Z</dcterms:created>
  <dcterms:modified xsi:type="dcterms:W3CDTF">2014-08-02T19:24:00Z</dcterms:modified>
</cp:coreProperties>
</file>