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B9" w:rsidRPr="00A449F4" w:rsidRDefault="00D731B9" w:rsidP="00D731B9">
      <w:pPr>
        <w:spacing w:before="120"/>
        <w:jc w:val="center"/>
        <w:rPr>
          <w:b/>
          <w:sz w:val="32"/>
        </w:rPr>
      </w:pPr>
      <w:r w:rsidRPr="00A449F4">
        <w:rPr>
          <w:b/>
          <w:sz w:val="32"/>
        </w:rPr>
        <w:t>Приднестровский вопрос в политической практике России и Запада</w:t>
      </w:r>
    </w:p>
    <w:p w:rsidR="00D731B9" w:rsidRPr="00A449F4" w:rsidRDefault="00D731B9" w:rsidP="00D731B9">
      <w:pPr>
        <w:spacing w:before="120"/>
        <w:jc w:val="center"/>
        <w:rPr>
          <w:sz w:val="28"/>
        </w:rPr>
      </w:pPr>
      <w:r w:rsidRPr="00A449F4">
        <w:rPr>
          <w:sz w:val="28"/>
        </w:rPr>
        <w:t xml:space="preserve">А. В. Девятков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Особенностью большинства современных вооруженных конфликтов является их внутренняя природа: они происходят уже не между государствами</w:t>
      </w:r>
      <w:r>
        <w:t xml:space="preserve">, </w:t>
      </w:r>
      <w:r w:rsidRPr="008860AD">
        <w:t>а внутри государственных образований. Приднестровский конфликт относится именно к такой категории конфликтов. Он также характеризуется как «замороженный»</w:t>
      </w:r>
      <w:r>
        <w:t xml:space="preserve">, </w:t>
      </w:r>
      <w:r w:rsidRPr="008860AD">
        <w:t>что подчеркивает тот факт</w:t>
      </w:r>
      <w:r>
        <w:t xml:space="preserve">, </w:t>
      </w:r>
      <w:r w:rsidRPr="008860AD">
        <w:t>что политическое урегулирование этого конфликта представляет собой процесс</w:t>
      </w:r>
      <w:r>
        <w:t xml:space="preserve">, </w:t>
      </w:r>
      <w:r w:rsidRPr="008860AD">
        <w:t>растянувшийся на десятилетия.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Фактором этого конфликта можно считать</w:t>
      </w:r>
      <w:r>
        <w:t xml:space="preserve">, </w:t>
      </w:r>
      <w:r w:rsidRPr="008860AD">
        <w:t>кроме молдавско-приднестровских проблем</w:t>
      </w:r>
      <w:r>
        <w:t xml:space="preserve">, </w:t>
      </w:r>
      <w:r w:rsidRPr="008860AD">
        <w:t>также и внешние противоречия между политическими субъектами</w:t>
      </w:r>
      <w:r>
        <w:t xml:space="preserve">, </w:t>
      </w:r>
      <w:r w:rsidRPr="008860AD">
        <w:t>проявлявшими активный интерес к судьбе т. н. постсоветского пространства и Молдовы в частности. Появление внешнего измерения конфликта еще более поляризовало стороны конфликта</w:t>
      </w:r>
      <w:r>
        <w:t xml:space="preserve">, </w:t>
      </w:r>
      <w:r w:rsidRPr="008860AD">
        <w:t>сделав приднестровское урегулирование объектом геополитической «игры с нулевой суммой». В этот момент и возник приднестровский вопрос</w:t>
      </w:r>
      <w:r>
        <w:t xml:space="preserve">, </w:t>
      </w:r>
      <w:r w:rsidRPr="008860AD">
        <w:t>т. е. международно-политическая проблема</w:t>
      </w:r>
      <w:r>
        <w:t xml:space="preserve">, </w:t>
      </w:r>
      <w:r w:rsidRPr="008860AD">
        <w:t>в (не)решение которой вовлечены конфликтующие между собой по поводу этой проблемы ведущие акторы современной мировой политики — Россия</w:t>
      </w:r>
      <w:r>
        <w:t xml:space="preserve">, </w:t>
      </w:r>
      <w:r w:rsidRPr="008860AD">
        <w:t>объединенная Европа и США.</w:t>
      </w:r>
    </w:p>
    <w:p w:rsidR="00D731B9" w:rsidRPr="008860AD" w:rsidRDefault="00D731B9" w:rsidP="00D731B9">
      <w:pPr>
        <w:spacing w:before="120"/>
        <w:ind w:firstLine="567"/>
        <w:jc w:val="both"/>
      </w:pPr>
      <w:r w:rsidRPr="008860AD">
        <w:t>Таким образом</w:t>
      </w:r>
      <w:r>
        <w:t xml:space="preserve">, </w:t>
      </w:r>
      <w:r w:rsidRPr="008860AD">
        <w:t>целью данной статьи является рассмотрение того</w:t>
      </w:r>
      <w:r>
        <w:t xml:space="preserve">, </w:t>
      </w:r>
      <w:r w:rsidRPr="008860AD">
        <w:t>как приднестровский конфликт стал предметом политико-дипломатического противостояния в отношениях между Россией и группой государств</w:t>
      </w:r>
      <w:r>
        <w:t xml:space="preserve">, </w:t>
      </w:r>
      <w:r w:rsidRPr="008860AD">
        <w:t xml:space="preserve">которую в данном конкретном случае правомерно будет называть Западом. </w:t>
      </w:r>
    </w:p>
    <w:p w:rsidR="00D731B9" w:rsidRPr="00A449F4" w:rsidRDefault="00D731B9" w:rsidP="00D731B9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Идентичность и секьюритизация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Автор предлагает вариант деконструкции практики взаимоотношений внешних акторов приднестровского урегулирования</w:t>
      </w:r>
      <w:r>
        <w:t xml:space="preserve">, </w:t>
      </w:r>
      <w:r w:rsidRPr="008860AD">
        <w:t>построенный на теории социал-конструктивизма. Это подразумевает рассмотрение политики государств и надгосударственных образований в приднестровском вопросе не как воплощения наличествующих у них объективных «национальных интересов»</w:t>
      </w:r>
      <w:r>
        <w:t xml:space="preserve">, </w:t>
      </w:r>
      <w:r w:rsidRPr="008860AD">
        <w:t>а как результата конструирования в определенном внутриполитическом и международном контексте. В основе действий государств лежат доминирующие представления об идентичности</w:t>
      </w:r>
      <w:r>
        <w:t xml:space="preserve">, </w:t>
      </w:r>
      <w:r w:rsidRPr="008860AD">
        <w:t>которая подразумевает определение актором не только себя самого</w:t>
      </w:r>
      <w:r>
        <w:t xml:space="preserve">, </w:t>
      </w:r>
      <w:r w:rsidRPr="008860AD">
        <w:t>но и окружающего мира. Эти идентичности формируются на интерсубъективной основе</w:t>
      </w:r>
      <w:r>
        <w:t xml:space="preserve">, </w:t>
      </w:r>
      <w:r w:rsidRPr="008860AD">
        <w:t xml:space="preserve">т. е. они взаимосвязаны друг с другом. Образ «другого» всегда сопровождает процесс определения собственной идентичности [см.: Wendt].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Современными конструктивистами отмечается</w:t>
      </w:r>
      <w:r>
        <w:t xml:space="preserve">, </w:t>
      </w:r>
      <w:r w:rsidRPr="008860AD">
        <w:t>что идентичность таких крупных акторов</w:t>
      </w:r>
      <w:r>
        <w:t xml:space="preserve">, </w:t>
      </w:r>
      <w:r w:rsidRPr="008860AD">
        <w:t>как ЕС и Россия</w:t>
      </w:r>
      <w:r>
        <w:t xml:space="preserve">, </w:t>
      </w:r>
      <w:r w:rsidRPr="008860AD">
        <w:t>на современном этапе подвержена геополитизации</w:t>
      </w:r>
      <w:r>
        <w:t xml:space="preserve">, </w:t>
      </w:r>
      <w:r w:rsidRPr="008860AD">
        <w:t>что означает ренессанс территориального фактора в политике [см.: Browning</w:t>
      </w:r>
      <w:r>
        <w:t xml:space="preserve">, </w:t>
      </w:r>
      <w:r w:rsidRPr="008860AD">
        <w:t>Joenniemi; Diez]. На приднестровский вопрос это влияет прямым образом</w:t>
      </w:r>
      <w:r>
        <w:t xml:space="preserve">, </w:t>
      </w:r>
      <w:r w:rsidRPr="008860AD">
        <w:t xml:space="preserve">позиционируя его в контексте геополитизированных дискурсов о пространстве «соседства».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Таким образом</w:t>
      </w:r>
      <w:r>
        <w:t xml:space="preserve">, </w:t>
      </w:r>
      <w:r w:rsidRPr="008860AD">
        <w:t>идентичность всегда взаимосвязана с дискурсом безопасности: как отмечают современные критические исследователи</w:t>
      </w:r>
      <w:r>
        <w:t xml:space="preserve">, </w:t>
      </w:r>
      <w:r w:rsidRPr="008860AD">
        <w:t>для существования политического сообщества ключевое значение имеет противопоставление внешнему</w:t>
      </w:r>
      <w:r>
        <w:t xml:space="preserve">, </w:t>
      </w:r>
      <w:r w:rsidRPr="008860AD">
        <w:t>конституирующему «иному»</w:t>
      </w:r>
      <w:r>
        <w:t xml:space="preserve">, </w:t>
      </w:r>
      <w:r w:rsidRPr="008860AD">
        <w:t xml:space="preserve">который может позиционироваться и как угроза данному политическому сообществу [см.: Макарычев].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Для понимания приднестровского вопроса мы</w:t>
      </w:r>
      <w:r>
        <w:t xml:space="preserve">, </w:t>
      </w:r>
      <w:r w:rsidRPr="008860AD">
        <w:t>следовательно</w:t>
      </w:r>
      <w:r>
        <w:t xml:space="preserve">, </w:t>
      </w:r>
      <w:r w:rsidRPr="008860AD">
        <w:t>должны рассмотреть процесс превращения приднестровского урегулирования в вопрос безопасности во внутренних дискурсах ЕС</w:t>
      </w:r>
      <w:r>
        <w:t xml:space="preserve">, </w:t>
      </w:r>
      <w:r w:rsidRPr="008860AD">
        <w:t>России и США. Для этого будут выделены акты секьюритизации относительно приднестровского вопроса</w:t>
      </w:r>
      <w:r>
        <w:t xml:space="preserve">, </w:t>
      </w:r>
      <w:r w:rsidRPr="008860AD">
        <w:t>произошедшие в политической практике Запада и России и затрудняющие диалог по приднестровскому урегулированию.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Дело в том</w:t>
      </w:r>
      <w:r>
        <w:t xml:space="preserve">, </w:t>
      </w:r>
      <w:r w:rsidRPr="008860AD">
        <w:t>что приднестровский вопрос как на Западе</w:t>
      </w:r>
      <w:r>
        <w:t xml:space="preserve">, </w:t>
      </w:r>
      <w:r w:rsidRPr="008860AD">
        <w:t>так и в России воспринимается с точки зрения интересов безопасности и описывается в терминах безопасности. В этом случае наиболее эвристическим инструментом анализа среди конструктивистских концепций может служить теория секьюритизации</w:t>
      </w:r>
      <w:r>
        <w:t xml:space="preserve">, </w:t>
      </w:r>
      <w:r w:rsidRPr="008860AD">
        <w:t xml:space="preserve">разрабатываемая т. н. копенгагенской школой в лице О. Вивера и Б. Бузана. </w:t>
      </w:r>
    </w:p>
    <w:p w:rsidR="00D731B9" w:rsidRPr="008860AD" w:rsidRDefault="00D731B9" w:rsidP="00D731B9">
      <w:pPr>
        <w:spacing w:before="120"/>
        <w:ind w:firstLine="567"/>
        <w:jc w:val="both"/>
      </w:pPr>
      <w:r w:rsidRPr="008860AD">
        <w:t>Теория секьюритизации отправной точкой анализа считает сомнение в том</w:t>
      </w:r>
      <w:r>
        <w:t xml:space="preserve">, </w:t>
      </w:r>
      <w:r w:rsidRPr="008860AD">
        <w:t>как возникает та или иная проблема безопасности. Именно поэтому теоретики секьюритизации относят себя к представителям критического подхода</w:t>
      </w:r>
      <w:r>
        <w:t xml:space="preserve">, </w:t>
      </w:r>
      <w:r w:rsidRPr="008860AD">
        <w:t>подвергающим сомнению проблематику безопасности</w:t>
      </w:r>
      <w:r>
        <w:t xml:space="preserve">, </w:t>
      </w:r>
      <w:r w:rsidRPr="008860AD">
        <w:t>представляемую государственными и негосударственными лицами как объективная данность. С точки зрения О. Вивера</w:t>
      </w:r>
      <w:r>
        <w:t xml:space="preserve">, </w:t>
      </w:r>
      <w:r w:rsidRPr="008860AD">
        <w:t>проблема безопасности — это результат речевого акта</w:t>
      </w:r>
      <w:r>
        <w:t xml:space="preserve">, </w:t>
      </w:r>
      <w:r w:rsidRPr="008860AD">
        <w:t>который производится политическими субъектами ( securitizing actors )</w:t>
      </w:r>
      <w:r>
        <w:t xml:space="preserve">, </w:t>
      </w:r>
      <w:r w:rsidRPr="008860AD">
        <w:t>заинтересованными в том</w:t>
      </w:r>
      <w:r>
        <w:t xml:space="preserve">, </w:t>
      </w:r>
      <w:r w:rsidRPr="008860AD">
        <w:t>чтобы превратить вопрос</w:t>
      </w:r>
      <w:r>
        <w:t xml:space="preserve">, </w:t>
      </w:r>
      <w:r w:rsidRPr="008860AD">
        <w:t>который ранее решался в сфере публичной политики</w:t>
      </w:r>
      <w:r>
        <w:t xml:space="preserve">, </w:t>
      </w:r>
      <w:r w:rsidRPr="008860AD">
        <w:t>в проблему безопасности. Они формулируют угрозы</w:t>
      </w:r>
      <w:r>
        <w:t xml:space="preserve">, </w:t>
      </w:r>
      <w:r w:rsidRPr="008860AD">
        <w:t>называют объект</w:t>
      </w:r>
      <w:r>
        <w:t xml:space="preserve">, </w:t>
      </w:r>
      <w:r w:rsidRPr="008860AD">
        <w:t>для которого эти угрозы представляют опасность (национальная идентичность</w:t>
      </w:r>
      <w:r>
        <w:t xml:space="preserve">, </w:t>
      </w:r>
      <w:r w:rsidRPr="008860AD">
        <w:t>национальные интересы и т. д.)</w:t>
      </w:r>
      <w:r>
        <w:t xml:space="preserve">, </w:t>
      </w:r>
      <w:r w:rsidRPr="008860AD">
        <w:t>и главное</w:t>
      </w:r>
      <w:r>
        <w:t xml:space="preserve">, </w:t>
      </w:r>
      <w:r w:rsidRPr="008860AD">
        <w:t>предлагают меры</w:t>
      </w:r>
      <w:r>
        <w:t xml:space="preserve">, </w:t>
      </w:r>
      <w:r w:rsidRPr="008860AD">
        <w:t>которые носят чрезвычайный характер ( emergency measures ). Их цели могут быть самыми разнообразными</w:t>
      </w:r>
      <w:r>
        <w:t xml:space="preserve">, </w:t>
      </w:r>
      <w:r w:rsidRPr="008860AD">
        <w:t>но</w:t>
      </w:r>
      <w:r>
        <w:t xml:space="preserve">, </w:t>
      </w:r>
      <w:r w:rsidRPr="008860AD">
        <w:t>как правило</w:t>
      </w:r>
      <w:r>
        <w:t xml:space="preserve">, </w:t>
      </w:r>
      <w:r w:rsidRPr="008860AD">
        <w:t>они связаны с утверждением контроля над политическим дискурсом</w:t>
      </w:r>
      <w:r>
        <w:t xml:space="preserve">, </w:t>
      </w:r>
      <w:r w:rsidRPr="008860AD">
        <w:t>а значит</w:t>
      </w:r>
      <w:r>
        <w:t xml:space="preserve">, </w:t>
      </w:r>
      <w:r w:rsidRPr="008860AD">
        <w:t>с отношениями власти [Buzan etal.</w:t>
      </w:r>
      <w:r>
        <w:t xml:space="preserve">, </w:t>
      </w:r>
      <w:r w:rsidRPr="008860AD">
        <w:t xml:space="preserve"> 23—35 ]. </w:t>
      </w:r>
    </w:p>
    <w:p w:rsidR="00D731B9" w:rsidRPr="00A449F4" w:rsidRDefault="00D731B9" w:rsidP="00D731B9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Россия: борьба за самоопределение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Идентичность России как ключевого актора приднестровского урегулирования должна быть рассмотрена в первую очередь. Именно РФ с помощью операции по принуждению к миру летом </w:t>
      </w:r>
      <w:smartTag w:uri="urn:schemas-microsoft-com:office:smarttags" w:element="metricconverter">
        <w:smartTagPr>
          <w:attr w:name="ProductID" w:val="1992 г"/>
        </w:smartTagPr>
        <w:r w:rsidRPr="008860AD">
          <w:t>1992 г</w:t>
        </w:r>
      </w:smartTag>
      <w:r w:rsidRPr="008860AD">
        <w:t>. остановила наступление молдавской армии и полиции</w:t>
      </w:r>
      <w:r>
        <w:t xml:space="preserve">, </w:t>
      </w:r>
      <w:r w:rsidRPr="008860AD">
        <w:t>Россия же после заключения соглашения с Кишиневом образовала основу миротворческого контингента</w:t>
      </w:r>
      <w:r>
        <w:t xml:space="preserve">, </w:t>
      </w:r>
      <w:r w:rsidRPr="008860AD">
        <w:t xml:space="preserve">который находится там и поныне.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России в начале 90-х гг. предстояло определиться с тем</w:t>
      </w:r>
      <w:r>
        <w:t xml:space="preserve">, </w:t>
      </w:r>
      <w:r w:rsidRPr="008860AD">
        <w:t>как она воспринимает саму себя в мире в постсоветскую эпоху. Фактор конфликтов на постсоветском пространстве оказал значительное влияние на становление внешнеполитической идентичности России. Решающая роль России в их урегулировании подтолкнула российское руководство к мысли о «бремени миротворчества в СНГ»</w:t>
      </w:r>
      <w:r>
        <w:t xml:space="preserve">, </w:t>
      </w:r>
      <w:r w:rsidRPr="008860AD">
        <w:t>которое страна несет как глобальная и региональная держава. Выдвигался тезис об особой роли России в обеспечении стабильности на пространстве бывшего СССР</w:t>
      </w:r>
      <w:r>
        <w:t xml:space="preserve">, </w:t>
      </w:r>
      <w:r w:rsidRPr="008860AD">
        <w:t>которая</w:t>
      </w:r>
      <w:r>
        <w:t xml:space="preserve">, </w:t>
      </w:r>
      <w:r w:rsidRPr="008860AD">
        <w:t>как предполагалось</w:t>
      </w:r>
      <w:r>
        <w:t xml:space="preserve">, </w:t>
      </w:r>
      <w:r w:rsidRPr="008860AD">
        <w:t>признается Западом.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Идея державности и особой миссии в обеспечении стабильности на постсоветском пространстве сопровождалась дискурсом безопасности: считалось</w:t>
      </w:r>
      <w:r>
        <w:t xml:space="preserve">, </w:t>
      </w:r>
      <w:r w:rsidRPr="008860AD">
        <w:t>что дестабилизация постсоветского пространства угрожает территориальной целостности самой России. В качестве реальной угрозы позиционировался югослав-ский сценарий развития событий. В итоге был сделан вывод о необходимости реинтеграции ближнего зарубежья в единое политическое и экономическое пространство при лидирующей роли России — как альтернатива «балканизации» [см.: Концепция внешней политики…]. Примечательно</w:t>
      </w:r>
      <w:r>
        <w:t xml:space="preserve">, </w:t>
      </w:r>
      <w:r w:rsidRPr="008860AD">
        <w:t>что разговоры о балканизации были ключевым речевым актом</w:t>
      </w:r>
      <w:r>
        <w:t xml:space="preserve">, </w:t>
      </w:r>
      <w:r w:rsidRPr="008860AD">
        <w:t>который</w:t>
      </w:r>
      <w:r>
        <w:t xml:space="preserve">, </w:t>
      </w:r>
      <w:r w:rsidRPr="008860AD">
        <w:t>как отмечал теоретик секьюритизации О. Вивер</w:t>
      </w:r>
      <w:r>
        <w:t xml:space="preserve">, </w:t>
      </w:r>
      <w:r w:rsidRPr="008860AD">
        <w:t>помог развитию процессов европейской интеграции [см.: Waever]. Так Россия</w:t>
      </w:r>
      <w:r>
        <w:t xml:space="preserve">, </w:t>
      </w:r>
      <w:r w:rsidRPr="008860AD">
        <w:t>воспринимавшая себя как региональная и глобальная держава</w:t>
      </w:r>
      <w:r>
        <w:t xml:space="preserve">, </w:t>
      </w:r>
      <w:r w:rsidRPr="008860AD">
        <w:t>с помощью проблематизации вопросов безопасности обосновывала свои претензии на лидерство как в миротворчестве</w:t>
      </w:r>
      <w:r>
        <w:t xml:space="preserve">, </w:t>
      </w:r>
      <w:r w:rsidRPr="008860AD">
        <w:t>так и в интеграции на территории СНГ.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Осознавая свою роль</w:t>
      </w:r>
      <w:r>
        <w:t xml:space="preserve">, </w:t>
      </w:r>
      <w:r w:rsidRPr="008860AD">
        <w:t>Россия в 1990-е — начале 2000-х гг. осуществляла интенсивную миротворческую деятельность на приднестровском направлении. При посредничестве Москвы были налажены первые контакты между двумя берегами Днестра</w:t>
      </w:r>
      <w:r>
        <w:t xml:space="preserve">, </w:t>
      </w:r>
      <w:r w:rsidRPr="008860AD">
        <w:t xml:space="preserve">в </w:t>
      </w:r>
      <w:smartTag w:uri="urn:schemas-microsoft-com:office:smarttags" w:element="metricconverter">
        <w:smartTagPr>
          <w:attr w:name="ProductID" w:val="1997 г"/>
        </w:smartTagPr>
        <w:r w:rsidRPr="008860AD">
          <w:t>1997 г</w:t>
        </w:r>
      </w:smartTag>
      <w:r w:rsidRPr="008860AD">
        <w:t>. подписан Меморандум о нормализации молдавско-приднестровских отношений</w:t>
      </w:r>
      <w:r>
        <w:t xml:space="preserve">, </w:t>
      </w:r>
      <w:r w:rsidRPr="008860AD">
        <w:t>закрепивший формулу «общего государства» Молдовы и Приднестровья</w:t>
      </w:r>
      <w:r>
        <w:t xml:space="preserve">, </w:t>
      </w:r>
      <w:r w:rsidRPr="008860AD">
        <w:t>предложен первый комплексный план урегулирования в рамках деятельности Государственной комиссии по содействию политическому урегулированию приднестровского конфликта</w:t>
      </w:r>
      <w:r>
        <w:t xml:space="preserve">, </w:t>
      </w:r>
      <w:r w:rsidRPr="008860AD">
        <w:t xml:space="preserve">созданной по инициативе В. Путина в </w:t>
      </w:r>
      <w:smartTag w:uri="urn:schemas-microsoft-com:office:smarttags" w:element="metricconverter">
        <w:smartTagPr>
          <w:attr w:name="ProductID" w:val="2000 г"/>
        </w:smartTagPr>
        <w:r w:rsidRPr="008860AD">
          <w:t>2000 г</w:t>
        </w:r>
      </w:smartTag>
      <w:r w:rsidRPr="008860AD">
        <w:t xml:space="preserve">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Но окончательное урегулирование не было достигнуто по вине обеих сторон конфликта</w:t>
      </w:r>
      <w:r>
        <w:t xml:space="preserve">, </w:t>
      </w:r>
      <w:r w:rsidRPr="008860AD">
        <w:t>так как и в Молдове</w:t>
      </w:r>
      <w:r>
        <w:t xml:space="preserve">, </w:t>
      </w:r>
      <w:r w:rsidRPr="008860AD">
        <w:t>и в Приднестровье есть «политические силы</w:t>
      </w:r>
      <w:r>
        <w:t xml:space="preserve">, </w:t>
      </w:r>
      <w:r w:rsidRPr="008860AD">
        <w:t>которые не заинтересованы в мирном урегулировании приднестровской проблемы»</w:t>
      </w:r>
      <w:r>
        <w:t xml:space="preserve">, </w:t>
      </w:r>
      <w:r w:rsidRPr="008860AD">
        <w:t>мечтающие о Великой Румынии либо о независимости Приднестровья [см.: Курьянов]. Не менее значимой причиной неудачи российского миротворчества в политической его части была косвенная поддержка Приднестровья со стороны России: пророссийская ориентация Приднестровья выступала инструментом закрепления России в регионе</w:t>
      </w:r>
      <w:r>
        <w:t xml:space="preserve">, </w:t>
      </w:r>
      <w:r w:rsidRPr="008860AD">
        <w:t>и основой политического урегулирования в Москве считалась не только территориальная целостность Молдовы</w:t>
      </w:r>
      <w:r>
        <w:t xml:space="preserve">, </w:t>
      </w:r>
      <w:r w:rsidRPr="008860AD">
        <w:t>но и «широкая независимость» Приднестровья. Такая поддержка России</w:t>
      </w:r>
      <w:r>
        <w:t xml:space="preserve">, </w:t>
      </w:r>
      <w:r w:rsidRPr="008860AD">
        <w:t>и особенно присутствие российских войск (миротворческого контингента</w:t>
      </w:r>
      <w:r>
        <w:t xml:space="preserve">, </w:t>
      </w:r>
      <w:r w:rsidRPr="008860AD">
        <w:t>а также группы войск</w:t>
      </w:r>
      <w:r>
        <w:t xml:space="preserve">, </w:t>
      </w:r>
      <w:r w:rsidRPr="008860AD">
        <w:t>охраняющей склады вооружений бывшей 14-й советской армии)</w:t>
      </w:r>
      <w:r>
        <w:t xml:space="preserve">, </w:t>
      </w:r>
      <w:r w:rsidRPr="008860AD">
        <w:t>вселяла уверенность в приднестровское руководство</w:t>
      </w:r>
      <w:r>
        <w:t xml:space="preserve">, </w:t>
      </w:r>
      <w:r w:rsidRPr="008860AD">
        <w:t>которое успешно реализовывало стратегию затягивания и срыва переговоров по конкретным вопросам урегулирования. Нерешенность приднестровской проблемы</w:t>
      </w:r>
      <w:r>
        <w:t xml:space="preserve">, </w:t>
      </w:r>
      <w:r w:rsidRPr="008860AD">
        <w:t>в свою очередь</w:t>
      </w:r>
      <w:r>
        <w:t xml:space="preserve">, </w:t>
      </w:r>
      <w:r w:rsidRPr="008860AD">
        <w:t>давала повод России сохранять свое военное присутствие</w:t>
      </w:r>
      <w:r>
        <w:t xml:space="preserve">, </w:t>
      </w:r>
      <w:r w:rsidRPr="008860AD">
        <w:t>которое также воспринималось как инструмент влияния на политические процессы в Молдове. Получался замкнутый круг</w:t>
      </w:r>
      <w:r>
        <w:t xml:space="preserve">, </w:t>
      </w:r>
      <w:r w:rsidRPr="008860AD">
        <w:t>свидетельствующий о том</w:t>
      </w:r>
      <w:r>
        <w:t xml:space="preserve">, </w:t>
      </w:r>
      <w:r w:rsidRPr="008860AD">
        <w:t xml:space="preserve">что совместить «национальные интересы» и приднестровское урегулирование Россия не смогла.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2003—2004-е гг. в России можно обозначить как начало практики гегемонистской артикуляции (термин Э. Лаклау и Ш. Муфф [см.: Йоргенсен</w:t>
      </w:r>
      <w:r>
        <w:t xml:space="preserve">, </w:t>
      </w:r>
      <w:r w:rsidRPr="008860AD">
        <w:t>Филипс</w:t>
      </w:r>
      <w:r>
        <w:t xml:space="preserve">, </w:t>
      </w:r>
      <w:r w:rsidRPr="008860AD">
        <w:t xml:space="preserve"> 79—93 ]) относительно российской идентичности</w:t>
      </w:r>
      <w:r>
        <w:t xml:space="preserve">, </w:t>
      </w:r>
      <w:r w:rsidRPr="008860AD">
        <w:t>которая строилась на исключении внешнего конституирующего «иного»</w:t>
      </w:r>
      <w:r>
        <w:t xml:space="preserve">, </w:t>
      </w:r>
      <w:r w:rsidRPr="008860AD">
        <w:t xml:space="preserve">в роли которого выступал Запад [см.: Морозов].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Действия западных государств («гуманитарные интервенции»</w:t>
      </w:r>
      <w:r>
        <w:t xml:space="preserve">, </w:t>
      </w:r>
      <w:r w:rsidRPr="008860AD">
        <w:t>расширение НАТО и ЕС</w:t>
      </w:r>
      <w:r>
        <w:t xml:space="preserve">, </w:t>
      </w:r>
      <w:r w:rsidRPr="008860AD">
        <w:t>оборонная политика США</w:t>
      </w:r>
      <w:r>
        <w:t xml:space="preserve">, </w:t>
      </w:r>
      <w:r w:rsidRPr="008860AD">
        <w:t>поддержка «цветных революций») позиционировались в российском дискурсе как проблемы национальной безопасности. Мотивы ЕС и США обозначались понятием «сдерживание России» [см.: Лавров]. Политическая риторика теперь возводила защитные стены вокруг постсоветского пространства</w:t>
      </w:r>
      <w:r>
        <w:t xml:space="preserve">, </w:t>
      </w:r>
      <w:r w:rsidRPr="008860AD">
        <w:t xml:space="preserve">которое однозначно стало позиционироваться Москвой как «зона влияния России».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Дискурс «сдерживания» непосредственно проявился в российской риторике относительно приднестровского урегулирования. Провал Меморандума Козака</w:t>
      </w:r>
      <w:r>
        <w:t xml:space="preserve">, </w:t>
      </w:r>
      <w:r w:rsidRPr="008860AD">
        <w:t xml:space="preserve">который был предложен Россией сторонам конфликта осенью </w:t>
      </w:r>
      <w:smartTag w:uri="urn:schemas-microsoft-com:office:smarttags" w:element="metricconverter">
        <w:smartTagPr>
          <w:attr w:name="ProductID" w:val="2003 г"/>
        </w:smartTagPr>
        <w:r w:rsidRPr="008860AD">
          <w:t>2003 г</w:t>
        </w:r>
      </w:smartTag>
      <w:r w:rsidRPr="008860AD">
        <w:t>. и подвержен обструкции со стороны Запада (что во многом и предопределило его неудачу)</w:t>
      </w:r>
      <w:r>
        <w:t xml:space="preserve">, </w:t>
      </w:r>
      <w:r w:rsidRPr="008860AD">
        <w:t>в Москве был воспринят негативно наравне с результатами политики относительно Украины и Грузии. Российские официальные лица не раз говорили</w:t>
      </w:r>
      <w:r>
        <w:t xml:space="preserve">, </w:t>
      </w:r>
      <w:r w:rsidRPr="008860AD">
        <w:t>что на примере приднестровского урегулирования Запад не прошел тест на способность принять «сильную» Россию [см.: Стенографический отчет…]. В итоге Россия недвусмысленно заявила</w:t>
      </w:r>
      <w:r>
        <w:t xml:space="preserve">, </w:t>
      </w:r>
      <w:r w:rsidRPr="008860AD">
        <w:t>что условием урегулирования конфликта она считает нейтралитет Молдовы</w:t>
      </w:r>
      <w:r>
        <w:t xml:space="preserve">, </w:t>
      </w:r>
      <w:r w:rsidRPr="008860AD">
        <w:t>т. е. невступление ее в НАТО</w:t>
      </w:r>
      <w:r>
        <w:t xml:space="preserve">, </w:t>
      </w:r>
      <w:r w:rsidRPr="008860AD">
        <w:t>а также отход от «прозападной» ориентации. В своей приднестровской политике Москва ориентировалась на полное исключение ЕС и США из процесса урегулирования</w:t>
      </w:r>
      <w:r>
        <w:t xml:space="preserve">, </w:t>
      </w:r>
      <w:r w:rsidRPr="008860AD">
        <w:t xml:space="preserve">а в 2008—2009 гг. пыталась в очередной раз в обход формата «5+2» достигнуть сепаратного соглашения между Кишиневом и Тирасполем. </w:t>
      </w:r>
    </w:p>
    <w:p w:rsidR="00D731B9" w:rsidRPr="00A449F4" w:rsidRDefault="00D731B9" w:rsidP="00D731B9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Западные подходы к приднестровскому вопросу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Европейский союз в первой половине 2000-х гг. проходил этап становления своей внешнеполитической идентичности</w:t>
      </w:r>
      <w:r>
        <w:t xml:space="preserve">, </w:t>
      </w:r>
      <w:r w:rsidRPr="008860AD">
        <w:t xml:space="preserve">которая получила толчок к развитию в связи с построением общеевропейской внешней и оборонной политики.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Так же как и в случае с Россией</w:t>
      </w:r>
      <w:r>
        <w:t xml:space="preserve">, </w:t>
      </w:r>
      <w:r w:rsidRPr="008860AD">
        <w:t>эта идентичность базировалась на представлении ЕС о самом себе как крупном глобальном игроке</w:t>
      </w:r>
      <w:r>
        <w:t xml:space="preserve">, </w:t>
      </w:r>
      <w:r w:rsidRPr="008860AD">
        <w:t>как «великой державе постмодерна» [Ferrero-Waldner]. Для реализации такой роли были определены ключевые внешнеполитические приоритеты</w:t>
      </w:r>
      <w:r>
        <w:t xml:space="preserve">, </w:t>
      </w:r>
      <w:r w:rsidRPr="008860AD">
        <w:t xml:space="preserve">однако особую значимость среди них приобрела «восточная политика» ЕС. Связано это с расширением ЕС в </w:t>
      </w:r>
      <w:smartTag w:uri="urn:schemas-microsoft-com:office:smarttags" w:element="metricconverter">
        <w:smartTagPr>
          <w:attr w:name="ProductID" w:val="2004 г"/>
        </w:smartTagPr>
        <w:r w:rsidRPr="008860AD">
          <w:t>2004 г</w:t>
        </w:r>
      </w:smartTag>
      <w:r w:rsidRPr="008860AD">
        <w:t xml:space="preserve">. и ожиданием «соседства» в лице стран постсоветского пространства.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Географическая близость этих стран была интерпретирована в рамках классического дискурса о Восточной Европе [см.: Нойманн]. Утвержденная в 2003 г. Европейская стратегия безопасности характеризовала «соседство» как зону нестабильности</w:t>
      </w:r>
      <w:r>
        <w:t xml:space="preserve">, </w:t>
      </w:r>
      <w:r w:rsidRPr="008860AD">
        <w:t>зону конфликтов</w:t>
      </w:r>
      <w:r>
        <w:t xml:space="preserve">, </w:t>
      </w:r>
      <w:r w:rsidRPr="008860AD">
        <w:t>источник «мягких» угроз безопасности [см.: Безопасная Европа…</w:t>
      </w:r>
      <w:r>
        <w:t xml:space="preserve">, </w:t>
      </w:r>
      <w:r w:rsidRPr="008860AD">
        <w:t xml:space="preserve"> 9 ]. Однако ЕС проявлял готовность на сближение со странами</w:t>
      </w:r>
      <w:r>
        <w:t xml:space="preserve">, </w:t>
      </w:r>
      <w:r w:rsidRPr="008860AD">
        <w:t>придерживавшимися</w:t>
      </w:r>
      <w:r>
        <w:t xml:space="preserve">, </w:t>
      </w:r>
      <w:r w:rsidRPr="008860AD">
        <w:t>как это отражено в документах органов ЕС</w:t>
      </w:r>
      <w:r>
        <w:t xml:space="preserve">, </w:t>
      </w:r>
      <w:r w:rsidRPr="008860AD">
        <w:t>«проевропейской» ориентации. Общим выводом была идея о том</w:t>
      </w:r>
      <w:r>
        <w:t xml:space="preserve">, </w:t>
      </w:r>
      <w:r w:rsidRPr="008860AD">
        <w:t>что страны «соседства» и ЕС несут «совместную ответственность» за их проблемы</w:t>
      </w:r>
      <w:r>
        <w:t xml:space="preserve">, </w:t>
      </w:r>
      <w:r w:rsidRPr="008860AD">
        <w:t>основными из которых были названы «замороженные конфликты». Таким образом</w:t>
      </w:r>
      <w:r>
        <w:t xml:space="preserve">, </w:t>
      </w:r>
      <w:r w:rsidRPr="008860AD">
        <w:t>в ЕС также постулировалась особая роль ЕС в регионе «соседства»</w:t>
      </w:r>
      <w:r>
        <w:t xml:space="preserve">, </w:t>
      </w:r>
      <w:r w:rsidRPr="008860AD">
        <w:t>что подкреплялось соображениями безопасности. И официальными лицами</w:t>
      </w:r>
      <w:r>
        <w:t xml:space="preserve">, </w:t>
      </w:r>
      <w:r w:rsidRPr="008860AD">
        <w:t>и европейскими экспертами прямо признавалось</w:t>
      </w:r>
      <w:r>
        <w:t xml:space="preserve">, </w:t>
      </w:r>
      <w:r w:rsidRPr="008860AD">
        <w:t>что на вопросе «замороженных конфликтов» будет проверяться роль ЕС как глобального игрока. Открыто заявлялось также</w:t>
      </w:r>
      <w:r>
        <w:t xml:space="preserve">, </w:t>
      </w:r>
      <w:r w:rsidRPr="008860AD">
        <w:t xml:space="preserve">что в Приднестровье ЕС может апробировать свои гражданские и военные инструменты миротворчества. Европейская комиссия стала главным заинтересованным лицом в создании «восточных» угроз и предложении развивать общеевропейскую политику по их преодолению. </w:t>
      </w:r>
    </w:p>
    <w:p w:rsidR="00D731B9" w:rsidRPr="008860AD" w:rsidRDefault="00D731B9" w:rsidP="00D731B9">
      <w:pPr>
        <w:spacing w:before="120"/>
        <w:ind w:firstLine="567"/>
        <w:jc w:val="both"/>
      </w:pPr>
      <w:r w:rsidRPr="008860AD">
        <w:t>США на протяжении всего процесса урегулирования активно участвовали в делах Молдовы. Постсоветское пространство географически отдалено от Америки</w:t>
      </w:r>
      <w:r>
        <w:t xml:space="preserve">, </w:t>
      </w:r>
      <w:r w:rsidRPr="008860AD">
        <w:t>поэтому</w:t>
      </w:r>
      <w:r>
        <w:t xml:space="preserve">, </w:t>
      </w:r>
      <w:r w:rsidRPr="008860AD">
        <w:t>наряду с другими причинами</w:t>
      </w:r>
      <w:r>
        <w:t xml:space="preserve">, </w:t>
      </w:r>
      <w:r w:rsidRPr="008860AD">
        <w:t>это делало американский дискурс отличным от европейского: в отношении постсоветского пространства он строится на идее геополитического плюралитета</w:t>
      </w:r>
      <w:r>
        <w:t xml:space="preserve">, </w:t>
      </w:r>
      <w:r w:rsidRPr="008860AD">
        <w:t>который США призваны поддерживать во всем мире. Эта неореалистская концепция подразумевает сопротивление со стороны США</w:t>
      </w:r>
      <w:r>
        <w:t xml:space="preserve">, </w:t>
      </w:r>
      <w:r w:rsidRPr="008860AD">
        <w:t>которые не являются и не могут стать мировым гегемоном</w:t>
      </w:r>
      <w:r>
        <w:t xml:space="preserve">, </w:t>
      </w:r>
      <w:r w:rsidRPr="008860AD">
        <w:t>любой державе</w:t>
      </w:r>
      <w:r>
        <w:t xml:space="preserve">, </w:t>
      </w:r>
      <w:r w:rsidRPr="008860AD">
        <w:t>стремящейся стать гегемоном в каком-либо регионе мира. В США</w:t>
      </w:r>
      <w:r>
        <w:t xml:space="preserve">, </w:t>
      </w:r>
      <w:r w:rsidRPr="008860AD">
        <w:t>вне зависимости от политической ориентации</w:t>
      </w:r>
      <w:r>
        <w:t xml:space="preserve">, </w:t>
      </w:r>
      <w:r w:rsidRPr="008860AD">
        <w:t>существует резко негативное отношение к политике России на пространстве бывшего СССР: она описывается в категориях «давление»</w:t>
      </w:r>
      <w:r>
        <w:t xml:space="preserve">, </w:t>
      </w:r>
      <w:r w:rsidRPr="008860AD">
        <w:t>«запугивание» [The National Security…</w:t>
      </w:r>
      <w:r>
        <w:t xml:space="preserve">, </w:t>
      </w:r>
      <w:r w:rsidRPr="008860AD">
        <w:t xml:space="preserve"> 31 ]. Поэтому США в политическом плане активно участвуют в делах постсоветского пространства</w:t>
      </w:r>
      <w:r>
        <w:t xml:space="preserve">, </w:t>
      </w:r>
      <w:r w:rsidRPr="008860AD">
        <w:t>в частности Молдовы</w:t>
      </w:r>
      <w:r>
        <w:t xml:space="preserve">, </w:t>
      </w:r>
      <w:r w:rsidRPr="008860AD">
        <w:t xml:space="preserve">причем с крайне низкой степенью веры в возможность конструктивного поведения России на этом направлении. В отношении конфликта в Приднестровье они действуют совместно с Европейским союзом. </w:t>
      </w:r>
    </w:p>
    <w:p w:rsidR="00D731B9" w:rsidRPr="00A449F4" w:rsidRDefault="00D731B9" w:rsidP="00D731B9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Распространение секьюритизационных практик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Такая конфигурация идентичностей</w:t>
      </w:r>
      <w:r>
        <w:t xml:space="preserve">, </w:t>
      </w:r>
      <w:r w:rsidRPr="008860AD">
        <w:t>которые в итоге пересекались в одной точке — постсоветском пространстве — не могла не создавать предпосылок для противоречий между Западом и Россией вокруг</w:t>
      </w:r>
      <w:r>
        <w:t xml:space="preserve">, </w:t>
      </w:r>
      <w:r w:rsidRPr="008860AD">
        <w:t>в частности</w:t>
      </w:r>
      <w:r>
        <w:t xml:space="preserve">, </w:t>
      </w:r>
      <w:r w:rsidRPr="008860AD">
        <w:t>Приднестровья. Вопреки желаниям России</w:t>
      </w:r>
      <w:r>
        <w:t xml:space="preserve">, </w:t>
      </w:r>
      <w:r w:rsidRPr="008860AD">
        <w:t>ЕС в своих панъевропейских проектах</w:t>
      </w:r>
      <w:r>
        <w:t xml:space="preserve">, </w:t>
      </w:r>
      <w:r w:rsidRPr="008860AD">
        <w:t>например «Wider Europe»</w:t>
      </w:r>
      <w:r>
        <w:t xml:space="preserve">, </w:t>
      </w:r>
      <w:r w:rsidRPr="008860AD">
        <w:t xml:space="preserve">не признавал никакой особой роли России на постсоветском пространстве.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Акт секьюритизации со стороны ЕС выглядел следующим образом.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— Приднестровье позиционировалось в официальном и общественном дискурсе как «черная дыра»</w:t>
      </w:r>
      <w:r>
        <w:t xml:space="preserve">, </w:t>
      </w:r>
      <w:r w:rsidRPr="008860AD">
        <w:t>источник контрабанды оружия</w:t>
      </w:r>
      <w:r>
        <w:t xml:space="preserve">, </w:t>
      </w:r>
      <w:r w:rsidRPr="008860AD">
        <w:t>людей и наркотиков [см.: Moldova…]. Это был интенсивный речевой акт</w:t>
      </w:r>
      <w:r>
        <w:t xml:space="preserve">, </w:t>
      </w:r>
      <w:r w:rsidRPr="008860AD">
        <w:t xml:space="preserve">который закончился формированием в конце </w:t>
      </w:r>
      <w:smartTag w:uri="urn:schemas-microsoft-com:office:smarttags" w:element="metricconverter">
        <w:smartTagPr>
          <w:attr w:name="ProductID" w:val="2005 г"/>
        </w:smartTagPr>
        <w:r w:rsidRPr="008860AD">
          <w:t>2005 г</w:t>
        </w:r>
      </w:smartTag>
      <w:r w:rsidRPr="008860AD">
        <w:t>. европейской миссии для молдавско-украинской границы как мерой чрезвычайного характера</w:t>
      </w:r>
      <w:r>
        <w:t xml:space="preserve">, </w:t>
      </w:r>
      <w:r w:rsidRPr="008860AD">
        <w:t>которая</w:t>
      </w:r>
      <w:r>
        <w:t xml:space="preserve">, </w:t>
      </w:r>
      <w:r w:rsidRPr="008860AD">
        <w:t>однако</w:t>
      </w:r>
      <w:r>
        <w:t xml:space="preserve">, </w:t>
      </w:r>
      <w:r w:rsidRPr="008860AD">
        <w:t>до сих пор не выявила серьезных признаков контрабанды [см.: Transdniestr…].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— Угроза «приднестровизации» Молдовы постулировалась в связи с Меморандумом Козака и в общем политики давления Москвы. В итоге ЕС и США готовы были даже сорвать комплексное урегулирование</w:t>
      </w:r>
      <w:r>
        <w:t xml:space="preserve">, </w:t>
      </w:r>
      <w:r w:rsidRPr="008860AD">
        <w:t>когда уже все стороны его предварительно одобрили</w:t>
      </w:r>
      <w:r>
        <w:t xml:space="preserve">, </w:t>
      </w:r>
      <w:r w:rsidRPr="008860AD">
        <w:t>лишь бы не дать легитимизировать</w:t>
      </w:r>
      <w:r>
        <w:t xml:space="preserve">, </w:t>
      </w:r>
      <w:r w:rsidRPr="008860AD">
        <w:t>как они считали</w:t>
      </w:r>
      <w:r>
        <w:t xml:space="preserve">, </w:t>
      </w:r>
      <w:r w:rsidRPr="008860AD">
        <w:t>«фактическую независимость» Приднестровья [см.: Lowenhardt</w:t>
      </w:r>
      <w:r>
        <w:t xml:space="preserve">, </w:t>
      </w:r>
      <w:r w:rsidRPr="008860AD">
        <w:t xml:space="preserve"> 109 ].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— Эффективность российского миротворчества в Молдове ставилась под сомнение</w:t>
      </w:r>
      <w:r>
        <w:t xml:space="preserve">, </w:t>
      </w:r>
      <w:r w:rsidRPr="008860AD">
        <w:t xml:space="preserve">что в итоге привело к формулированию в </w:t>
      </w:r>
      <w:smartTag w:uri="urn:schemas-microsoft-com:office:smarttags" w:element="metricconverter">
        <w:smartTagPr>
          <w:attr w:name="ProductID" w:val="2003 г"/>
        </w:smartTagPr>
        <w:r w:rsidRPr="008860AD">
          <w:t>2003 г</w:t>
        </w:r>
      </w:smartTag>
      <w:r w:rsidRPr="008860AD">
        <w:t>. голландским председательством ОБСЕ в координации с представителями ЕС предложения о выводе российских миротворцев и передаче миротворчества в «аутсорсинг» ЕС. Такая миссия тоже понималась как</w:t>
      </w:r>
      <w:r>
        <w:t xml:space="preserve"> </w:t>
      </w:r>
      <w:r w:rsidRPr="008860AD">
        <w:t xml:space="preserve">emergency measure </w:t>
      </w:r>
      <w:r>
        <w:t xml:space="preserve">, </w:t>
      </w:r>
      <w:r w:rsidRPr="008860AD">
        <w:t xml:space="preserve">которая в случае своей реализации привела бы к лишению России реальных рычагов воздействия на миротворческую деятельность в Молдове [см.: «Информация к размышлению»…].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— Активно проблематизировался вопрос о выполнении Россией т. н. Стамбульских обязательств по выводу своих войск и вооружений из Молдовы. Ради реализации этого принципиального для ЕС требования Европа готова была пойти на риск подрыва Договора об обычных вооруженных силах в Европе — «краеугольного камня европейской безопасности».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Секьюритизация со стороны России приобрела следующие формы.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— В качестве угрозы формулировалась «прозападная» ориентация В. Воронина после его отказа подписать Меморандум Козака. Россия ответила травлей молдавского президента на выборах </w:t>
      </w:r>
      <w:smartTag w:uri="urn:schemas-microsoft-com:office:smarttags" w:element="metricconverter">
        <w:smartTagPr>
          <w:attr w:name="ProductID" w:val="2005 г"/>
        </w:smartTagPr>
        <w:r w:rsidRPr="008860AD">
          <w:t>2005 г</w:t>
        </w:r>
      </w:smartTag>
      <w:r w:rsidRPr="008860AD">
        <w:t>. [см.: В Молдавии…]. В качестве чрезвычайной меры в то же время от лица Государственной думы РФ предлагалось введение экономических и иных санкций против Молдовы</w:t>
      </w:r>
      <w:r>
        <w:t xml:space="preserve">, </w:t>
      </w:r>
      <w:r w:rsidRPr="008860AD">
        <w:t xml:space="preserve">формально из-за изменения таможенного режима экспорта приднестровских товаров [см.: Родин]. Такие санкции были введены в </w:t>
      </w:r>
      <w:smartTag w:uri="urn:schemas-microsoft-com:office:smarttags" w:element="metricconverter">
        <w:smartTagPr>
          <w:attr w:name="ProductID" w:val="2006 г"/>
        </w:smartTagPr>
        <w:r w:rsidRPr="008860AD">
          <w:t>2006 г</w:t>
        </w:r>
      </w:smartTag>
      <w:r w:rsidRPr="008860AD">
        <w:t>.</w:t>
      </w:r>
      <w:r>
        <w:t xml:space="preserve">, </w:t>
      </w:r>
      <w:r w:rsidRPr="008860AD">
        <w:t xml:space="preserve">обоснованием послужила некачественность молдавской продукции.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— Угроза вытеснения России с постсоветского пространства постулировалась в связи с предложениями о замене российских миротворцев на европейских. Скрытой контрмерой России был Меморандум Козака</w:t>
      </w:r>
      <w:r>
        <w:t xml:space="preserve">, </w:t>
      </w:r>
      <w:r w:rsidRPr="008860AD">
        <w:t>который в своей полной редакции подразумевал продолжение военного-политического миротворчества России еще на 15 лет. Чрезвычайной мерой</w:t>
      </w:r>
      <w:r>
        <w:t xml:space="preserve">, </w:t>
      </w:r>
      <w:r w:rsidRPr="008860AD">
        <w:t>которая являлась уже речевым инструментом</w:t>
      </w:r>
      <w:r>
        <w:t xml:space="preserve">, </w:t>
      </w:r>
      <w:r w:rsidRPr="008860AD">
        <w:t>послужила готовность России не выполнять свои политические обязательства по выводу всех (в том числе миротворческих) войск из Молдовы</w:t>
      </w:r>
      <w:r>
        <w:t xml:space="preserve">, </w:t>
      </w:r>
      <w:r w:rsidRPr="008860AD">
        <w:t xml:space="preserve">принятые на саммите ОБСЕ в Стамбуле в </w:t>
      </w:r>
      <w:smartTag w:uri="urn:schemas-microsoft-com:office:smarttags" w:element="metricconverter">
        <w:smartTagPr>
          <w:attr w:name="ProductID" w:val="1999 г"/>
        </w:smartTagPr>
        <w:r w:rsidRPr="008860AD">
          <w:t>1999 г</w:t>
        </w:r>
      </w:smartTag>
      <w:r w:rsidRPr="008860AD">
        <w:t>.</w:t>
      </w:r>
      <w:r>
        <w:t xml:space="preserve">, </w:t>
      </w:r>
      <w:r w:rsidRPr="008860AD">
        <w:t>вплоть до введения «моратория» на участие в ДОВСЕ (Договор по обычным вооруженным силам в Европе).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— «Удушение Приднестровья» как мотив контрдействий России зазвучал в </w:t>
      </w:r>
      <w:smartTag w:uri="urn:schemas-microsoft-com:office:smarttags" w:element="metricconverter">
        <w:smartTagPr>
          <w:attr w:name="ProductID" w:val="2006 г"/>
        </w:smartTagPr>
        <w:r w:rsidRPr="008860AD">
          <w:t>2006 г</w:t>
        </w:r>
      </w:smartTag>
      <w:r w:rsidRPr="008860AD">
        <w:t>.</w:t>
      </w:r>
      <w:r>
        <w:t xml:space="preserve">, </w:t>
      </w:r>
      <w:r w:rsidRPr="008860AD">
        <w:t>когда Украина подключилась окончательно к политике реинтеграции таможенного пространства Молдовы.</w:t>
      </w:r>
      <w:r>
        <w:t xml:space="preserve"> </w:t>
      </w:r>
      <w:r w:rsidRPr="008860AD">
        <w:t>Emergency measures</w:t>
      </w:r>
      <w:r>
        <w:t xml:space="preserve"> </w:t>
      </w:r>
      <w:r w:rsidRPr="008860AD">
        <w:t>выражались в отправке гуманитарной помощи находящемуся в блокаде Приднестровью. По российскому государственному телевидению все жители России могли несколько дней наблюдать за судьбой задерживаемой на Украине российской колонны с гуманитарными грузами [см.: У российской колонны…]. К гуманитарной помощи затем прибавилась и финансовая. Как элемент чрезвычайных мер можно понимать и расширение политического и экономического сотрудничества с Приднестровьем — непризнанным государством</w:t>
      </w:r>
      <w:r>
        <w:t xml:space="preserve">, </w:t>
      </w:r>
      <w:r w:rsidRPr="008860AD">
        <w:t xml:space="preserve">и психологическую поддержку приднестровского «референдума».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Обобщая вышесказанное</w:t>
      </w:r>
      <w:r>
        <w:t xml:space="preserve">, </w:t>
      </w:r>
      <w:r w:rsidRPr="008860AD">
        <w:t>можно отметить</w:t>
      </w:r>
      <w:r>
        <w:t xml:space="preserve">, </w:t>
      </w:r>
      <w:r w:rsidRPr="008860AD">
        <w:t>что приднестровский вопрос служил одним из полей</w:t>
      </w:r>
      <w:r>
        <w:t xml:space="preserve">, </w:t>
      </w:r>
      <w:r w:rsidRPr="008860AD">
        <w:t>где Россия и Запад на протяжении 2003—2008 гг. активно инициировали секьюритизационные практики. Теория секьюритизации даёт нам представление о том</w:t>
      </w:r>
      <w:r>
        <w:t xml:space="preserve">, </w:t>
      </w:r>
      <w:r w:rsidRPr="008860AD">
        <w:t>что этот процесс не является необратимым</w:t>
      </w:r>
      <w:r>
        <w:t xml:space="preserve">, </w:t>
      </w:r>
      <w:r w:rsidRPr="008860AD">
        <w:t>ведь большинство угроз в данном случае носят призрачный характер</w:t>
      </w:r>
      <w:r>
        <w:t xml:space="preserve">, </w:t>
      </w:r>
      <w:r w:rsidRPr="008860AD">
        <w:t xml:space="preserve">усиливающийся за счет риторических приёмов. </w:t>
      </w:r>
    </w:p>
    <w:p w:rsidR="00D731B9" w:rsidRPr="008860AD" w:rsidRDefault="00D731B9" w:rsidP="00D731B9">
      <w:pPr>
        <w:spacing w:before="120"/>
        <w:ind w:firstLine="567"/>
        <w:jc w:val="both"/>
      </w:pPr>
      <w:r w:rsidRPr="008860AD">
        <w:t>Десекьюритизация в случае отношений России и Запада возможна в случае реализации проекта перезагрузки</w:t>
      </w:r>
      <w:r>
        <w:t xml:space="preserve">, </w:t>
      </w:r>
      <w:r w:rsidRPr="008860AD">
        <w:t>которая была провозглашена после прихода к власти в США Б. Обамы. Время покажет</w:t>
      </w:r>
      <w:r>
        <w:t xml:space="preserve">, </w:t>
      </w:r>
      <w:r w:rsidRPr="008860AD">
        <w:t>насколько данный проект реализуется: только ли на риторическом уровне либо также на уровне конкретных политических проблем</w:t>
      </w:r>
      <w:r>
        <w:t xml:space="preserve">, </w:t>
      </w:r>
      <w:r w:rsidRPr="008860AD">
        <w:t>среди которых приднестровская занимает далеко не первое</w:t>
      </w:r>
      <w:r>
        <w:t xml:space="preserve">, </w:t>
      </w:r>
      <w:r w:rsidRPr="008860AD">
        <w:t>но важное и символическое место.</w:t>
      </w:r>
    </w:p>
    <w:p w:rsidR="00D731B9" w:rsidRPr="00A449F4" w:rsidRDefault="00D731B9" w:rsidP="00D731B9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Список литературы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Безопасная Европа в мире</w:t>
      </w:r>
      <w:r>
        <w:t xml:space="preserve">, </w:t>
      </w:r>
      <w:r w:rsidRPr="008860AD">
        <w:t xml:space="preserve">который должен стать лучше. Стратегия европейской безопасности [Электронный ресурс]. URL: http://www.consilium.europa.eu (дата обращения: 12.09.2007).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В</w:t>
      </w:r>
      <w:r>
        <w:t xml:space="preserve"> </w:t>
      </w:r>
      <w:r w:rsidRPr="008860AD">
        <w:t>Молдавии</w:t>
      </w:r>
      <w:r>
        <w:t xml:space="preserve"> </w:t>
      </w:r>
      <w:r w:rsidRPr="008860AD">
        <w:t xml:space="preserve">проходят парламентские выборы [Электронный ресурс]. URL: http:// www.1tv.ru/news/n75191 (дата обращения: 12.09.2007).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«</w:t>
      </w:r>
      <w:r>
        <w:t xml:space="preserve"> </w:t>
      </w:r>
      <w:r w:rsidRPr="008860AD">
        <w:t>Информация</w:t>
      </w:r>
      <w:r>
        <w:t xml:space="preserve"> </w:t>
      </w:r>
      <w:r w:rsidRPr="008860AD">
        <w:t>к размышлению» : миссия по укреплению мира в Молдове [Неофиц. пер.] // Молдавия: современные тенденции развития. М.</w:t>
      </w:r>
      <w:r>
        <w:t xml:space="preserve">, </w:t>
      </w:r>
      <w:r w:rsidRPr="008860AD">
        <w:t>2005. С. 419—423.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Йоргенсен</w:t>
      </w:r>
      <w:r>
        <w:t xml:space="preserve"> </w:t>
      </w:r>
      <w:r w:rsidRPr="008860AD">
        <w:t>М</w:t>
      </w:r>
      <w:r>
        <w:t xml:space="preserve"> </w:t>
      </w:r>
      <w:r w:rsidRPr="008860AD">
        <w:t>.</w:t>
      </w:r>
      <w:r>
        <w:t xml:space="preserve">, </w:t>
      </w:r>
      <w:r w:rsidRPr="008860AD">
        <w:t xml:space="preserve"> Филлипс</w:t>
      </w:r>
      <w:r>
        <w:t xml:space="preserve"> </w:t>
      </w:r>
      <w:r w:rsidRPr="008860AD">
        <w:t>Л . Дискурс-анализ: теория и метод. Харьков</w:t>
      </w:r>
      <w:r>
        <w:t xml:space="preserve">, </w:t>
      </w:r>
      <w:r w:rsidRPr="008860AD">
        <w:t>2008.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Концепция</w:t>
      </w:r>
      <w:r>
        <w:t xml:space="preserve"> </w:t>
      </w:r>
      <w:r w:rsidRPr="008860AD">
        <w:t>внешней политики Российской Федерации // Междунар. жизнь. 1993. № 1/2. Ст. 3—23.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Курьянов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Территориальная целостность как приоритет // Независ. газ. 2001. 21 марта.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Лавров</w:t>
      </w:r>
      <w:r>
        <w:t xml:space="preserve"> </w:t>
      </w:r>
      <w:r w:rsidRPr="008860AD">
        <w:t>С</w:t>
      </w:r>
      <w:r>
        <w:t xml:space="preserve"> </w:t>
      </w:r>
      <w:r w:rsidRPr="008860AD">
        <w:t>.</w:t>
      </w:r>
      <w:r>
        <w:t xml:space="preserve"> </w:t>
      </w:r>
      <w:r w:rsidRPr="008860AD">
        <w:t xml:space="preserve">Сдерживание России // Россия в глобальной политике. 2007. № 4.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Макарычев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Безопасность и возвращение политического…: критические дебаты в Европе // Индекс безопасности. 2008. № 4. С. 25—40.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Морозов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Россия и Другие: идентичность и границы политического сообщества. М.</w:t>
      </w:r>
      <w:r>
        <w:t xml:space="preserve">, </w:t>
      </w:r>
      <w:r w:rsidRPr="008860AD">
        <w:t>2009.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Нойманн</w:t>
      </w:r>
      <w:r>
        <w:t xml:space="preserve"> </w:t>
      </w:r>
      <w:r w:rsidRPr="008860AD">
        <w:t>И</w:t>
      </w:r>
      <w:r>
        <w:t xml:space="preserve"> </w:t>
      </w:r>
      <w:r w:rsidRPr="008860AD">
        <w:t>.</w:t>
      </w:r>
      <w:r>
        <w:t xml:space="preserve"> </w:t>
      </w:r>
      <w:r w:rsidRPr="008860AD">
        <w:t>Использование «Другого» : образы Востока в формировании европейских идентичностей. М.</w:t>
      </w:r>
      <w:r>
        <w:t xml:space="preserve">, </w:t>
      </w:r>
      <w:r w:rsidRPr="008860AD">
        <w:t xml:space="preserve">2004.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Родин</w:t>
      </w:r>
      <w:r>
        <w:t xml:space="preserve"> </w:t>
      </w:r>
      <w:r w:rsidRPr="008860AD">
        <w:t>И</w:t>
      </w:r>
      <w:r>
        <w:t xml:space="preserve"> </w:t>
      </w:r>
      <w:r w:rsidRPr="008860AD">
        <w:t>.</w:t>
      </w:r>
      <w:r>
        <w:t xml:space="preserve"> </w:t>
      </w:r>
      <w:r w:rsidRPr="008860AD">
        <w:t>Дума приструнила Молдову // Независимая газета</w:t>
      </w:r>
      <w:r>
        <w:t xml:space="preserve">, </w:t>
      </w:r>
      <w:r w:rsidRPr="008860AD">
        <w:t>3 мая 2005.</w:t>
      </w:r>
    </w:p>
    <w:p w:rsidR="00D731B9" w:rsidRDefault="00D731B9" w:rsidP="00D731B9">
      <w:pPr>
        <w:spacing w:before="120"/>
        <w:ind w:firstLine="567"/>
        <w:jc w:val="both"/>
      </w:pPr>
      <w:r w:rsidRPr="008860AD">
        <w:t xml:space="preserve">Стенографический отчет о встрече с участниками третьего заседания Международного дискуссионного клуба «Валдай» [Электронный ресурс]. URL: http://archive.kremlin.ru/text/appears/2006/09/111114.shtml (дата обращения 12.09.2007). </w:t>
      </w:r>
    </w:p>
    <w:p w:rsidR="00D731B9" w:rsidRDefault="00D731B9" w:rsidP="00D731B9">
      <w:pPr>
        <w:spacing w:before="120"/>
        <w:ind w:firstLine="567"/>
        <w:jc w:val="both"/>
      </w:pPr>
      <w:r w:rsidRPr="008860AD">
        <w:t>У</w:t>
      </w:r>
      <w:r>
        <w:t xml:space="preserve"> </w:t>
      </w:r>
      <w:r w:rsidRPr="008860AD">
        <w:t>российской</w:t>
      </w:r>
      <w:r>
        <w:t xml:space="preserve"> </w:t>
      </w:r>
      <w:r w:rsidRPr="008860AD">
        <w:t>колонны</w:t>
      </w:r>
      <w:r>
        <w:t xml:space="preserve">, </w:t>
      </w:r>
      <w:r w:rsidRPr="008860AD">
        <w:t>которая везет гуманитарную помощь населению Приднестровья</w:t>
      </w:r>
      <w:r>
        <w:t xml:space="preserve">, </w:t>
      </w:r>
      <w:r w:rsidRPr="008860AD">
        <w:t xml:space="preserve">возникли трудности [Электронный ресурс]. URL: http://www.1tv.ru/news/n87293 (дата обращения 12.09.2007). 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>Browning C., Joenniemi P. Geostrategies of the European Neighbourhood Policy // Europ. J. of Internat. relations. 2008. Vol. 14. P. 519—551.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Buzan B., Waever O., Wilde J. de. Security: a new framework for analysis. N.Y., 1998. 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>Diez T. Europe’s Others and the return of geopolitics // Camb. Rev. of Internat. Affairs. 2004.Vol. 17, N 2. P. 319—335.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Ferrero-Waldner B. EU-Aussenpolitik im 21. Jahrhundert — Europas Antwort auf die Globalisierung. </w:t>
      </w:r>
      <w:smartTag w:uri="urn:schemas-microsoft-com:office:smarttags" w:element="State">
        <w:smartTag w:uri="urn:schemas-microsoft-com:office:smarttags" w:element="place">
          <w:r w:rsidRPr="008860AD">
            <w:rPr>
              <w:lang w:val="en-US"/>
            </w:rPr>
            <w:t>Berlin</w:t>
          </w:r>
        </w:smartTag>
      </w:smartTag>
      <w:r w:rsidRPr="008860AD">
        <w:rPr>
          <w:lang w:val="en-US"/>
        </w:rPr>
        <w:t xml:space="preserve">, 2005 (6 Dez.). 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>Lowenhardt J. The OSCE, Moldova And Russian Diplomacy in 2003 [Electronic resource]. URL: www.clingendael.nl/publications/2004/20040426_l</w:t>
      </w:r>
      <w:r w:rsidRPr="008860AD">
        <w:t>ц</w:t>
      </w:r>
      <w:r w:rsidRPr="008860AD">
        <w:rPr>
          <w:lang w:val="en-US"/>
        </w:rPr>
        <w:t xml:space="preserve">wenhardt.pdf. 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ountry-region">
        <w:r w:rsidRPr="008860AD">
          <w:rPr>
            <w:lang w:val="en-US"/>
          </w:rPr>
          <w:t>Moldova</w:t>
        </w:r>
      </w:smartTag>
      <w:r w:rsidRPr="008860AD">
        <w:rPr>
          <w:lang w:val="en-US"/>
        </w:rPr>
        <w:t xml:space="preserve">: Regional Tensions over Transdniestria // ICG </w:t>
      </w:r>
      <w:smartTag w:uri="urn:schemas-microsoft-com:office:smarttags" w:element="place">
        <w:r w:rsidRPr="008860AD">
          <w:rPr>
            <w:lang w:val="en-US"/>
          </w:rPr>
          <w:t>Europe</w:t>
        </w:r>
      </w:smartTag>
      <w:r w:rsidRPr="008860AD">
        <w:rPr>
          <w:lang w:val="en-US"/>
        </w:rPr>
        <w:t xml:space="preserve"> Report. 2004. N 157, 17 June.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Neukirch C. The OSCE </w:t>
      </w:r>
      <w:smartTag w:uri="urn:schemas-microsoft-com:office:smarttags" w:element="City">
        <w:r w:rsidRPr="008860AD">
          <w:rPr>
            <w:lang w:val="en-US"/>
          </w:rPr>
          <w:t>Mission</w:t>
        </w:r>
      </w:smartTag>
      <w:r w:rsidRPr="008860AD">
        <w:rPr>
          <w:lang w:val="en-US"/>
        </w:rPr>
        <w:t xml:space="preserve"> to </w:t>
      </w:r>
      <w:smartTag w:uri="urn:schemas-microsoft-com:office:smarttags" w:element="country-region">
        <w:smartTag w:uri="urn:schemas-microsoft-com:office:smarttags" w:element="place">
          <w:r w:rsidRPr="008860AD">
            <w:rPr>
              <w:lang w:val="en-US"/>
            </w:rPr>
            <w:t>Moldova</w:t>
          </w:r>
        </w:smartTag>
      </w:smartTag>
      <w:r w:rsidRPr="008860AD">
        <w:rPr>
          <w:lang w:val="en-US"/>
        </w:rPr>
        <w:t xml:space="preserve"> // OSCE Yearbook. 2003. P. 149—161.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The National Security Strategy of the </w:t>
      </w:r>
      <w:smartTag w:uri="urn:schemas-microsoft-com:office:smarttags" w:element="country-region">
        <w:smartTag w:uri="urn:schemas-microsoft-com:office:smarttags" w:element="place">
          <w:r w:rsidRPr="008860AD">
            <w:rPr>
              <w:lang w:val="en-US"/>
            </w:rPr>
            <w:t>United States of America</w:t>
          </w:r>
        </w:smartTag>
      </w:smartTag>
      <w:r w:rsidRPr="008860AD">
        <w:rPr>
          <w:lang w:val="en-US"/>
        </w:rPr>
        <w:t xml:space="preserve">. </w:t>
      </w:r>
      <w:smartTag w:uri="urn:schemas-microsoft-com:office:smarttags" w:element="State">
        <w:smartTag w:uri="urn:schemas-microsoft-com:office:smarttags" w:element="place">
          <w:r w:rsidRPr="008860AD">
            <w:rPr>
              <w:lang w:val="en-US"/>
            </w:rPr>
            <w:t>Washington</w:t>
          </w:r>
        </w:smartTag>
      </w:smartTag>
      <w:r w:rsidRPr="008860AD">
        <w:rPr>
          <w:lang w:val="en-US"/>
        </w:rPr>
        <w:t>, 2006.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Transdniestr: EU monitors detect only “minor” smuggling. Interview with the deputy head of the EU monitoring team on the Transdniestrian border with Ukraine Antti Hartikainen 7 April 2006 [Electronic resource]. URL: http://www.rferl.org/content/article/1067507.html. </w:t>
      </w:r>
    </w:p>
    <w:p w:rsidR="00D731B9" w:rsidRPr="008860AD" w:rsidRDefault="00D731B9" w:rsidP="00D731B9">
      <w:pPr>
        <w:spacing w:before="120"/>
        <w:ind w:firstLine="567"/>
        <w:jc w:val="both"/>
        <w:rPr>
          <w:lang w:val="en-US"/>
        </w:rPr>
      </w:pPr>
      <w:r w:rsidRPr="008860AD">
        <w:rPr>
          <w:lang w:val="en-US"/>
        </w:rPr>
        <w:t xml:space="preserve">Waever O. Securitization and desecuritization // On security / ed. by R. Lipschutz. N. Y., 1995. P. 46—86. </w:t>
      </w:r>
    </w:p>
    <w:p w:rsidR="00D731B9" w:rsidRPr="008860AD" w:rsidRDefault="00D731B9" w:rsidP="00D731B9">
      <w:pPr>
        <w:spacing w:before="120"/>
        <w:ind w:firstLine="567"/>
        <w:jc w:val="both"/>
      </w:pPr>
      <w:r w:rsidRPr="008860AD">
        <w:rPr>
          <w:lang w:val="en-US"/>
        </w:rPr>
        <w:t xml:space="preserve">Wendt A. Social theory of international politics. </w:t>
      </w:r>
      <w:r w:rsidRPr="008860AD">
        <w:t>Cambridge</w:t>
      </w:r>
      <w:r>
        <w:t xml:space="preserve">, </w:t>
      </w:r>
      <w:r w:rsidRPr="008860AD">
        <w:t>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1B9"/>
    <w:rsid w:val="001A35F6"/>
    <w:rsid w:val="00811DD4"/>
    <w:rsid w:val="008860AD"/>
    <w:rsid w:val="009E7220"/>
    <w:rsid w:val="00A449F4"/>
    <w:rsid w:val="00B60975"/>
    <w:rsid w:val="00D7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0F7C36-21CD-4D70-9654-0E0E21AF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1B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31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18063</Characters>
  <Application>Microsoft Office Word</Application>
  <DocSecurity>0</DocSecurity>
  <Lines>150</Lines>
  <Paragraphs>42</Paragraphs>
  <ScaleCrop>false</ScaleCrop>
  <Company>Home</Company>
  <LinksUpToDate>false</LinksUpToDate>
  <CharactersWithSpaces>21189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Приднестровский вопрос в политической практике России и Запада</dc:title>
  <dc:subject/>
  <dc:creator>User</dc:creator>
  <cp:keywords/>
  <dc:description/>
  <cp:lastModifiedBy>Irina</cp:lastModifiedBy>
  <cp:revision>2</cp:revision>
  <dcterms:created xsi:type="dcterms:W3CDTF">2014-07-19T09:33:00Z</dcterms:created>
  <dcterms:modified xsi:type="dcterms:W3CDTF">2014-07-19T09:33:00Z</dcterms:modified>
</cp:coreProperties>
</file>