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C65" w:rsidRDefault="00EF7406">
      <w:pPr>
        <w:widowControl w:val="0"/>
        <w:ind w:firstLine="567"/>
        <w:jc w:val="center"/>
        <w:rPr>
          <w:b/>
          <w:sz w:val="32"/>
          <w:u w:val="single"/>
        </w:rPr>
      </w:pPr>
      <w:r>
        <w:rPr>
          <w:b/>
          <w:smallCaps/>
          <w:sz w:val="32"/>
          <w:u w:val="single"/>
        </w:rPr>
        <w:t xml:space="preserve">развитие интеграционных процессов </w:t>
      </w:r>
      <w:r>
        <w:rPr>
          <w:b/>
          <w:sz w:val="32"/>
          <w:u w:val="single"/>
        </w:rPr>
        <w:t>в СНГ</w:t>
      </w:r>
    </w:p>
    <w:p w:rsidR="00663C65" w:rsidRDefault="00663C65">
      <w:pPr>
        <w:widowControl w:val="0"/>
        <w:ind w:firstLine="567"/>
        <w:jc w:val="both"/>
        <w:rPr>
          <w:sz w:val="28"/>
        </w:rPr>
      </w:pP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Интеграционный процесс в рамках СНГ во многом начина</w:t>
      </w:r>
      <w:r>
        <w:rPr>
          <w:i/>
          <w:sz w:val="28"/>
        </w:rPr>
        <w:softHyphen/>
        <w:t>ется как бы с новой отметки. Во многом это обусловливает</w:t>
      </w:r>
      <w:r>
        <w:rPr>
          <w:i/>
          <w:sz w:val="28"/>
        </w:rPr>
        <w:softHyphen/>
        <w:t>ся тем, что по своей природе само соглашение о Содружестве Независимых Государств имеет двойную направленность. С одной стороны, оно нацелено на окончательный демонтаж ста</w:t>
      </w:r>
      <w:r>
        <w:rPr>
          <w:i/>
          <w:sz w:val="28"/>
        </w:rPr>
        <w:softHyphen/>
        <w:t>рых экономических структур, с другой — предусматривает ор</w:t>
      </w:r>
      <w:r>
        <w:rPr>
          <w:i/>
          <w:sz w:val="28"/>
        </w:rPr>
        <w:softHyphen/>
        <w:t>ганизацию качественно новых отношений между суверенными государствами, формирование и сохранение единого экономи</w:t>
      </w:r>
      <w:r>
        <w:rPr>
          <w:i/>
          <w:sz w:val="28"/>
        </w:rPr>
        <w:softHyphen/>
        <w:t>ческого (рыночного) пространства.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Институциональные основы осуществления интеграционных процессов в рамках СНГ заложены в подписанном в сентябре 1993 г. Договоре о создании экономического союза, а также в конкретизирующих и развивающих его документах — Согла</w:t>
      </w:r>
      <w:r>
        <w:rPr>
          <w:i/>
          <w:sz w:val="28"/>
        </w:rPr>
        <w:softHyphen/>
        <w:t>шении о создании зоны свободной торговли и Соглашении о содействии в создании и развитии производственных, коммер</w:t>
      </w:r>
      <w:r>
        <w:rPr>
          <w:i/>
          <w:sz w:val="28"/>
        </w:rPr>
        <w:softHyphen/>
        <w:t>ческих, кредитно-финансовых, страховых и смешанных транс</w:t>
      </w:r>
      <w:r>
        <w:rPr>
          <w:i/>
          <w:sz w:val="28"/>
        </w:rPr>
        <w:softHyphen/>
        <w:t>национальных объединений (апрель 1994 г.), Договоре о прове</w:t>
      </w:r>
      <w:r>
        <w:rPr>
          <w:i/>
          <w:sz w:val="28"/>
        </w:rPr>
        <w:softHyphen/>
        <w:t>дении согласованной антимонопольной политики и Соглашении о сотрудничестве в области инвестиционной деятельности (де</w:t>
      </w:r>
      <w:r>
        <w:rPr>
          <w:i/>
          <w:sz w:val="28"/>
        </w:rPr>
        <w:softHyphen/>
        <w:t>кабрь 1993 г.) и ряде других.</w:t>
      </w:r>
    </w:p>
    <w:p w:rsidR="00663C65" w:rsidRDefault="00EF7406">
      <w:pPr>
        <w:pStyle w:val="21"/>
      </w:pPr>
      <w:r>
        <w:t>Принятые решения явились политико-юридическим признанием того факта, что в стратегическом плане интеграции в СНГ для входящих в него государств разумной аль</w:t>
      </w:r>
      <w:r>
        <w:softHyphen/>
        <w:t>тернативы не существует. Ее экономическим фундаментом служит сложившаяся в советский период взаимодополняющая структура народных хозяйств бывших республик СССР — ны</w:t>
      </w:r>
      <w:r>
        <w:softHyphen/>
        <w:t>не стран—членов СНГ. Характеристика их хозяйственной вза</w:t>
      </w:r>
      <w:r>
        <w:softHyphen/>
        <w:t>имозависимости может быть выражена отношениями объемов ввоза и вывоза продукции к ее производству и потреблению. Так, доля ввоза (включая импорт) в потреблении в период 1965—1990 гг. колебалась от 15—16% (Российская Федерация) до 30—31% (Армения). Вывоз (включая экспорт) от объема про</w:t>
      </w:r>
      <w:r>
        <w:softHyphen/>
        <w:t>изводства составлял от 10—12% (Россия, Казахстан) до 25— 28% (Азербайджан). Интенсивность межреспубликанских свя</w:t>
      </w:r>
      <w:r>
        <w:softHyphen/>
        <w:t>зей (отношение вывоза республики по линии межреспубликан</w:t>
      </w:r>
      <w:r>
        <w:softHyphen/>
        <w:t>ского обмена к ее общему вывозу) в среднем по бывшему СССР составляла 75—80%. Ниже среднего уровня этот показатель был лишь у России (65—70%), во всех остальных республиках он был выше и составлял до 95—97% (Молдова, Киргизия, Ар</w:t>
      </w:r>
      <w:r>
        <w:softHyphen/>
        <w:t>мения). Для сравнения следует отметить, что в этот же период интенсивность межгосударственных связей ЕС равнялась 60%. Если в межреспубликанский обмен в бывшем СССР поступа</w:t>
      </w:r>
      <w:r>
        <w:softHyphen/>
        <w:t>ло почти 20% совокупного валового продукта, то аналогичный показатель стран ВС составил 14%.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Здесь необходимо учесть и неравномерность размещения и освоения природно-сырьевых ресурсов на территории Совет</w:t>
      </w:r>
      <w:r>
        <w:rPr>
          <w:i/>
          <w:sz w:val="28"/>
        </w:rPr>
        <w:softHyphen/>
        <w:t>ского Союза. Это привело к тому, что некоторые бывшие союз</w:t>
      </w:r>
      <w:r>
        <w:rPr>
          <w:i/>
          <w:sz w:val="28"/>
        </w:rPr>
        <w:softHyphen/>
        <w:t>ные республики стали монополистами в добыче и переработке важнейших видов сырья. Так, например, на долю России прихо</w:t>
      </w:r>
      <w:r>
        <w:rPr>
          <w:i/>
          <w:sz w:val="28"/>
        </w:rPr>
        <w:softHyphen/>
        <w:t>дилось более 90% общесоюзной добычи нефти (включая газовый конденсат), более 75 — газа, около 91 — деловой древесины, бо</w:t>
      </w:r>
      <w:r>
        <w:rPr>
          <w:i/>
          <w:sz w:val="28"/>
        </w:rPr>
        <w:softHyphen/>
        <w:t>лее 80% — деловой древесины, пиломатериалов и бумаги. На долю Украины приходилось 65-68% общесоюзного производства стали, готового проката, стальных труб. Республика Узбеки</w:t>
      </w:r>
      <w:r>
        <w:rPr>
          <w:i/>
          <w:sz w:val="28"/>
        </w:rPr>
        <w:softHyphen/>
        <w:t>стан производила более 60% хлопка-волокна и т.д.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Вполне закономерным выглядит в этих условиях тот факт, что распад СССР и разрыв единого экономического простран</w:t>
      </w:r>
      <w:r>
        <w:rPr>
          <w:i/>
          <w:sz w:val="28"/>
        </w:rPr>
        <w:softHyphen/>
        <w:t>ства способствовали углублению и без того тяжелого экономи</w:t>
      </w:r>
      <w:r>
        <w:rPr>
          <w:i/>
          <w:sz w:val="28"/>
        </w:rPr>
        <w:softHyphen/>
        <w:t>ческого кризиса, переживаемого странами СНГ. По оценкам, от налаживания и поддержания взаимных интеграционных связей в России зависит 30-35% объема национального производства промышленной продукции (от уровня 1990 г.). Украина в слу</w:t>
      </w:r>
      <w:r>
        <w:rPr>
          <w:i/>
          <w:sz w:val="28"/>
        </w:rPr>
        <w:softHyphen/>
        <w:t>чае разрыва таких связей может потерять 80-85% объема про</w:t>
      </w:r>
      <w:r>
        <w:rPr>
          <w:i/>
          <w:sz w:val="28"/>
        </w:rPr>
        <w:softHyphen/>
        <w:t>мышленного производства.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Экономические преобразования, проводимые в новых неза</w:t>
      </w:r>
      <w:r>
        <w:rPr>
          <w:i/>
          <w:sz w:val="28"/>
        </w:rPr>
        <w:softHyphen/>
        <w:t>висимых государствах, породили необходимость отработки но</w:t>
      </w:r>
      <w:r>
        <w:rPr>
          <w:i/>
          <w:sz w:val="28"/>
        </w:rPr>
        <w:softHyphen/>
        <w:t>вого (рыночного) механизма поддержания производственно-хо</w:t>
      </w:r>
      <w:r>
        <w:rPr>
          <w:i/>
          <w:sz w:val="28"/>
        </w:rPr>
        <w:softHyphen/>
        <w:t>зяйственных связей, трансформации их в межгосударственные. Торгово-экономические отношения в этих условиях следует ко</w:t>
      </w:r>
      <w:r>
        <w:rPr>
          <w:i/>
          <w:sz w:val="28"/>
        </w:rPr>
        <w:softHyphen/>
        <w:t>ординировать с теми социально-экономическими реформами, к которым приступили страны СНГ, с их стремлением макси</w:t>
      </w:r>
      <w:r>
        <w:rPr>
          <w:i/>
          <w:sz w:val="28"/>
        </w:rPr>
        <w:softHyphen/>
        <w:t>мально учитывать нормы "внешнеэкономического поведения", принятые в мировой торговой практике.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Вместе с тем, несмотря на без альтернативность интеграции, ожидать в скором будущем масштабных позитивных пере</w:t>
      </w:r>
      <w:r>
        <w:rPr>
          <w:i/>
          <w:sz w:val="28"/>
        </w:rPr>
        <w:softHyphen/>
        <w:t>мен, связанных с формированием Экономического союза стран СНГ едва ли стоит. В первую очередь в этой связи необхо</w:t>
      </w:r>
      <w:r>
        <w:rPr>
          <w:i/>
          <w:sz w:val="28"/>
        </w:rPr>
        <w:softHyphen/>
        <w:t>димо обратить внимание на то, что Московский договор о его создании, в отличие от положившего начало ЕС Римского, пред</w:t>
      </w:r>
      <w:r>
        <w:rPr>
          <w:i/>
          <w:sz w:val="28"/>
        </w:rPr>
        <w:softHyphen/>
        <w:t>ставляет собой "рамочный" документ (аналогичный характер носит и целый ряд последующих договоров и соглашений). А это означает, что предстоит пройти через длинную череду не</w:t>
      </w:r>
      <w:r>
        <w:rPr>
          <w:i/>
          <w:sz w:val="28"/>
        </w:rPr>
        <w:softHyphen/>
        <w:t>легких переговоров прежде, чем определятся конкретные пути и механизмы реализации принятых решений. В настоящее время увязать воедино во многом противоречивые интересы на много</w:t>
      </w:r>
      <w:r>
        <w:rPr>
          <w:i/>
          <w:sz w:val="28"/>
        </w:rPr>
        <w:softHyphen/>
        <w:t>сторонней основе весьма сложно, в частности из-за значитель</w:t>
      </w:r>
      <w:r>
        <w:rPr>
          <w:i/>
          <w:sz w:val="28"/>
        </w:rPr>
        <w:softHyphen/>
        <w:t>ной разно направленности политических действий отдельных го</w:t>
      </w:r>
      <w:r>
        <w:rPr>
          <w:i/>
          <w:sz w:val="28"/>
        </w:rPr>
        <w:softHyphen/>
        <w:t>сударств СНГ. Пока потребность в восстановлении и развитии интеграционных связей определяется для большинства стран Содружества прежде всего их зависимостью от поставок топливно-энергети</w:t>
      </w:r>
      <w:r>
        <w:rPr>
          <w:i/>
          <w:sz w:val="28"/>
        </w:rPr>
        <w:softHyphen/>
        <w:t>ческих ресурсов, лесоматериалов, минерального сырья, хими</w:t>
      </w:r>
      <w:r>
        <w:rPr>
          <w:i/>
          <w:sz w:val="28"/>
        </w:rPr>
        <w:softHyphen/>
        <w:t>ческих продуктов, а также кооперационными связями в сфе</w:t>
      </w:r>
      <w:r>
        <w:rPr>
          <w:i/>
          <w:sz w:val="28"/>
        </w:rPr>
        <w:softHyphen/>
        <w:t>ре машиностроительной, радиоэлектронной, оборонной промы</w:t>
      </w:r>
      <w:r>
        <w:rPr>
          <w:i/>
          <w:sz w:val="28"/>
        </w:rPr>
        <w:softHyphen/>
        <w:t>шленности.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В то же время нынешнее плачевное состояние научных и производственных потенциалов бывших субъектов СССР пред</w:t>
      </w:r>
      <w:r>
        <w:rPr>
          <w:i/>
          <w:sz w:val="28"/>
        </w:rPr>
        <w:softHyphen/>
        <w:t>определяет неготовность каждого из них к роли технологиче</w:t>
      </w:r>
      <w:r>
        <w:rPr>
          <w:i/>
          <w:sz w:val="28"/>
        </w:rPr>
        <w:softHyphen/>
        <w:t>ского донора и, как следствие этого, отсутствие главной пред</w:t>
      </w:r>
      <w:r>
        <w:rPr>
          <w:i/>
          <w:sz w:val="28"/>
        </w:rPr>
        <w:softHyphen/>
        <w:t>посылки к интеграции в ее лучших образцах. Тем самым вне поля взаимного сотрудничества остается ключевая для моло</w:t>
      </w:r>
      <w:r>
        <w:rPr>
          <w:i/>
          <w:sz w:val="28"/>
        </w:rPr>
        <w:softHyphen/>
        <w:t>дых государств проблема технологического прорыва.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Странам-участницам важно уже в ближайшем будущем раз</w:t>
      </w:r>
      <w:r>
        <w:rPr>
          <w:i/>
          <w:sz w:val="28"/>
        </w:rPr>
        <w:softHyphen/>
        <w:t>работать свои внешнеэкономические концепции, расставить при</w:t>
      </w:r>
      <w:r>
        <w:rPr>
          <w:i/>
          <w:sz w:val="28"/>
        </w:rPr>
        <w:softHyphen/>
        <w:t>оритеты в сфере международного сотрудничества, определить механизмы сочетания интеграционного процесса в СНГ с широ</w:t>
      </w:r>
      <w:r>
        <w:rPr>
          <w:i/>
          <w:sz w:val="28"/>
        </w:rPr>
        <w:softHyphen/>
        <w:t>ким использованием международного разделения труда с дру</w:t>
      </w:r>
      <w:r>
        <w:rPr>
          <w:i/>
          <w:sz w:val="28"/>
        </w:rPr>
        <w:softHyphen/>
        <w:t>гими регионами мира. Совместные внешнеэкономические дей</w:t>
      </w:r>
      <w:r>
        <w:rPr>
          <w:i/>
          <w:sz w:val="28"/>
        </w:rPr>
        <w:softHyphen/>
        <w:t>ствия и скоординированная позиция необходимы и в отношени</w:t>
      </w:r>
      <w:r>
        <w:rPr>
          <w:i/>
          <w:sz w:val="28"/>
        </w:rPr>
        <w:softHyphen/>
        <w:t>ях стран СНГ с международными экономическими и финансо</w:t>
      </w:r>
      <w:r>
        <w:rPr>
          <w:i/>
          <w:sz w:val="28"/>
        </w:rPr>
        <w:softHyphen/>
        <w:t>выми организациями.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Формирование новой региональной системы взаимных связей сейчас возможно лишь на основе нового экономического меха</w:t>
      </w:r>
      <w:r>
        <w:rPr>
          <w:i/>
          <w:sz w:val="28"/>
        </w:rPr>
        <w:softHyphen/>
        <w:t>низма взаимодействия, соответствующего новому, суверенному статусу стран Содружества. Такой механизм находится пока на стадии становления, и объясняется это не в последнюю очередь отсутствием ясных представлений о реальном потенциале меж</w:t>
      </w:r>
      <w:r>
        <w:rPr>
          <w:i/>
          <w:sz w:val="28"/>
        </w:rPr>
        <w:softHyphen/>
        <w:t>государственных связей в СНГ. Все остальные вопросы (прио</w:t>
      </w:r>
      <w:r>
        <w:rPr>
          <w:i/>
          <w:sz w:val="28"/>
        </w:rPr>
        <w:softHyphen/>
        <w:t>ритетные направления, формы, масштабы сотрудничества, его инструментарий и др.) по отношению к данному носят произ</w:t>
      </w:r>
      <w:r>
        <w:rPr>
          <w:i/>
          <w:sz w:val="28"/>
        </w:rPr>
        <w:softHyphen/>
        <w:t>водный характер.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На первом этапе формирования Экономического союза це</w:t>
      </w:r>
      <w:r>
        <w:rPr>
          <w:i/>
          <w:sz w:val="28"/>
        </w:rPr>
        <w:softHyphen/>
        <w:t>лесообразно не противопоставлять многостороннее сотруд</w:t>
      </w:r>
      <w:r>
        <w:rPr>
          <w:i/>
          <w:sz w:val="28"/>
        </w:rPr>
        <w:softHyphen/>
        <w:t>ничество и двусторонние связи, а, напротив, более полно использовать потенциал последних, поскольку двусторонние механизмы конкретнее, проще и позволяют не только полнее со</w:t>
      </w:r>
      <w:r>
        <w:rPr>
          <w:i/>
          <w:sz w:val="28"/>
        </w:rPr>
        <w:softHyphen/>
        <w:t>гласовать интересы партнеров, но и лучше подготовить и реа</w:t>
      </w:r>
      <w:r>
        <w:rPr>
          <w:i/>
          <w:sz w:val="28"/>
        </w:rPr>
        <w:softHyphen/>
        <w:t>лизовать многостороннее сотрудничество.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</w:rPr>
        <w:t>темы многостороннего клиринг</w:t>
      </w:r>
      <w:r>
        <w:rPr>
          <w:i/>
          <w:sz w:val="28"/>
        </w:rPr>
        <w:t>Что касается использования многосторонних форм, то воз</w:t>
      </w:r>
      <w:r>
        <w:rPr>
          <w:i/>
          <w:sz w:val="28"/>
        </w:rPr>
        <w:softHyphen/>
        <w:t>можностей и здесь достаточно: — восстановление многозвенных технологических цепочек с участием фирм-кооперантов из разных стран СНГ;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— проведение согласованной инвестиционной политики, ос</w:t>
      </w:r>
      <w:r>
        <w:rPr>
          <w:i/>
          <w:sz w:val="28"/>
        </w:rPr>
        <w:softHyphen/>
        <w:t>нованной на использовании новых организационных форм: меж</w:t>
      </w:r>
      <w:r>
        <w:rPr>
          <w:i/>
          <w:sz w:val="28"/>
        </w:rPr>
        <w:softHyphen/>
        <w:t>национальных акционерных обществ, холдингов, СП, трансна</w:t>
      </w:r>
      <w:r>
        <w:rPr>
          <w:i/>
          <w:sz w:val="28"/>
        </w:rPr>
        <w:softHyphen/>
        <w:t>циональных корпораций;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— создание совместных инвестиционных фондов с выделени</w:t>
      </w:r>
      <w:r>
        <w:rPr>
          <w:i/>
          <w:sz w:val="28"/>
        </w:rPr>
        <w:softHyphen/>
        <w:t>ем приоритетных сфер их использования;</w:t>
      </w:r>
    </w:p>
    <w:p w:rsidR="00663C65" w:rsidRDefault="00EF7406">
      <w:pPr>
        <w:pStyle w:val="21"/>
      </w:pPr>
      <w:r>
        <w:t>— координация и проведение согласованной структурной по</w:t>
      </w:r>
      <w:r>
        <w:softHyphen/>
        <w:t>литики с селективной поддержкой наиболее приоритетных от</w:t>
      </w:r>
      <w:r>
        <w:softHyphen/>
        <w:t>раслей и видов производств;</w:t>
      </w:r>
    </w:p>
    <w:p w:rsidR="00663C65" w:rsidRDefault="00EF7406">
      <w:pPr>
        <w:pStyle w:val="21"/>
      </w:pPr>
      <w:r>
        <w:t>— поэтапное создание платежного союза, начиная с нормали</w:t>
      </w:r>
      <w:r>
        <w:softHyphen/>
        <w:t>зации двусторонних платежно-расчетных отношений между го</w:t>
      </w:r>
      <w:r>
        <w:softHyphen/>
        <w:t>сударствами СНГ, организации работы Межгосударственного банка по созданию сиса и закан</w:t>
      </w:r>
      <w:r>
        <w:softHyphen/>
        <w:t>чивая реализацией в будущем согласованной (а затем и единой) кредитно-денежной и валютной политики.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Предусмотренное договором о создании экономического со</w:t>
      </w:r>
      <w:r>
        <w:rPr>
          <w:i/>
          <w:sz w:val="28"/>
        </w:rPr>
        <w:softHyphen/>
        <w:t>юза формирование ассоциации свободной торговли и таможен</w:t>
      </w:r>
      <w:r>
        <w:rPr>
          <w:i/>
          <w:sz w:val="28"/>
        </w:rPr>
        <w:softHyphen/>
        <w:t>ного союза тоже предполагает длительную, поэтапную работу, включая координацию внешнеторговой политики и националь</w:t>
      </w:r>
      <w:r>
        <w:rPr>
          <w:i/>
          <w:sz w:val="28"/>
        </w:rPr>
        <w:softHyphen/>
        <w:t>ного законодательства. Одним из важнейших при этом явля</w:t>
      </w:r>
      <w:r>
        <w:rPr>
          <w:i/>
          <w:sz w:val="28"/>
        </w:rPr>
        <w:softHyphen/>
        <w:t>ется вопрос о свободе перемещения товаров и услуг. Уже в 1992-1993 гг. в основном сложился механизм регулирования внешней торговли РФ со странами ближнего зарубежья, основанный преимущественно на использовании тарифных, но включающий в себя и целый ряд нетарифных методов.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При этом, несмотря на просчеты и недостатки, в целом им</w:t>
      </w:r>
      <w:r>
        <w:rPr>
          <w:i/>
          <w:sz w:val="28"/>
        </w:rPr>
        <w:softHyphen/>
        <w:t>портный тариф стал более дифференцированным: повышает</w:t>
      </w:r>
      <w:r>
        <w:rPr>
          <w:i/>
          <w:sz w:val="28"/>
        </w:rPr>
        <w:softHyphen/>
        <w:t>ся его роль в создании разумной степени протекционизма для российских предприятий-производителей и обеспечения усло</w:t>
      </w:r>
      <w:r>
        <w:rPr>
          <w:i/>
          <w:sz w:val="28"/>
        </w:rPr>
        <w:softHyphen/>
        <w:t>вий для нормальной конкуренции. При ввозе и вывозе товаров из стран—участниц СНГ таможенными органами не взимает</w:t>
      </w:r>
      <w:r>
        <w:rPr>
          <w:i/>
          <w:sz w:val="28"/>
        </w:rPr>
        <w:softHyphen/>
        <w:t>ся налог на добавленную стоимость. Акцизами не облагаются подакцизные в РФ товары, происходящие с территории госу</w:t>
      </w:r>
      <w:r>
        <w:rPr>
          <w:i/>
          <w:sz w:val="28"/>
        </w:rPr>
        <w:softHyphen/>
        <w:t>дарств — членов СНГ, при ввозе их на территорию России. Что касается полного отказа от импортного тарифа в СНГ, то, как показывает опыт интеграционных союзов индустриально разви</w:t>
      </w:r>
      <w:r>
        <w:rPr>
          <w:i/>
          <w:sz w:val="28"/>
        </w:rPr>
        <w:softHyphen/>
        <w:t>тых стран (ЕС и ЕАСТ), он скорее будет постепенным и много</w:t>
      </w:r>
      <w:r>
        <w:rPr>
          <w:i/>
          <w:sz w:val="28"/>
        </w:rPr>
        <w:softHyphen/>
        <w:t>ступенчатым. Вместе с тем следует отметить, что уже сегодня, в целях стимулирования кооперационных связей, вывоз товаров по коопе</w:t>
      </w:r>
      <w:r>
        <w:rPr>
          <w:i/>
          <w:sz w:val="28"/>
        </w:rPr>
        <w:softHyphen/>
        <w:t>рации не подлежит количественному ограничению, если он осу</w:t>
      </w:r>
      <w:r>
        <w:rPr>
          <w:i/>
          <w:sz w:val="28"/>
        </w:rPr>
        <w:softHyphen/>
        <w:t>ществляется по контрактам между хозяйствующими субъекта</w:t>
      </w:r>
      <w:r>
        <w:rPr>
          <w:i/>
          <w:sz w:val="28"/>
        </w:rPr>
        <w:softHyphen/>
        <w:t>ми. В соответствии с подписанным в декабре 1993 г. в Ашгабате Соглашением об общих условиях и механизме поддержки про</w:t>
      </w:r>
      <w:r>
        <w:rPr>
          <w:i/>
          <w:sz w:val="28"/>
        </w:rPr>
        <w:softHyphen/>
        <w:t>изводственной кооперации предприятий и отраслей государств-участников СНГ в отношении товаров, поставляемых по коопе</w:t>
      </w:r>
      <w:r>
        <w:rPr>
          <w:i/>
          <w:sz w:val="28"/>
        </w:rPr>
        <w:softHyphen/>
        <w:t>рации и в рамках режимов переработки под таможенным кон</w:t>
      </w:r>
      <w:r>
        <w:rPr>
          <w:i/>
          <w:sz w:val="28"/>
        </w:rPr>
        <w:softHyphen/>
        <w:t>тролем экспортные и импортные пошлины, налоги и акцизы не применяются.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Острым остается вопрос о ценах во взаимной торговле. И это совершенно закономерно, поскольку именно здесь непосред</w:t>
      </w:r>
      <w:r>
        <w:rPr>
          <w:i/>
          <w:sz w:val="28"/>
        </w:rPr>
        <w:softHyphen/>
        <w:t>ственно сталкиваются экономические интересы экспортеров и импортеров. Новому статусу независимых государств в наи</w:t>
      </w:r>
      <w:r>
        <w:rPr>
          <w:i/>
          <w:sz w:val="28"/>
        </w:rPr>
        <w:softHyphen/>
        <w:t>большей степени соответствовало бы использование мировых цен. Вместе с тем нельзя не учитывать, что наряду с их бес</w:t>
      </w:r>
      <w:r>
        <w:rPr>
          <w:i/>
          <w:sz w:val="28"/>
        </w:rPr>
        <w:softHyphen/>
        <w:t>спорно позитивным влиянием на процессы структурной пере</w:t>
      </w:r>
      <w:r>
        <w:rPr>
          <w:i/>
          <w:sz w:val="28"/>
        </w:rPr>
        <w:softHyphen/>
        <w:t>стройки производства и внешнеторгового оборота они одновре</w:t>
      </w:r>
      <w:r>
        <w:rPr>
          <w:i/>
          <w:sz w:val="28"/>
        </w:rPr>
        <w:softHyphen/>
        <w:t>менно (как показывает опыт распада СЭВ) имеют существенный недостаток. Мировые цены способны оказать разрушительное воздействие на сотрудничество, в первую очередь в силу их полного несоответствия условиям национального воспроизвод</w:t>
      </w:r>
      <w:r>
        <w:rPr>
          <w:i/>
          <w:sz w:val="28"/>
        </w:rPr>
        <w:softHyphen/>
        <w:t>ства. Именно поэтому во взаимной торговле РФ и других стран СНГ применяется дифференцированный подход к номенклатуре поставляемых товаров: по стратегическим товарам (сырьевым, энергоносителям, цветным металлам), включаемым в межправи</w:t>
      </w:r>
      <w:r>
        <w:rPr>
          <w:i/>
          <w:sz w:val="28"/>
        </w:rPr>
        <w:softHyphen/>
        <w:t>тельственные соглашения, общей рекомендацией является ори</w:t>
      </w:r>
      <w:r>
        <w:rPr>
          <w:i/>
          <w:sz w:val="28"/>
        </w:rPr>
        <w:softHyphen/>
        <w:t>ентир на мировые цены с ежеквартальным уточнением послед</w:t>
      </w:r>
      <w:r>
        <w:rPr>
          <w:i/>
          <w:sz w:val="28"/>
        </w:rPr>
        <w:softHyphen/>
        <w:t>них. Отдельными межгосударственными соглашениями опреде</w:t>
      </w:r>
      <w:r>
        <w:rPr>
          <w:i/>
          <w:sz w:val="28"/>
        </w:rPr>
        <w:softHyphen/>
        <w:t>лен порядок установления цен на нефть и газ с введением кор</w:t>
      </w:r>
      <w:r>
        <w:rPr>
          <w:i/>
          <w:sz w:val="28"/>
        </w:rPr>
        <w:softHyphen/>
        <w:t>ректирующих коэффициентов.</w:t>
      </w:r>
    </w:p>
    <w:p w:rsidR="00663C65" w:rsidRDefault="00EF7406">
      <w:pPr>
        <w:widowControl w:val="0"/>
        <w:ind w:firstLine="567"/>
        <w:jc w:val="both"/>
        <w:rPr>
          <w:i/>
          <w:sz w:val="28"/>
        </w:rPr>
      </w:pPr>
      <w:r>
        <w:rPr>
          <w:i/>
          <w:sz w:val="28"/>
        </w:rPr>
        <w:t>Успешное проведение экономических преобразований в стра</w:t>
      </w:r>
      <w:r>
        <w:rPr>
          <w:i/>
          <w:sz w:val="28"/>
        </w:rPr>
        <w:softHyphen/>
        <w:t>нах СНГ невозможно без тщательной разработки и осуществле</w:t>
      </w:r>
      <w:r>
        <w:rPr>
          <w:i/>
          <w:sz w:val="28"/>
        </w:rPr>
        <w:softHyphen/>
        <w:t>ния скоординированной реформы законодательства. Если участники СНГ хотят оживить торговлю, стимулировать капи</w:t>
      </w:r>
      <w:r>
        <w:rPr>
          <w:i/>
          <w:sz w:val="28"/>
        </w:rPr>
        <w:softHyphen/>
        <w:t>таловложения (в том числе и взаимные), их законодательство должно стать не только привлекательным для бизнеса, но и унифицированным. Сейчас отдельные части законодательства стран-участниц не соответствуют друг другу, а законы и реаль</w:t>
      </w:r>
      <w:r>
        <w:rPr>
          <w:i/>
          <w:sz w:val="28"/>
        </w:rPr>
        <w:softHyphen/>
        <w:t>ность отделены пропастью. Проблема усугубляется несогласо</w:t>
      </w:r>
      <w:r>
        <w:rPr>
          <w:i/>
          <w:sz w:val="28"/>
        </w:rPr>
        <w:softHyphen/>
        <w:t>ванностью различных зарубежных рекомендаций. Эти тенденции могут привести к несовместимости законода</w:t>
      </w:r>
      <w:r>
        <w:rPr>
          <w:i/>
          <w:sz w:val="28"/>
        </w:rPr>
        <w:softHyphen/>
        <w:t>тельных систем стран СНГ. Обеспечение правовой базы ин</w:t>
      </w:r>
      <w:r>
        <w:rPr>
          <w:i/>
          <w:sz w:val="28"/>
        </w:rPr>
        <w:softHyphen/>
        <w:t>теграционных мероприятий требует существенного повышения роли Межпарламентской Ассамблеи как органа, призванного разрабатывать модельные законодательные акты и добиваться сближения действующего законодательства государств, подпи</w:t>
      </w:r>
      <w:r>
        <w:rPr>
          <w:i/>
          <w:sz w:val="28"/>
        </w:rPr>
        <w:softHyphen/>
        <w:t>савших Договор об экономическом союзе.</w:t>
      </w:r>
      <w:bookmarkStart w:id="0" w:name="_GoBack"/>
      <w:bookmarkEnd w:id="0"/>
    </w:p>
    <w:sectPr w:rsidR="00663C65">
      <w:footerReference w:type="default" r:id="rId6"/>
      <w:pgSz w:w="11900" w:h="16820" w:code="9"/>
      <w:pgMar w:top="1134" w:right="1418" w:bottom="1418" w:left="1418" w:header="720" w:footer="113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C65" w:rsidRDefault="00EF7406">
      <w:r>
        <w:separator/>
      </w:r>
    </w:p>
  </w:endnote>
  <w:endnote w:type="continuationSeparator" w:id="0">
    <w:p w:rsidR="00663C65" w:rsidRDefault="00E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C65" w:rsidRDefault="00EF7406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663C65" w:rsidRDefault="00663C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C65" w:rsidRDefault="00EF7406">
      <w:r>
        <w:separator/>
      </w:r>
    </w:p>
  </w:footnote>
  <w:footnote w:type="continuationSeparator" w:id="0">
    <w:p w:rsidR="00663C65" w:rsidRDefault="00E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406"/>
    <w:rsid w:val="00663C65"/>
    <w:rsid w:val="00D4048B"/>
    <w:rsid w:val="00E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7F057-0B79-415B-BCF9-3166BD5F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widowControl w:val="0"/>
      <w:ind w:firstLine="567"/>
      <w:jc w:val="both"/>
    </w:pPr>
    <w:rPr>
      <w:i/>
      <w:sz w:val="28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1786</Words>
  <Characters>10182</Characters>
  <Application>Microsoft Office Word</Application>
  <DocSecurity>0</DocSecurity>
  <Lines>84</Lines>
  <Paragraphs>23</Paragraphs>
  <ScaleCrop>false</ScaleCrop>
  <Company> </Company>
  <LinksUpToDate>false</LinksUpToDate>
  <CharactersWithSpaces>11945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ИНТЕГРАЦИОННЫХ ПРОЦЕССОВ в СНГ</dc:title>
  <dc:subject/>
  <dc:creator>Alexander</dc:creator>
  <cp:keywords/>
  <dc:description/>
  <cp:lastModifiedBy>admin</cp:lastModifiedBy>
  <cp:revision>2</cp:revision>
  <dcterms:created xsi:type="dcterms:W3CDTF">2014-02-08T07:50:00Z</dcterms:created>
  <dcterms:modified xsi:type="dcterms:W3CDTF">2014-02-08T07:50:00Z</dcterms:modified>
</cp:coreProperties>
</file>