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F91FF4" w:rsidRDefault="00F91FF4">
      <w:pPr>
        <w:widowControl w:val="0"/>
        <w:spacing w:before="120"/>
        <w:jc w:val="center"/>
        <w:rPr>
          <w:b/>
          <w:bCs/>
          <w:color w:val="000000"/>
          <w:sz w:val="32"/>
          <w:szCs w:val="32"/>
          <w:lang w:val="en-US"/>
        </w:rPr>
      </w:pPr>
      <w:r>
        <w:rPr>
          <w:b/>
          <w:bCs/>
          <w:color w:val="000000"/>
          <w:sz w:val="32"/>
          <w:szCs w:val="32"/>
        </w:rPr>
        <w:t>С</w:t>
      </w:r>
      <w:r>
        <w:rPr>
          <w:b/>
          <w:bCs/>
          <w:color w:val="000000"/>
          <w:sz w:val="32"/>
          <w:szCs w:val="32"/>
          <w:lang w:val="en-US"/>
        </w:rPr>
        <w:t>onditio sine qua non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Почему юнионистское движение в странах СНГ не оправдывает надежды, возлагаемые на него общественным мнением? Почему оно маломощно?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Мне представляется, что ответ на этот вопрос вполне очевиден.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Одной из главных причин дистанцирования республиканских элитных групп от России является боязнь экспансии российского капитала на внутренних рынках "независимых" государств.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Точнее говоря: представители торгово-промышленных групп в странах СНГ, конечно, хотели бы, чтобы в их регионы пришли иностранные инвестиции, но еще более страстно они желают жестко котролировать финансовые потоки внутри страны; и в этом смысле, обоснование, скажем, на Украине российского рубля представляется местным ТПГ предпочтительней экономической дубинки скорого на рассправу - как показывает практика - заокеанского "дядюшки". Россия сегодня недостаточно сильна для того, чтобы диктовать постсоветским диктаторам неприемлемые условия, но, вместе с тем, не настолько слаба, чтобы не суметь, вместе со значимыми представителями местного бизнеса, не суметь выстроить надежный барьер на пути всепоглащающей алчности доллара. 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Однако передел собственности как в России, так и на всем постсоветском пространстве еще не завершен. Незавершен еще и передел советского "наследства" и в мировом масштабе (пример Авганистана, Ирака, Сербии, наконец!). Тем не менее, республиканские "приватизаторы" всерьез опасаются, что более изощренные (масштабы-то иные!) "приватизаторы" российские, вполне изучившие (ведь сами их создавали!)"правила игры" на рынках СНГ, окажутся более серьезными конкурентами в деле дележа "советского наследства", нежели изнеженные американцы и европейцы. 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Между тем, на самом деле, опасения республиканских элитных групп - малофундированны. По большому счету, российский капитал сегодня ориентирован на западные рынки сбыта, тогда как дотационные предприятия и слабо оборудованная сырьевая база, скажем, Украины или Казахстана его не очень интересует. Точнее сказать, Росиию в странах СНГ интересуют исключительно коммуникационные объекты, предназначенные для транспортировки сырья зарубеж; и имено поэтому Путин, по крайней мере, обсуждает с Лукашенко проблему объединения (протяженная граница с Европой тоже ведь коммуникационный объект!), а в переговорах с Украиной российский МИД поднимает только проблему газоэнергомагистралей (см. Манекин Р.В. Россия победила. Что выиграла Россия?; Он же. О создании газотранспотного консорциума на Украине) 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С другой стороны, согласно информации украинских источников (см., напр.: Лузан А. Зачем приезжала Мадлен Олбрайт? - http://www.mrezha.ru/ua/madol.htm) республиканские элитные группы до самого последнего времени (нынче, в связи с улучшением дел в российской экономики, ситуация в странах СНГ также несколько изменилась) обильно спонсируются западными фондами. Причем в объемах, сопоставимых с размерами республиканских бюджетов. Иначе говоря, местные элитные группы в бывших республиках СССР практически все десять последних лет существовали на деньги Запада и потому ПРИВЫКЛИ игнорировать интересы собственных народов.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Между тем, рядовой обыватель где-нибудь в Донбассе, Кахетии, Аджарии или в Крыму сегодня до 2/3 заработной платы расходует на транспорт и коммунальные услуги. Продажная стоимость на рынке транспортных и коммунальных услуг в определяющей мере зависит от цен на российские энергоносители. Отсюда - подавляющее большиство населения в странах СНГ НЕПОСРЕДСТВЕННО ЗАИНТЕРЕСОВАННО в налаживании максимально дружественных (прямо говоря: союзнических) отношений своей государства с Российской Федерацией.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Реалии общественной жизни стран СНГ сегодня таковы, что политическая активность, задавленных неизбывной нуждой, масс, по существу, сведена "на нет". Народы лишены возможности проявлять политическую волю. Соответственно, выразители заложенных в массах политических интенций, в том числе, и представители юнионистских движений в странах СНГ, не имеют реальных возможностей оказывать существенное влияние на становление политических событий.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Из сказанного следуют два вывода. А именно: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Первое. Геополитические интересы Запада на постсоветском пространстве носят долгосрочный характер. Иначе говоря, Запад и далее будет оплачивать воспроизводство антироссийских настроений в странах СНГ. Правда, - в связи с затратами на проведение "антитеррорестической операции", а также поскольку основным геополитическим противником США сегодня объективно является не столько РФ, сколько Китай - во все уменьшающихся масштабах. Вместе с тем реальная альтернатива российским энергоносителям в экономической жизни стран бывшего СССР (культурологический, лингвистический, проч. аспекты юнионистской проблематики мы сейчас не затрагиваем) - как в ближайшей, так и в отдаленной перспективе - отсутствует (вспомните историю с Сидоренко, сделавшем капитал на инициированных правительством Звягильского закупкох углеводородов за пределами СНГ; что из этого вышло?). Это означает, если республиканские ТПГ не пересмотрят свою политику в отношении России, то поляризация жизненно важных интересов масс, с одной стороны, и элитных групп, с другой, - с неизбежностью, будет прогрессировать. (Вот, кстати, почему в случаях, когда партии националистического или прозападного толка в бывших республиках СССР называют "патриотическими", на самом деле, это не может не вызывать саркастическую улыбку). Фактически, упомянутое противостояние (искусственное противопоставление) интересов социальных групп может закончится двояко: либо самоуничтожением наций (буквально: элитные группы "съедят" свой фундамент - народ и, как следствие, прекратят свое существование в качестве НАЦИОНАЛЬНЫХ элитных групп), либо политическим кризисом, который разрешиться избытием с политической арены главенствующих в настоящий момент политических сил. Причем удаление этих сил, скорее всего, будет осуществляться "руками" Запада (см. пример акции "Восстань Украина") 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Второе. Российская Федерация непосредственно заинтересована в демократизации политической жизни в странах СНГ, поскольку становление институтов гражданского общества - самый прямой путь к оптимизации отношений РФ с республиками бывшего СССР.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Далее. Основной вектор социального развития РФ ныне ориентирован на ценности демократии западного образца. В годы "перестройки" российская общественная мысль не сумела выработать самобытную идею, обеспечивающую поступательное развитие страны и, одновременно, привлекательную для широких обывательских масс. Аналогичным образом, местные элитные группы в республиках бывшего СССР, спонтанно лишенные привычной идеологической опоры, по существу, были ВЫНУЖДЕНО ангажированы, с одной стороны, идеологией местечкового национализма, а, с другой, - в силу экономической необходимости - также ценностями западной демократии. Иными словами, сегодня сформировалась такая ситуация, при которой Россия, как суверенная страна, и страны СНГ, как независимые государства, являются естественными конкурентами на мировых рынках социальных технологий. На практике, это означает, что, призывающие к восстановлению утраченных связей, юнионистские силы на Украине, в Грузии, Казахстане, проч., в глазах местных политических элит выступают в роли "ШТРЕЙКБРЕХЕРОВ", предающих национальные интересы независимых государств, во имя имплицитных (вариант: иллюзорных) социальных перспектив.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Выход из указанной коллизии может быть только один: формирование новой социально-политической парадигмы внутри России - парадигмы самостоятельной, устойчивой, учитывающей все нюансы современных политических реалий.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Таким образом, conditio sine qva non становления юнионистских движений в странах СНГ, в качестве значимых политических сил, является: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1. формирование новой социально-политической парадигмы в Российской Федерации, предполагающей дистанцирование от демократических ценностей западного образца;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2. кризис власти в республиках СНГ, имеющий целью дальнейшую демократизацию общественной жизни.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В иных обстоятельствах юнионистские силы в СНГ обречены на стагнацию. 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>NOTA BENE: ДЕМОКРАТИЯ - ЭТО ПРОЦЕДУРА, ОБЕСПЕЧИВАЮЩАЯ ТРАНСПАРЕНТНОСТЬ ФОРМИРОВАНИЯ ИНСТИТУТОВ ВЛАСТИ. ПОЛИТИЧЕСКИЕ ЗАДАЧИ, КОТОРЫЕ БУДУТ ВЫПОЛНЯТЬ ЭТИ ИНСТИТУТЫ, МЕТОДЫ, И РЕЗУЛЬТАТЫ ИХ РАЗРЕШЕНИЯ ОБУСЛОВЛЕНЫ ГОСПОДСТВУЮЩЕЙ В КОНКРЕТНЫЙ ВРЕМЕННОЙ ПЕРИОД В СОЦИУМЕ ИДЕОЛОГИЕЙ.</w:t>
      </w:r>
    </w:p>
    <w:p w:rsidR="00F91FF4" w:rsidRDefault="00F91FF4">
      <w:pPr>
        <w:widowControl w:val="0"/>
        <w:spacing w:before="120"/>
        <w:jc w:val="center"/>
        <w:rPr>
          <w:b/>
          <w:bCs/>
          <w:color w:val="000000"/>
          <w:sz w:val="28"/>
          <w:szCs w:val="28"/>
        </w:rPr>
      </w:pPr>
      <w:r>
        <w:rPr>
          <w:b/>
          <w:bCs/>
          <w:color w:val="000000"/>
          <w:sz w:val="28"/>
          <w:szCs w:val="28"/>
        </w:rPr>
        <w:t>Список литературы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r>
        <w:rPr>
          <w:color w:val="000000"/>
          <w:sz w:val="24"/>
          <w:szCs w:val="24"/>
        </w:rPr>
        <w:t>Манекин</w:t>
      </w:r>
      <w:r>
        <w:rPr>
          <w:color w:val="000000"/>
          <w:sz w:val="24"/>
          <w:szCs w:val="24"/>
          <w:lang w:val="en-US"/>
        </w:rPr>
        <w:t xml:space="preserve"> </w:t>
      </w:r>
      <w:r>
        <w:rPr>
          <w:color w:val="000000"/>
          <w:sz w:val="24"/>
          <w:szCs w:val="24"/>
        </w:rPr>
        <w:t>Р</w:t>
      </w:r>
      <w:r>
        <w:rPr>
          <w:color w:val="000000"/>
          <w:sz w:val="24"/>
          <w:szCs w:val="24"/>
          <w:lang w:val="en-US"/>
        </w:rPr>
        <w:t>.</w:t>
      </w:r>
      <w:r>
        <w:rPr>
          <w:color w:val="000000"/>
          <w:sz w:val="24"/>
          <w:szCs w:val="24"/>
        </w:rPr>
        <w:t>В</w:t>
      </w:r>
      <w:r>
        <w:rPr>
          <w:color w:val="000000"/>
          <w:sz w:val="24"/>
          <w:szCs w:val="24"/>
          <w:lang w:val="en-US"/>
        </w:rPr>
        <w:t xml:space="preserve">. </w:t>
      </w:r>
      <w:r>
        <w:rPr>
          <w:color w:val="000000"/>
          <w:sz w:val="24"/>
          <w:szCs w:val="24"/>
        </w:rPr>
        <w:t>С</w:t>
      </w:r>
      <w:r>
        <w:rPr>
          <w:color w:val="000000"/>
          <w:sz w:val="24"/>
          <w:szCs w:val="24"/>
          <w:lang w:val="en-US"/>
        </w:rPr>
        <w:t>onditio sine qua non</w:t>
      </w:r>
    </w:p>
    <w:p w:rsidR="00F91FF4" w:rsidRDefault="00F91FF4">
      <w:pPr>
        <w:widowControl w:val="0"/>
        <w:spacing w:before="120"/>
        <w:ind w:firstLine="567"/>
        <w:jc w:val="both"/>
        <w:rPr>
          <w:color w:val="000000"/>
          <w:sz w:val="24"/>
          <w:szCs w:val="24"/>
          <w:lang w:val="en-US"/>
        </w:rPr>
      </w:pPr>
      <w:bookmarkStart w:id="0" w:name="_GoBack"/>
      <w:bookmarkEnd w:id="0"/>
    </w:p>
    <w:sectPr w:rsidR="00F91FF4">
      <w:pgSz w:w="11906" w:h="16838"/>
      <w:pgMar w:top="1134" w:right="1134" w:bottom="1134" w:left="1134" w:header="1440" w:footer="1440" w:gutter="0"/>
      <w:cols w:space="720"/>
      <w:noEndnote/>
      <w:docGrid w:linePitch="8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revisionView w:markup="0"/>
  <w:doNotTrackMoves/>
  <w:doNotTrackFormatting/>
  <w:defaultTabStop w:val="720"/>
  <w:hyphenationZone w:val="425"/>
  <w:drawingGridHorizontalSpacing w:val="59"/>
  <w:drawingGridVerticalSpacing w:val="40"/>
  <w:displayHorizontalDrawingGridEvery w:val="0"/>
  <w:displayVerticalDrawingGridEvery w:val="2"/>
  <w:characterSpacingControl w:val="doNotCompress"/>
  <w:doNotValidateAgainstSchema/>
  <w:doNotDemarcateInvalidXml/>
  <w:compat>
    <w:footnoteLayoutLikeWW8/>
    <w:shapeLayoutLikeWW8/>
    <w:alignTablesRowByRow/>
    <w:forgetLastTabAlignment/>
    <w:doNotUseHTMLParagraphAutoSpacing/>
    <w:layoutRawTableWidth/>
    <w:layoutTableRowsApart/>
    <w:useWord97LineBreakRules/>
    <w:doNotBreakWrappedTables/>
    <w:doNotSnapToGridInCell/>
    <w:selectFldWithFirstOrLastChar/>
    <w:doNotWrapTextWithPunct/>
    <w:doNotUseEastAsianBreakRules/>
    <w:useWord2002TableStyleRules/>
    <w:growAutofit/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716C32"/>
    <w:rsid w:val="00716C32"/>
    <w:rsid w:val="009D7C76"/>
    <w:rsid w:val="00E579A9"/>
    <w:rsid w:val="00F91FF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3F96A4E3-BEE1-465D-BC1B-CDEF1BFD31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Times New Roman" w:hAnsi="Calibri" w:cs="Times New Roman"/>
        <w:lang w:val="uk-UA" w:eastAsia="uk-UA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rFonts w:ascii="Times New Roman" w:hAnsi="Times New Roman"/>
      <w:lang w:val="ru-RU"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uiPriority w:val="99"/>
    <w:pPr>
      <w:spacing w:before="100" w:beforeAutospacing="1" w:after="100" w:afterAutospacing="1"/>
    </w:pPr>
    <w:rPr>
      <w:color w:val="000000"/>
      <w:sz w:val="24"/>
      <w:szCs w:val="24"/>
    </w:rPr>
  </w:style>
  <w:style w:type="character" w:styleId="a4">
    <w:name w:val="Hyperlink"/>
    <w:uiPriority w:val="99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5283</Words>
  <Characters>3012</Characters>
  <Application>Microsoft Office Word</Application>
  <DocSecurity>0</DocSecurity>
  <Lines>25</Lines>
  <Paragraphs>16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Сonditio sine qua non</vt:lpstr>
    </vt:vector>
  </TitlesOfParts>
  <Company>PERSONAL COMPUTERS</Company>
  <LinksUpToDate>false</LinksUpToDate>
  <CharactersWithSpaces>8279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Сonditio sine qua non</dc:title>
  <dc:subject/>
  <dc:creator>USER</dc:creator>
  <cp:keywords/>
  <dc:description/>
  <cp:lastModifiedBy>admin</cp:lastModifiedBy>
  <cp:revision>2</cp:revision>
  <dcterms:created xsi:type="dcterms:W3CDTF">2014-01-26T14:41:00Z</dcterms:created>
  <dcterms:modified xsi:type="dcterms:W3CDTF">2014-01-26T14:41:00Z</dcterms:modified>
</cp:coreProperties>
</file>