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601" w:rsidRDefault="00695601" w:rsidP="003B1A18">
      <w:pPr>
        <w:spacing w:after="0" w:line="240" w:lineRule="auto"/>
        <w:ind w:left="340" w:right="34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</w:pPr>
    </w:p>
    <w:p w:rsidR="008C7FB0" w:rsidRPr="003B1A18" w:rsidRDefault="008C7FB0" w:rsidP="003B1A18">
      <w:pPr>
        <w:spacing w:after="0" w:line="240" w:lineRule="auto"/>
        <w:ind w:left="340" w:right="3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ИГРА В ОБУЧЕНИИ ИНОСТРАННОМУ ЯЗЫКУ</w:t>
      </w:r>
    </w:p>
    <w:p w:rsidR="008C7FB0" w:rsidRPr="003B1A18" w:rsidRDefault="008C7FB0" w:rsidP="003B1A18">
      <w:pPr>
        <w:spacing w:after="0" w:line="240" w:lineRule="auto"/>
        <w:ind w:left="340" w:right="3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C7FB0" w:rsidRPr="003B1A18" w:rsidRDefault="008C7FB0" w:rsidP="003B1A18">
      <w:pPr>
        <w:spacing w:after="0" w:line="240" w:lineRule="auto"/>
        <w:ind w:left="340" w:right="3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Т.М. Максимова</w:t>
      </w:r>
    </w:p>
    <w:p w:rsidR="008C7FB0" w:rsidRPr="003B1A18" w:rsidRDefault="008C7FB0" w:rsidP="003B1A18">
      <w:pPr>
        <w:spacing w:after="0" w:line="240" w:lineRule="auto"/>
        <w:ind w:left="340" w:right="34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Ивановский государственный энергетический университет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Одной из актуальных проблем современной методики преподавания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ранных языков является организация обучения детей разных возрастов с по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щью игр.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Актуальность данной проблемы вызвана целым рядом факторов. Во-пер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вых, интенсификация учебного процесса ставит задачу поиска средств под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дер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у учащихся интереса к изучаемому материалу и активизации их дея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сти на протяжении всего занятия. Эффективным средством решения этой за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чи являются учебные игры.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Во-вторых, одной из наиболее важных проблем преподавания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языка является обучение устной речи, создающей условия для раскрытия ком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муникативной функции языка и позволяющей приблизить процесс обу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к условиям реального обучения, что повышает мотивацию к изучению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ранного языка. Вовлечение учащихся в устную коммуникацию может быть ус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пешно осуществлено в процессе игровой  деятельности.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На значение игровой деятельности в обучении иностранному языку ука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зы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вают известные методисты, такие как Е.И. Пассов (Пассов, 1989), М.Н. Скат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кин (Скаткин, 1980). «Важно осознавать», – указывает М.Н. Скаткин, «ре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нию каких дидактических задач должна способствовать данная игра, на раз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тие каких психических процессов она расчитана» (Скаткин, 1980: 96). «Игра – это лишь оболочка, форма, содержанием которой должно быть учение, ов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видами речевой деятельности»</w:t>
      </w:r>
      <w:r w:rsidRPr="003B1A1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 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(Пассов, 1989). Е.И. Пассов отмечает сле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дую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черты игровой деятельности как средства обучения: мотивиро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ность, отсутствие принуждения; индивидуализированная, глубоко личная дея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ность; обучение и воспитание в коллективе и через коллектив; развитие пси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хических функций и способностей; учение с увлечением (Пассов, 1989).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Крупнейший теоретик игровой деятельности Д.Б. Эльконин наделяет иг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 четырьмя важнейшими для ребенка функциями: средство развития моти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онно-потребностной сферы; средство познания; средство развития умствен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действий; средство развития произвольного поведения (Эльконин, 1978).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Игра определяет важные перестройки и формирование новых качеств лич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ности; именно в игре дети усваивают нормы поведения, игра учит, из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ет, воспитывает.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Е.И. Пассов выделяет следующие цели использования игры в ходе учеб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 процесса: формирование определенных навыков; развитие определенных 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чевых умений; обучение умению общаться; развитие необходимых спо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тей и психических функций; запоминание речевого материала.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Игровая деятельность влияет на развитие внимания, памяти, мышления, во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ображения, всех познавательных процессов. Так, например, педагогическая и ди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дактическая ценность деловой игры состоит в том, что она позволяет ее участ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никам раскрыть себя, научиться занимать активную позицию, испытывать себя на профессиональную пригодность.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Вместе с тем, важно отметить, что эффективность игры как средства обу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зависит от соблюдения ряда требований, таких как: наличие вооб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мой ситуации, плана, в котором будут действовать учащиеся; обязательное осо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зна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детьми игрового результата, правил игры. Игра – это не просто коллек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ное развлечение. Это основной способ достижения всех задач обучения, поэ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тому необходимо: точно знать, какой навык и умение требуется, что 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нок не умел и чему научился в ходе игры;  игра должна поставить учащегося перед необходимостью мыслительного усилия (Негневицкая, 1987).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Итак, игра является инструментом преподавания, который активизирует мыс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лительную деятельность обучаемых, позволяет сделать учебный процесс при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влекательнее и интереснее, заставляет волноваться и переживать, что фор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рует мощный стимул к овладению языком.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Вопросы методики преподавания иностранного языка с использованием иг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ровой деятельности на начальном этапе получили освещение в трудах 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br/>
        <w:t>Г.В. Ро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говой и И.Н. Верещагиной (Рогова, Верещагина, 1989), Е.И. Пассова (Пас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сов, 1989), Д.Б. Эльконина (Эльконин, 1978), Е.И. Негневицкой (Не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гне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виц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кая, 1987) и других ученых, методистов и психологов.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Проблема поиска организации обучения на среднем и старшем этапах на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шли отражение в работах Н.А. Салановича (Саланович, 1994), В.В. Анд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евс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кой (Анд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евс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кая, 1987) и других авторов.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Вместе с тем, еще не в достаточной степени изучена проблема специфики ор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ганизации учебного процесса с включением игровой деятельности на раз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лич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ных этапах обучения – начальном, среднем и старшем. Важнейшим условием эф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фективности учебных игр является строгий учет возрастных психолого-пе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гических особенностей учащихся.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Так, при обучении иностранному языку 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тей дошкольного возраста необходимо учитывать такие психолого-педаго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кие особенности, как пытливость и любознательность. Вместе с тем,  важно пом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нить, что они не могут в течение длительного времени удерживать вни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на одном виде деятельности. Поэтому их деятельность на занятиях должна быть разнообразной, эмоционально насыщенной. Многие исследователи отме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ют, что в дошкольном возрасте цель обучения успешнее достигается при иг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вой мотивации и при оценке поведения со стороны сверстников.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Ролевой игрой ребенок овладевает  к третьему году жизни, знакомится с че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ловеческими отношениями, открывает у себя наличие переживаний. У 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 формируется воображение и символическая функция сознания, которые поз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ляют ему переносить свойства одних вещей на другие, возникает ориентация в собственных чувствах, формируются навыки их культурного выражения (Се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лев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ко, 1998). И это позволяет ребенку включаться в коллективную деятельность и общение. В результате освоения игровой деятельности в дошкольном воз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формируется готовность к учению.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Игры могут использоваться при введении и закреплении лексики, мо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лей иностранного языка, для формирования умений и навыков устной речи. Имен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 игровая деятельность создает условия для естественного общения 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тей. С учетом психолого-педагогических особенностей детей дошкольного воз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 могут быть выделены следующие типы игр:</w:t>
      </w:r>
    </w:p>
    <w:p w:rsidR="008C7FB0" w:rsidRPr="003B1A18" w:rsidRDefault="008C7FB0" w:rsidP="003B1A18">
      <w:pPr>
        <w:spacing w:after="0" w:line="240" w:lineRule="auto"/>
        <w:ind w:left="1060" w:right="34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1)     игра в куклы</w:t>
      </w:r>
    </w:p>
    <w:p w:rsidR="008C7FB0" w:rsidRPr="003B1A18" w:rsidRDefault="008C7FB0" w:rsidP="003B1A18">
      <w:pPr>
        <w:spacing w:after="0" w:line="240" w:lineRule="auto"/>
        <w:ind w:left="1060" w:right="34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2)     подвижные игры (спокойные игры)</w:t>
      </w:r>
    </w:p>
    <w:p w:rsidR="008C7FB0" w:rsidRPr="003B1A18" w:rsidRDefault="008C7FB0" w:rsidP="003B1A18">
      <w:pPr>
        <w:spacing w:after="0" w:line="240" w:lineRule="auto"/>
        <w:ind w:left="1060" w:right="34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3)     игры творческие</w:t>
      </w:r>
    </w:p>
    <w:p w:rsidR="008C7FB0" w:rsidRPr="003B1A18" w:rsidRDefault="008C7FB0" w:rsidP="003B1A18">
      <w:pPr>
        <w:spacing w:after="0" w:line="240" w:lineRule="auto"/>
        <w:ind w:left="1060" w:right="34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4)     игра в сказку</w:t>
      </w:r>
    </w:p>
    <w:p w:rsidR="008C7FB0" w:rsidRPr="003B1A18" w:rsidRDefault="008C7FB0" w:rsidP="003B1A18">
      <w:pPr>
        <w:spacing w:after="0" w:line="240" w:lineRule="auto"/>
        <w:ind w:left="1060" w:right="34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5)     игра «Живые картинки» (Чистякова, Чернушенко, Солина, 1964).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На наш взгляд, в организации обучения  иностранному языку на на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этапе важно учитывать существенные психолого-педагогические различия 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тей дошкольного и младшего школьного возраста. Для детей младшего школь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ного возраста характерны яркость и непосредственность восприятия, лег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кость вхождения в образы (Се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лев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ко, 1998). Дети быстро вовлекаются в игровую дея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тельность и самостоятельно организуются в групповую игру по правилам. Иг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ровая обстановка трансформирует и позицию учителя, которая балансирует меж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ду ролью организатора, помощника и соучастника общего действия.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Игровая деятельность включает в себя упражнения, формирующие уме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выделять основные признаки предметов, сравнивать; группы игр на обоб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предметов по определенным признакам; группы игр в процессе которых у младших школьников развивается умение владеть собой, быстрота реакции на сло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во, фонематический слух. При этом игровой сюжет развивается параллельно ос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новному содержанию обучения, помогает активизировать учебный процесс. Игра способствует запоминанию, которое является преобладающим на на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чаль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ном этапе обучения иностранному языку.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Игра является средством создания ситуации общения. Использование учеб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но-речевых игровых ситуаций полностью отвечает возрастным осо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тям детей и создают условия для их естественного общения. Используемые  учеб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но-речевые игры отличаются от развлекательных тем, что они имеют вто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рой план или узко методическую цель. Учебно-речевая игровая ситуация по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буж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дает учащихся говорить и действовать по правилам игры в учебно-ме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ких целях. Именно игра повышает и поддерживает интерес к общению. Мо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гут быть выделены следующие виды учебно-речевых игр: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1.      Фонетические.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2.      Для работы с алфавитом.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3.      Орфографические.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4.      Лексические.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5.      Грамматические.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6.      Для обучения чтению.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7.      Для обучения аудированию.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8.      Для обучения монологической речи.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9.      Для обучения диалогической речи.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10. Подвижные игры.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На средней ступени обучения иностранному языку у учащихся меняется от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ношение к изучаемому предмету. Как показывают исследования, в структуре мотивации определяемыми являются внешние факторы. Г.В. Рогова и др. выделяют узколичностные мотивы (деятельность ради оценки или другой личной выгоды); отрицательные мотивы, связанные с осознанием школьником тех неприятностей, которые его ожидают, если он не будет добросовестно вы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нять учебные обязанности (Рогова, Никитенко, 1982).</w:t>
      </w:r>
      <w:r w:rsidRPr="003B1A1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 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А так как ядром ин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са являются внутренние мотивы (коммуникативно-познавательные, исхо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щие из самой деятельности по овладению иностранным языком), то интерес к пред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мету снижается. Это говорит о том, что наличие желания изучать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ный язык само по себе еще не обеспечивает положительную мотивацию. Она должна быть подкреплена интересом учащихся к выполнению учебной дея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тельности (Рогова, Никитенко, 1982). Поэтому одна из главных задач препо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вателя иностранного языка состоит в том, чтобы сохранить у учащихся ин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рес к предмету. Здесь необходимо обратиться к психолого-педагогическим осо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бен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ностям школьников данных возраста.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Переход к подростковому этапу развития личности характеризуется бурным физическим и духовным ростом, расширением познавательных ин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сов, тягой к самооценке, к общественной активности (Газман, 1982). В реа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ции всех этих процессов находят свое место такие игры, как спортивные, под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виж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ные, интеллектуальные, сюжетно-ролевые. На первое место выдвигаются твор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ческие, сюжетно-ролевые игры. Этот взлет объясняется возрастающим зна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нием общения в жизни подростка. Поэтому, на наш взгляд, на среднем этапе обу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чения иностранному языку средством повышения эффективности учебного про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цесса являются игры-соревнования, игры-конкурсы (Ноусиайнен, Воскре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сен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ская, 1980). Они отличаются от обыкновенной игры тем, что в них обя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 должен присутствовать элемент соревнования и соперничества. Для не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торых учащихся, не испытывающих интереса к предмету, игры-соревнования могут послужить отправной точкой в возникновении этого интереса. Поэтому ис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пользование таких игр дает наибольший эффект в классах, где преобладают уче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ники с неустойчивым вниманием, пониженным интересом к предмету.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общения на старшем этапе обучения иностранному языку с ис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пользованием ролевых и деловых игр способствует повышению эффек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тив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 учебного процесса.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Необходимо помнить, что особенностью игры в старшем школьном воз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 является нацеленность на самоутверждение, юмористическая окраска, стрем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ление к розыгрышу, ориентация на речевую деятельность (Селевко, 1998). По мнению И.С. Кона, «единственный способ вызвать отклик юноши – по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вить его перед близкой ему проблемы, которая заставляет его самостоятельно раз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мышлять и формировать вывод» (Кон, 1967).</w:t>
      </w:r>
      <w:r w:rsidRPr="003B1A18">
        <w:rPr>
          <w:rFonts w:ascii="Times New Roman" w:hAnsi="Times New Roman"/>
          <w:color w:val="000000"/>
          <w:sz w:val="24"/>
          <w:szCs w:val="24"/>
          <w:vertAlign w:val="superscript"/>
          <w:lang w:eastAsia="ru-RU"/>
        </w:rPr>
        <w:t>  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На наш взгляд, организация об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щения на старшем этапе обучения иностранному языку может происходить с ис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пользованием ролевых и деловых игр. Как отмечает методист Н.И. Гез, «си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ация ролевого общения является стимулом к развитию спонтанной речи, если она является связанной с решением определенных проблем и коммуникативных за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дач. Цель ролевой игры – сконцентрировать внимание участников на ком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кативном использовании единиц языка» (Гез, 1982).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Учебная деловая игра представляет собой практическое занятие, моде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ру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ющее разные аспекты профессиональной деятельности обучаемых. Она со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зда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условие для комплексного использования имеющихся у учащихся знаний пред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мета профессиональной деятельности, а также способствует более полному овладению иностранным языком. Как отмечает Н.И. Торунова, «введение де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вой игры в вузовский педагогический процесс способствует формированию про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фессионального становления личности специалиста» (Торунова, Кокташева, 2000).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Проделанный анализ позволяет сделать следующие выводы: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- игра должна включаться в том или ином виде в каждое занятие по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ран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языку;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- использование игры на занятиях – обязательное средство создания ситуации об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щения эффективности учебного процесса;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- эффективность игры зависит от правильной ее организации;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- проведение игр на занятиях по иностранному языку позволяет реализовать во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пи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та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тельные цели обучения. Задача преподавателя – научить культуре игры и культуре поведения вообще;</w:t>
      </w:r>
    </w:p>
    <w:p w:rsidR="008C7FB0" w:rsidRPr="003B1A18" w:rsidRDefault="008C7FB0" w:rsidP="003B1A18">
      <w:pPr>
        <w:spacing w:after="0" w:line="240" w:lineRule="auto"/>
        <w:ind w:left="106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- разработка и внедрение игр в процессе обучения способствует более ус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пеш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му решению основных задач обучения устной речи на разных этапах обучения ино</w:t>
      </w: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странному языку.</w:t>
      </w:r>
    </w:p>
    <w:p w:rsidR="008C7FB0" w:rsidRPr="003B1A18" w:rsidRDefault="008C7FB0" w:rsidP="003B1A18">
      <w:pPr>
        <w:spacing w:after="0" w:line="240" w:lineRule="auto"/>
        <w:ind w:left="340" w:right="3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C7FB0" w:rsidRPr="003B1A18" w:rsidRDefault="008C7FB0" w:rsidP="003B1A18">
      <w:pPr>
        <w:spacing w:after="0" w:line="240" w:lineRule="auto"/>
        <w:ind w:left="340" w:right="34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B1A18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8C7FB0" w:rsidRPr="003B1A18" w:rsidRDefault="008C7FB0" w:rsidP="003B1A18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C7FB0" w:rsidRPr="003B1A18" w:rsidSect="000B0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A18"/>
    <w:rsid w:val="000B091C"/>
    <w:rsid w:val="00361D57"/>
    <w:rsid w:val="003B1A18"/>
    <w:rsid w:val="003F36A2"/>
    <w:rsid w:val="006038F2"/>
    <w:rsid w:val="00695601"/>
    <w:rsid w:val="00804FB0"/>
    <w:rsid w:val="008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25D54-01D0-42AF-8E8C-BE55F8B2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91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3B1A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">
    <w:name w:val="2"/>
    <w:basedOn w:val="a"/>
    <w:rsid w:val="003B1A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1A18"/>
    <w:rPr>
      <w:rFonts w:cs="Times New Roman"/>
    </w:rPr>
  </w:style>
  <w:style w:type="paragraph" w:styleId="a3">
    <w:name w:val="Block Text"/>
    <w:basedOn w:val="a"/>
    <w:semiHidden/>
    <w:rsid w:val="003B1A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20">
    <w:name w:val="Body Text 2"/>
    <w:basedOn w:val="a"/>
    <w:link w:val="21"/>
    <w:semiHidden/>
    <w:rsid w:val="003B1A1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semiHidden/>
    <w:locked/>
    <w:rsid w:val="003B1A18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ИГРА В ОБУЧЕНИИ ИНОСТРАННОМУ ЯЗЫКУ</vt:lpstr>
    </vt:vector>
  </TitlesOfParts>
  <Company/>
  <LinksUpToDate>false</LinksUpToDate>
  <CharactersWithSpaces>12579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 В ОБУЧЕНИИ ИНОСТРАННОМУ ЯЗЫКУ</dc:title>
  <dc:subject/>
  <dc:creator>Дима</dc:creator>
  <cp:keywords/>
  <dc:description/>
  <cp:lastModifiedBy>admin</cp:lastModifiedBy>
  <cp:revision>2</cp:revision>
  <cp:lastPrinted>2011-04-02T16:15:00Z</cp:lastPrinted>
  <dcterms:created xsi:type="dcterms:W3CDTF">2014-05-29T16:36:00Z</dcterms:created>
  <dcterms:modified xsi:type="dcterms:W3CDTF">2014-05-29T16:36:00Z</dcterms:modified>
</cp:coreProperties>
</file>