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1D" w:rsidRPr="00DB4E8E" w:rsidRDefault="00A32CF8" w:rsidP="00DB4E8E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DB4E8E">
        <w:rPr>
          <w:b/>
          <w:sz w:val="28"/>
          <w:szCs w:val="32"/>
          <w:lang w:val="uk-UA"/>
        </w:rPr>
        <w:t>План</w:t>
      </w:r>
    </w:p>
    <w:p w:rsidR="00352467" w:rsidRPr="00DB4E8E" w:rsidRDefault="00352467" w:rsidP="00DB4E8E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</w:p>
    <w:p w:rsidR="00352467" w:rsidRPr="00DB4E8E" w:rsidRDefault="00177C1A" w:rsidP="00DB4E8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8"/>
          <w:lang w:val="uk-UA"/>
        </w:rPr>
      </w:pPr>
      <w:r w:rsidRPr="00DB4E8E">
        <w:rPr>
          <w:b w:val="0"/>
          <w:caps w:val="0"/>
          <w:noProof/>
          <w:sz w:val="28"/>
          <w:szCs w:val="28"/>
          <w:lang w:val="uk-UA"/>
        </w:rPr>
        <w:t>Вступ</w:t>
      </w:r>
    </w:p>
    <w:p w:rsidR="00352467" w:rsidRPr="00DB4E8E" w:rsidRDefault="00177C1A" w:rsidP="00DB4E8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8"/>
          <w:lang w:val="uk-UA"/>
        </w:rPr>
      </w:pPr>
      <w:r w:rsidRPr="00DB4E8E">
        <w:rPr>
          <w:b w:val="0"/>
          <w:caps w:val="0"/>
          <w:noProof/>
          <w:sz w:val="28"/>
          <w:szCs w:val="28"/>
          <w:lang w:val="uk-UA"/>
        </w:rPr>
        <w:t>Сучасні філософські підходи до соціально-педагогічної роботи</w:t>
      </w:r>
    </w:p>
    <w:p w:rsidR="00352467" w:rsidRPr="00DB4E8E" w:rsidRDefault="00DB4E8E" w:rsidP="00DB4E8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8"/>
          <w:lang w:val="uk-UA"/>
        </w:rPr>
      </w:pPr>
      <w:r w:rsidRPr="00DB4E8E">
        <w:rPr>
          <w:b w:val="0"/>
          <w:caps w:val="0"/>
          <w:noProof/>
          <w:sz w:val="28"/>
          <w:szCs w:val="28"/>
          <w:lang w:val="uk-UA"/>
        </w:rPr>
        <w:t>Висновок</w:t>
      </w:r>
    </w:p>
    <w:p w:rsidR="00352467" w:rsidRPr="00DB4E8E" w:rsidRDefault="00177C1A" w:rsidP="00DB4E8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8"/>
          <w:lang w:val="uk-UA"/>
        </w:rPr>
      </w:pPr>
      <w:r w:rsidRPr="00DB4E8E">
        <w:rPr>
          <w:b w:val="0"/>
          <w:caps w:val="0"/>
          <w:noProof/>
          <w:sz w:val="28"/>
          <w:szCs w:val="28"/>
          <w:lang w:val="uk-UA"/>
        </w:rPr>
        <w:t>Використана література</w:t>
      </w:r>
    </w:p>
    <w:p w:rsidR="00D3678E" w:rsidRPr="00DB4E8E" w:rsidRDefault="00D3678E" w:rsidP="00DB4E8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781D" w:rsidRPr="00DB4E8E" w:rsidRDefault="00D3781D" w:rsidP="00DB4E8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DB4E8E">
        <w:rPr>
          <w:rFonts w:ascii="Times New Roman" w:hAnsi="Times New Roman" w:cs="Times New Roman"/>
          <w:sz w:val="28"/>
          <w:lang w:val="uk-UA"/>
        </w:rPr>
        <w:br w:type="page"/>
      </w:r>
      <w:bookmarkStart w:id="0" w:name="_Toc150581571"/>
      <w:bookmarkStart w:id="1" w:name="_Toc222212506"/>
      <w:r w:rsidR="000209F5" w:rsidRPr="00DB4E8E">
        <w:rPr>
          <w:rFonts w:ascii="Times New Roman" w:hAnsi="Times New Roman" w:cs="Times New Roman"/>
          <w:sz w:val="28"/>
          <w:lang w:val="uk-UA"/>
        </w:rPr>
        <w:t>Вступ</w:t>
      </w:r>
      <w:bookmarkEnd w:id="0"/>
      <w:bookmarkEnd w:id="1"/>
    </w:p>
    <w:p w:rsidR="005C1391" w:rsidRDefault="005C1391" w:rsidP="00DB4E8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Порушення традиційних, вироблених за радянських часів механізмів соціального регулювання поведінки людей обумовили необхідність перегляду не лише соціальної політики, але й теоретичних засад, на яких вона ґрунтувалася, нових підходів щодо осмислення й оцінки того, що відбувається з людиною, розуміння логіки зміни подій, функціонування механізмів самозахисту і загальнодержавної підтримки людей. Тобто необхідне вироблення відповідної сучасним вимогам стратегії соціальної політики як на державному, так і регіональному рівнях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Крім того, все очевиднішим стає вплив на специфіку діяльності соціального педагога і соціального працівника масовості якісних змін, які відбуваються в самій людині: зростання рівня освіченості, поінформованості, відносної соціально-побутової забезпеченості. При цьому нову роль починають відігравати, з одного боку, соціально-культурні традиції, які іноді ускладнюють життя людини, а з іншого – уніфікація соціокультурного розвитку людини під впливом засобів масової інформації, процесів загальної глобалізації суспільного життя. </w:t>
      </w:r>
    </w:p>
    <w:p w:rsidR="00D3781D" w:rsidRPr="00DB4E8E" w:rsidRDefault="00D3781D" w:rsidP="00DB4E8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277E" w:rsidRPr="00DB4E8E" w:rsidRDefault="00D3781D" w:rsidP="00DB4E8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E8E"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2" w:name="_Toc222212507"/>
      <w:r w:rsidR="003D277E" w:rsidRPr="00DB4E8E">
        <w:rPr>
          <w:rFonts w:ascii="Times New Roman" w:hAnsi="Times New Roman" w:cs="Times New Roman"/>
          <w:sz w:val="28"/>
          <w:szCs w:val="28"/>
          <w:lang w:val="uk-UA"/>
        </w:rPr>
        <w:t>Сучасні філософські підходи до соціально-педагогічної роботи</w:t>
      </w:r>
      <w:bookmarkEnd w:id="2"/>
    </w:p>
    <w:p w:rsidR="00D3678E" w:rsidRPr="00DB4E8E" w:rsidRDefault="00D3678E" w:rsidP="00DB4E8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Успішно реалізовувати соціальну політику і належно вести соціально-педагогічну роботу можуть лише люди, які відповідають певним професійно-якісним характеристикам. При цьому слід брати до уваги не лише якості особистості, але й ціннісні характеристики даної професійної діяльності, оскільки незаперечні їх взаємодія і єдність. 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Цінності професійної діяльності можна визначити як певну домінуючу потребу (служити своєю професією на благо інших людей), яка орієнтує (чи акумулює) професійно-особистісну активність соціального педагога чи соціального працівника на досягнення цієї гуманної цілі.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Взявши за основу характерні запити особистості і співвідносячи їх з професією соціального педагога, її гуманістичним смислом, можна назвати такі групи цінностей соціально-педагогічної діяльності:</w:t>
      </w:r>
    </w:p>
    <w:p w:rsidR="0078346A" w:rsidRPr="00DB4E8E" w:rsidRDefault="000D18C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78346A" w:rsidRPr="00DB4E8E">
        <w:rPr>
          <w:sz w:val="28"/>
          <w:lang w:val="uk-UA"/>
        </w:rPr>
        <w:t xml:space="preserve"> цінності альтруїстичного характеру, які відображають специфіку професійної діяльності (допоможи іншому, тому, хто слабозахищений, хто потребує твоєї підтримки);</w:t>
      </w:r>
    </w:p>
    <w:p w:rsidR="0078346A" w:rsidRPr="00DB4E8E" w:rsidRDefault="000D18C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78346A" w:rsidRPr="00DB4E8E">
        <w:rPr>
          <w:sz w:val="28"/>
          <w:lang w:val="uk-UA"/>
        </w:rPr>
        <w:t xml:space="preserve"> цінності етичної відповідальності перед професією (соціальний педагог чи працівник утверджує і обстоює гідність професії як важливої суспільної місії, дотримується її етичних принципів і норм, примножує знання змісту соціальної роботи, яка, як і інші галузі діяльності, перебуває у процесі постійного розвитку і збагачення);</w:t>
      </w:r>
    </w:p>
    <w:p w:rsidR="0078346A" w:rsidRPr="00DB4E8E" w:rsidRDefault="000D18C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78346A" w:rsidRPr="00DB4E8E">
        <w:rPr>
          <w:sz w:val="28"/>
          <w:lang w:val="uk-UA"/>
        </w:rPr>
        <w:t xml:space="preserve"> цінності, пов’язані з потребами самореалізації, самоствердження і самовдосконалення особистості соціального педагога чи соціального працівника і досягнення професіоналізму у сфері своєї діяльності.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Структурний і якісний аналіз цінностей соціально-педагогічної роботи як професійної діяльності виявляє їх комплексний характер, гуманістичну природу і сутність.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Саме гуманістичний ідеал – самоцінність особистості – визначає зміст і призначення цієї діяльності, а її цінності тією чи іншою мірою відображають необхідність гармонії суспільних і особистих інтересів, пріоритету загальнолюдських цінностей (істина, здоров’я, мир, милосердя, добро, допомога іншій людині тощо). Отже, основним завданням соціально-педагогічної роботи є налагодження балансу між відповідальністю суспільства перед особистістю і особистостості перед суспільством.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Однією з передумов успіху, ефективності соціально-педагогічної роботи є вміння спеціаліста визначати проблеми і потреби на різних рівнях: індивідуальному, міжособистісному і суспільному.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Для становлення і розвитку системи соціально-педагогічної роботи в Україні надзвичайно важливою є опора на світовий досвід. Належне осмислення різних підходів і методів зарубіжних шкіл соціальної роботи дозволять чіткіше визначати, доповнювати цілі, завдання і зміст цієї роботи у нашому суспільстві. 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У залежності від підходів до соціальної роботи в зарубіжній практиці розрізняються ряд шкіл, найбільш яскравими представниками яких є, зокрема, Мері Річмонд, Зігмунд Фрейд, Джон Дьюї, Вірджинія Робінсон, Гордон Гамільтон, Аліса Соломон та ін. Якщо представники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діагностичної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школи роблять акцент на діагностиці (причому оцінка особистості має надзвичайне значення, більше, ніж оцінка соціальної ситуації, оточення, середовища), то представники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функціональної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школи акцентують увагу на процесі надання допомоги, вважаючи, що людина внутрішньо завжди прагне до чогось позитивного і перебуває у стані зростання й розвитку. Вони наголошують на значенні соціального оточення, культурних і економічних факторів, які сприяють чи ускладнюють цей процес. Водночас представники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функціональної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школи впевнені в тому, що не можна навпрямки пізнати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Я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іншої людини, для цього необхідно налагодити такі стосунки, за яких клієнт може розкритися. Це потребує від спеціаліста хорошого знання себе. Тому вони вважають, що підготовка соціального працівника потребує його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тотального (повного) вживання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у сферу своєї діяльності, що забезпечить саморозвиток, самопізнання як необхідну умову пізнання інших людей. Дана позиція науковців виправдала себе і підтвердилася багаторічною практикою.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Результатом соціальної роботи в цілому зарубіжні дослідники вважають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поліпшення функціонування клієнта і його кращу адаптацію до умов соціального середовища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(Холліс і Вудс);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забезпечення сприятливих змін у житті клієнта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(Г. Бендлер);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наближення, зменшення гостроти різних проблем, які з’являються в житті людини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(Х. Сведнер).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Як засоби досягнення визначених цілей пропонуються: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свобода, розвиток і зміни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(Г. Бендлер);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різні методи здійснення соціальних змін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(Х. Сведнер);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зміна умов життя і способів життя людини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(Л. Юнсон) та ін.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Таким чином, мета соціально-педагогічної роботи – сприяння людям успішно вирішувати їхні проблеми. Засоби досягнення цієї мети – вивільнення і розвиток ресурсів людини і її соціального оточення, здійснення необхідних соціальних змін.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Термін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соціальна робота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в Україні тлумачиться передусім як різновид діяльності, яка за свою мету має оптим</w:t>
      </w:r>
      <w:r w:rsidR="00EA0854">
        <w:rPr>
          <w:sz w:val="28"/>
          <w:lang w:val="uk-UA"/>
        </w:rPr>
        <w:t>ізацію суб’єктивної ролі людини</w:t>
      </w:r>
      <w:r w:rsidRPr="00DB4E8E">
        <w:rPr>
          <w:sz w:val="28"/>
          <w:lang w:val="uk-UA"/>
        </w:rPr>
        <w:t>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Існує ще ряд визначень, в основі яких лежать поняття: допомога, підтримка, захист. Проте найбільш прийнятним буде визначення суті і змісту соціально-педагогічної роботи, яке поєднує в собі кілька аспектів, котрі характеризують її як єдність таких складників: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1) надання допомоги окремій людині чи групі людей, які опинилися в складній життєвій ситуації, шляхом підтримки, консультування, реабілітації, патронажу та інших видів соціальних і психолого-педагогічних послуг;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2) актуалізація потенціалу самодопомоги осіб, які опинилися в скрутній ситуації;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3) цілеспрямований вплив на формування і реалізацію соціальної політики на всіх рівнях – від загальнодержавних до місцевих – з метою забезпечення соціально здорового середовища життєпобуту та життєдіяльності людини, створення системи підтримки людей, які опинилися у складній життєвій ситуації. Перші два рівні представляють мікрорівень, третій – макрорівень соціально-педагогічної роботи.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У той же час ми розглядаємо соціальну роботу і як своєрідну управлінську діяльність, спрямовану на зміну сукупності умов функціонування і розвитку соціальних процесів з метою досягнення оптимальної відповідності інтересам і потребам суспільства, соціальних груп і особистості. Таке широке тлумачення дозволяє сприймати соціальну роботу як сферу діяльності, метою якої є здійснення корекції соціальних відносин, процесів розвитку і становлення особистості.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Не можна відкидати і того факту, що зміст поняття 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>соціальна робота</w:t>
      </w:r>
      <w:r w:rsidR="00DB4E8E">
        <w:rPr>
          <w:sz w:val="28"/>
          <w:lang w:val="uk-UA"/>
        </w:rPr>
        <w:t>"</w:t>
      </w:r>
      <w:r w:rsidRPr="00DB4E8E">
        <w:rPr>
          <w:sz w:val="28"/>
          <w:lang w:val="uk-UA"/>
        </w:rPr>
        <w:t xml:space="preserve"> буде постійно змінюватись, оскільки процес рухається від одного стану, завдань, проблем, ідеологій до інших і сьогоднішня модель цієї діяльності, безперечно, не є завершеною і усталеною. Тому, очевидно, тлумачення даного поняття з часом зазнає певних коригувань і передбачатиме інші цілі. 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Зміст і структура соціально-педагогічної роботи як виду професійної діяльності, з одного боку, випливають з прийнятого філософського і психологічного трактування діяльності, а з іншого, – враховують специфічні особливості і фактори, які характеризують об’єкт, що вивчається нами.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Специфічною особливістю людської діяльності є соціальна форма її організації, яка сприяє активній інтеріоризації кожним учасником суспільних норм і цінностей. Що ж стосується соціальної роботи як виду діяльності, то слід брати до уваги, що вона спрямована на досить складний об’єкт: людина чи група людей, які потребують соціальної допомоги, підтримки, корекції, реабілітації. Соціальна робота – це інтегроване, цілісне утворення, яке включає такі структурно-змістові компоненти, як ціль, дії, мотивацію, відносини, комунікацію.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Для розуміння змісту діяльності і вимог до особистості соціального педагога, соціального працівника необхідно насамперед визначити цілі, які постають перед ними: чим визначаються цілі в конкретній практичній ситуації в даний період і як ці визначені цілі (а потім і дії) змінюються. Потім слід зважувати на завдання, які може вирішувати спеціаліст; при цьому можливе спільне планування дій (поставленого завдання) з клієнтом і залучення його власних ресурсів і можливостей. Дія, окрім цілей і завдань, включає операційно-практичні акти (конкретні різні види діяльності).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Система мотивів – рушійна сила людської поведінки. А система домінуючих мотивів, яка спонукає до дії, визначає спрямованість особистості. Поєднання мотиву і способу його реалізації проявляється в альтруїстичній, дійовій чи особистісній спрямованості. Так, мотиваційною основою у дії щодо надання допомоги, підтримки (будь-якого плану) людині можна вважати те, що суб’єкт керується ставленням до цієї людини як до цінності.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Мотивація проявляється і в такому компоненті особистості соціального педагога (працівника), як міжособистісні відносини. Стиль поведінки фахівця, обумовлений сукупністю його особистісних і професійних якостей, його ціннісними орієнтаціями та інтересами, має помітний вплив на систему відносин, які налагоджує соціальний працівник. При цьому варто зважати на загальні ознаки професійних відносин, на відмінність від міжособистісних: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1. Формування відносин спеціаліста обумовлено професійними цілями. В діяльності соціального педагога чи соціального працівника відносини формуються заради досягнення як загальних цілей, так і заради окремих завдань і результатів.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2. У професійних відносинах спеціаліст на перше місце ставить не власні інтереси, а потреби, інтереси і очікування інших людей при вирішенні їхніх проблем.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3. Соціальний педагог (працівник) будує відносини на основі об’єктивності і усвідомлення власної відповідальності, що дозволяє йому відволікатися від власного емоційного стану, щоб сприймати об’єктивно потреби, турботи і труднощі іншої людини.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Особливу роль у діяльності спеціаліста соціально-виховної сфери відіграє комунікація. Саме категорія спілкування відображає зв’язки між людиною і соціальним середовищем, групами, спільнотами. Спілкування – процес багатогранний. Воно реалізується в різноманітних формах (міжособистісне спілкування, соціальний діалог, ділове і управлінське спілкування тощо).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У соціально-педагогічній роботі доводиться стикатися з різними людьми: сором’язливими і такими, що бурхливо чи навіть агресивно виражають свої почуття, замкнутими, недовірливими, охочими до розмов, тими, хто шукає справедливості, підтримки і хто їх вимагає. Тому важливим є вміння знайти підхід до кожного з них, налагодити контакт, стимулюючи людину до діалогу тощо. Компетентність у спілкуванні є одним із головних, базових компонентів і критеріїв результативної роботи. Знання закономірностей усвідомленої поведінки особистості (світогляд, переконання, інтереси, прагнення, ідеали) і неусвідомленого (установки, стереотипи, потяг, рівні домагань, конформність, сприйнятливість до навіювання тощо), розуміння механізмів спрямованості особистості, міри прояву емоцій (афекти, стреси, фрустрації тощо) допоможуть адекватно оцінити і зрозуміти людину, надати саме ту допомогу, якої вона потребує. Крім того, міміка, жести, експресія доповнюють це розуміння і сприяють знаходженню оптимальних варіантів вирішення проблеми, яка стосується конкретної людини.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Уміння володіти первинною діагностикою комунікативності своїх клієнтів, груп осіб – необхідна ланка у компетентності соціального працівника чи соціального педагога. При цьому слід пам’ятати: не можна оцінювати людину і її можливості щодо спілкування без врахування актуального чи потенційного оточення, перспектив розвитку особистості.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Звичайно, спілкування – домінуючий інструмент у соціальній роботі, але не кінцевий продукт діяльності. Водночас варто наголосити на думці, що людина-особистість більш різноманітна, складніша і багатша, ніж діяльність, і сутнісно не вичерпується нею. Але смислом акмеологічного підходу у професійно-особистісному розвитку спеціаліста є те, що не можна розглядати особистість поза діяльністю, так само, як діяльність не можна розглядати без врахування особистості, її спрямованості щодо розвитку, саморегуляції самореалізації тощо.</w:t>
      </w:r>
    </w:p>
    <w:p w:rsidR="0078346A" w:rsidRPr="00DB4E8E" w:rsidRDefault="0078346A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Зважаючи на аксіологічну і функціональну природу, соціально-виховна робота є одним із багатогранних, обсяжних видів професійної діяльності. Соціальний педагог і соціальний працівник виконують весь спектр різноманітних функцій організації, координації, забезпечення, підтримки (психологічної і фізичної), правової і адміністративної допомоги, психолого-педагогічної корекції тощо. Це спеціалісти, які можуть працювати на різних рівнях реалізації соціальної політики держави – на рівні управління, матеріально-технічного і правового забезпечення, освіти, охорони здоров’я і безпосередньої практики соціально-виховної роботи.</w:t>
      </w:r>
    </w:p>
    <w:p w:rsidR="00A87D76" w:rsidRPr="00DB4E8E" w:rsidRDefault="00A87D76" w:rsidP="00DB4E8E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D3781D" w:rsidRPr="005C1391" w:rsidRDefault="00D3781D" w:rsidP="00DB4E8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E8E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752DED" w:rsidRPr="00DB4E8E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</w:p>
    <w:p w:rsidR="00DB4E8E" w:rsidRPr="005C1391" w:rsidRDefault="00DB4E8E" w:rsidP="00DB4E8E">
      <w:pPr>
        <w:rPr>
          <w:lang w:val="uk-UA"/>
        </w:rPr>
      </w:pPr>
    </w:p>
    <w:p w:rsidR="00DC38A3" w:rsidRPr="00DB4E8E" w:rsidRDefault="00DC38A3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 xml:space="preserve">Таке розуміння діяльності соціального педагога чи соціального працівника потребує водночас відповідного усвідомлення багатогранності соціальної ролі спеціаліста цієї галузі. Загалом основні аспекти соціальної ролі фахівця соціальної роботи можна поєднати у чотири блоки: </w:t>
      </w:r>
    </w:p>
    <w:p w:rsidR="00DC38A3" w:rsidRPr="00DB4E8E" w:rsidRDefault="003D277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DC38A3" w:rsidRPr="00DB4E8E">
        <w:rPr>
          <w:sz w:val="28"/>
          <w:lang w:val="uk-UA"/>
        </w:rPr>
        <w:t xml:space="preserve"> роль як зразок поведінки і установок, соціально заданий з більшою чи меншою мірою визначеності;</w:t>
      </w:r>
    </w:p>
    <w:p w:rsidR="00DC38A3" w:rsidRPr="00DB4E8E" w:rsidRDefault="003D277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DC38A3" w:rsidRPr="00DB4E8E">
        <w:rPr>
          <w:sz w:val="28"/>
          <w:lang w:val="uk-UA"/>
        </w:rPr>
        <w:t xml:space="preserve"> роль як стратегія поведінки, спрямована на оволодіння ситуацією певного типу;</w:t>
      </w:r>
    </w:p>
    <w:p w:rsidR="00DC38A3" w:rsidRPr="00DB4E8E" w:rsidRDefault="003D277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DC38A3" w:rsidRPr="00DB4E8E">
        <w:rPr>
          <w:sz w:val="28"/>
          <w:lang w:val="uk-UA"/>
        </w:rPr>
        <w:t xml:space="preserve"> роль як система очікувань стосовно людей певного статусу;</w:t>
      </w:r>
    </w:p>
    <w:p w:rsidR="00DC38A3" w:rsidRPr="00DB4E8E" w:rsidRDefault="003D277E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-</w:t>
      </w:r>
      <w:r w:rsidR="00DC38A3" w:rsidRPr="00DB4E8E">
        <w:rPr>
          <w:sz w:val="28"/>
          <w:lang w:val="uk-UA"/>
        </w:rPr>
        <w:t xml:space="preserve"> роль як дія, як виконання певних вимог людиною, призначеною на цю роль.</w:t>
      </w:r>
    </w:p>
    <w:p w:rsidR="00DC38A3" w:rsidRPr="00DB4E8E" w:rsidRDefault="00DC38A3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Дані позиції характеризують і професійні ролі соціального працівника через призму його посадових функцій. Звідси можна сказати, що рольова поведінка соціального працівника обумовлена самою посадою. Проте, коли ми розглядаємо працівника як спеціаліста-виконавця професійної діяльності, то особистісний фактор (індивідуальність, творчі здібності, втілені в технології, особистісні якості і властивості і, безперечно, професійна компетентність) в практиці досить помітний. Спеціаліст, включаючись у професійну діяльність, виконує свої професійні ролі. Професійна роль формується і обумовлюється не лише місцем індивіда в системі об’єктивних функцій у діяльності. Виконання різноманітних професійних ролей в соціальній роботі пов’язане з виконанням різних робочих функцій. Робоча функція може бути охарактеризована як певний обов’язок, завдання чи дії, пов’язані з специфічною професійною роллю.</w:t>
      </w:r>
    </w:p>
    <w:p w:rsidR="00DC38A3" w:rsidRPr="00DB4E8E" w:rsidRDefault="00DC38A3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DB4E8E">
        <w:rPr>
          <w:sz w:val="28"/>
          <w:lang w:val="uk-UA"/>
        </w:rPr>
        <w:t>Кожна професійна роль має набір конкретних робочих функцій: організаторську, управлінську, комунікативну, діагностичну, прогностичну, педагогічно-терапевтичну, посередницьку та ін. Ефективність виконання цих функцій, співвідносячись з певними здібностями людини і її особистісними якостями, в різній мірі визначається цілеспрямованим тренуванням в діях, в яких вони реалізуються. А щоб реалізувати ці дії, кожен спеціаліст має володіти пакетом відповідних технологій, які в сукупності є не лише процесом, ходом дії, але й відображають зміст і характер цих дій.</w:t>
      </w:r>
    </w:p>
    <w:p w:rsidR="00D3781D" w:rsidRPr="00DB4E8E" w:rsidRDefault="00D3781D" w:rsidP="00DB4E8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781D" w:rsidRPr="00DB4E8E" w:rsidRDefault="00D3781D" w:rsidP="00DB4E8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E8E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752DED" w:rsidRPr="00DB4E8E">
        <w:rPr>
          <w:rFonts w:ascii="Times New Roman" w:hAnsi="Times New Roman" w:cs="Times New Roman"/>
          <w:sz w:val="28"/>
          <w:szCs w:val="28"/>
          <w:lang w:val="uk-UA"/>
        </w:rPr>
        <w:t>Використана література</w:t>
      </w:r>
    </w:p>
    <w:p w:rsidR="00EA575D" w:rsidRPr="00DB4E8E" w:rsidRDefault="00EA575D" w:rsidP="00DB4E8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CF6997" w:rsidRPr="00DB4E8E" w:rsidRDefault="00CF6997" w:rsidP="00DB4E8E">
      <w:pPr>
        <w:numPr>
          <w:ilvl w:val="0"/>
          <w:numId w:val="1"/>
        </w:numPr>
        <w:tabs>
          <w:tab w:val="clear" w:pos="1429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DB4E8E">
        <w:rPr>
          <w:sz w:val="28"/>
          <w:lang w:val="uk-UA"/>
        </w:rPr>
        <w:t>Андрущенко В. П., Бех В. П., Лукашевич М. П., Мигович І. І., Пінчук І. М.</w:t>
      </w:r>
      <w:r w:rsidRPr="00DB4E8E">
        <w:rPr>
          <w:bCs/>
          <w:sz w:val="28"/>
          <w:lang w:val="uk-UA"/>
        </w:rPr>
        <w:t xml:space="preserve"> Соціальна робота</w:t>
      </w:r>
      <w:r w:rsidRPr="00DB4E8E">
        <w:rPr>
          <w:sz w:val="28"/>
          <w:lang w:val="uk-UA"/>
        </w:rPr>
        <w:t xml:space="preserve"> / Інститут вищої освіти АПН України; Державний центр соціальних служб для молоді. — К. : УДЦССМ, 2001. </w:t>
      </w:r>
      <w:r w:rsidRPr="00DB4E8E">
        <w:rPr>
          <w:bCs/>
          <w:sz w:val="28"/>
          <w:lang w:val="uk-UA"/>
        </w:rPr>
        <w:t>Кн. 1 : Актуальні проблеми теорії і практики соціальної роботи на межі тисячоліть.</w:t>
      </w:r>
      <w:r w:rsidRPr="00DB4E8E">
        <w:rPr>
          <w:sz w:val="28"/>
          <w:lang w:val="uk-UA"/>
        </w:rPr>
        <w:t xml:space="preserve"> — 344с.</w:t>
      </w:r>
    </w:p>
    <w:p w:rsidR="00CF6997" w:rsidRPr="00DB4E8E" w:rsidRDefault="00CF6997" w:rsidP="00DB4E8E">
      <w:pPr>
        <w:numPr>
          <w:ilvl w:val="0"/>
          <w:numId w:val="1"/>
        </w:numPr>
        <w:tabs>
          <w:tab w:val="clear" w:pos="1429"/>
          <w:tab w:val="num" w:pos="142"/>
        </w:tabs>
        <w:suppressAutoHyphens/>
        <w:spacing w:line="360" w:lineRule="auto"/>
        <w:ind w:left="0" w:firstLine="0"/>
        <w:rPr>
          <w:sz w:val="28"/>
          <w:lang w:val="uk-UA"/>
        </w:rPr>
      </w:pPr>
      <w:r w:rsidRPr="00DB4E8E">
        <w:rPr>
          <w:sz w:val="28"/>
          <w:lang w:val="uk-UA"/>
        </w:rPr>
        <w:t>Капська А. Й., Міщик Л. І., Зайцева З. І., Безпалько О. В., Вайнола Р. Х.</w:t>
      </w:r>
      <w:r w:rsidRPr="00DB4E8E">
        <w:rPr>
          <w:bCs/>
          <w:sz w:val="28"/>
          <w:lang w:val="uk-UA"/>
        </w:rPr>
        <w:t xml:space="preserve"> Соціальна педагогіка</w:t>
      </w:r>
      <w:r w:rsidRPr="00DB4E8E">
        <w:rPr>
          <w:sz w:val="28"/>
          <w:lang w:val="uk-UA"/>
        </w:rPr>
        <w:t>: Навч. посібник / Національний педагогічний ун-т ім. М.П.Драгоманова; Український держ. центр соціальних служб для молоді. — К., 2000. — 264с.</w:t>
      </w:r>
    </w:p>
    <w:p w:rsidR="00CF6997" w:rsidRPr="00DB4E8E" w:rsidRDefault="00CF6997" w:rsidP="00DB4E8E">
      <w:pPr>
        <w:numPr>
          <w:ilvl w:val="0"/>
          <w:numId w:val="1"/>
        </w:numPr>
        <w:tabs>
          <w:tab w:val="clear" w:pos="1429"/>
          <w:tab w:val="num" w:pos="142"/>
        </w:tabs>
        <w:suppressAutoHyphens/>
        <w:spacing w:line="360" w:lineRule="auto"/>
        <w:ind w:left="0" w:firstLine="0"/>
        <w:rPr>
          <w:sz w:val="28"/>
          <w:szCs w:val="28"/>
          <w:lang w:val="uk-UA"/>
        </w:rPr>
      </w:pPr>
      <w:r w:rsidRPr="00DB4E8E">
        <w:rPr>
          <w:sz w:val="28"/>
          <w:lang w:val="uk-UA"/>
        </w:rPr>
        <w:t>Мигович І. І.</w:t>
      </w:r>
      <w:r w:rsidRPr="00DB4E8E">
        <w:rPr>
          <w:bCs/>
          <w:sz w:val="28"/>
          <w:lang w:val="uk-UA"/>
        </w:rPr>
        <w:t xml:space="preserve"> Соціальна робота (вступ до спеціальності)</w:t>
      </w:r>
      <w:r w:rsidRPr="00DB4E8E">
        <w:rPr>
          <w:sz w:val="28"/>
          <w:lang w:val="uk-UA"/>
        </w:rPr>
        <w:t xml:space="preserve"> / Ужгородський держ. ун-т. — Ужгород, 1997. — 191с.</w:t>
      </w:r>
    </w:p>
    <w:p w:rsidR="00D3781D" w:rsidRPr="00DB4E8E" w:rsidRDefault="00CF6997" w:rsidP="00DB4E8E">
      <w:pPr>
        <w:numPr>
          <w:ilvl w:val="0"/>
          <w:numId w:val="1"/>
        </w:numPr>
        <w:tabs>
          <w:tab w:val="clear" w:pos="1429"/>
          <w:tab w:val="num" w:pos="142"/>
        </w:tabs>
        <w:suppressAutoHyphens/>
        <w:spacing w:line="360" w:lineRule="auto"/>
        <w:ind w:left="0" w:firstLine="0"/>
        <w:rPr>
          <w:sz w:val="28"/>
          <w:lang w:val="uk-UA"/>
        </w:rPr>
      </w:pPr>
      <w:r w:rsidRPr="00DB4E8E">
        <w:rPr>
          <w:sz w:val="28"/>
          <w:lang w:val="uk-UA"/>
        </w:rPr>
        <w:t>Міщик Л. І.</w:t>
      </w:r>
      <w:r w:rsidRPr="00DB4E8E">
        <w:rPr>
          <w:bCs/>
          <w:sz w:val="28"/>
          <w:lang w:val="uk-UA"/>
        </w:rPr>
        <w:t xml:space="preserve"> Соціальна педагогіка</w:t>
      </w:r>
      <w:r w:rsidRPr="00DB4E8E">
        <w:rPr>
          <w:sz w:val="28"/>
          <w:lang w:val="uk-UA"/>
        </w:rPr>
        <w:t>: Навч. посібник / Інститут змісту і методів навчання. — К., 1997. — 139с.</w:t>
      </w:r>
      <w:bookmarkStart w:id="3" w:name="_GoBack"/>
      <w:bookmarkEnd w:id="3"/>
    </w:p>
    <w:sectPr w:rsidR="00D3781D" w:rsidRPr="00DB4E8E" w:rsidSect="00DB4E8E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F52" w:rsidRDefault="00F81F52">
      <w:r>
        <w:separator/>
      </w:r>
    </w:p>
  </w:endnote>
  <w:endnote w:type="continuationSeparator" w:id="0">
    <w:p w:rsidR="00F81F52" w:rsidRDefault="00F8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3E1" w:rsidRDefault="00DA53E1" w:rsidP="00D3781D">
    <w:pPr>
      <w:pStyle w:val="a3"/>
      <w:framePr w:wrap="around" w:vAnchor="text" w:hAnchor="margin" w:xAlign="right" w:y="1"/>
      <w:rPr>
        <w:rStyle w:val="a5"/>
      </w:rPr>
    </w:pPr>
  </w:p>
  <w:p w:rsidR="00DA53E1" w:rsidRDefault="00DA53E1" w:rsidP="00D3781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3E1" w:rsidRPr="00DB4E8E" w:rsidRDefault="00DA53E1" w:rsidP="00D3781D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F52" w:rsidRDefault="00F81F52">
      <w:r>
        <w:separator/>
      </w:r>
    </w:p>
  </w:footnote>
  <w:footnote w:type="continuationSeparator" w:id="0">
    <w:p w:rsidR="00F81F52" w:rsidRDefault="00F8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E2D60"/>
    <w:multiLevelType w:val="hybridMultilevel"/>
    <w:tmpl w:val="E0B2C5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81D"/>
    <w:rsid w:val="000209F5"/>
    <w:rsid w:val="000D18CE"/>
    <w:rsid w:val="00177C1A"/>
    <w:rsid w:val="001F2D71"/>
    <w:rsid w:val="00274C6A"/>
    <w:rsid w:val="002758C4"/>
    <w:rsid w:val="002D2335"/>
    <w:rsid w:val="00352467"/>
    <w:rsid w:val="00365C5C"/>
    <w:rsid w:val="003D277E"/>
    <w:rsid w:val="00464446"/>
    <w:rsid w:val="00487208"/>
    <w:rsid w:val="004919B8"/>
    <w:rsid w:val="004D2E86"/>
    <w:rsid w:val="00575325"/>
    <w:rsid w:val="005C1391"/>
    <w:rsid w:val="005C411C"/>
    <w:rsid w:val="00637DD8"/>
    <w:rsid w:val="006831F6"/>
    <w:rsid w:val="006C7300"/>
    <w:rsid w:val="0072125A"/>
    <w:rsid w:val="00752DED"/>
    <w:rsid w:val="0076246F"/>
    <w:rsid w:val="0078346A"/>
    <w:rsid w:val="00792D71"/>
    <w:rsid w:val="00871ABF"/>
    <w:rsid w:val="008F2A98"/>
    <w:rsid w:val="0090644E"/>
    <w:rsid w:val="009C7613"/>
    <w:rsid w:val="00A101C3"/>
    <w:rsid w:val="00A32CF8"/>
    <w:rsid w:val="00A87D76"/>
    <w:rsid w:val="00AB4F12"/>
    <w:rsid w:val="00AE2AAE"/>
    <w:rsid w:val="00AE4D27"/>
    <w:rsid w:val="00B03CEB"/>
    <w:rsid w:val="00CD2C6A"/>
    <w:rsid w:val="00CF6997"/>
    <w:rsid w:val="00D3678E"/>
    <w:rsid w:val="00D3781D"/>
    <w:rsid w:val="00DA53E1"/>
    <w:rsid w:val="00DB293D"/>
    <w:rsid w:val="00DB4E8E"/>
    <w:rsid w:val="00DC38A3"/>
    <w:rsid w:val="00EA0854"/>
    <w:rsid w:val="00EA575D"/>
    <w:rsid w:val="00F81F52"/>
    <w:rsid w:val="00FB52B6"/>
    <w:rsid w:val="00FC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64B2C6-8692-46E7-AF27-BFBFE009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78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D378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3781D"/>
    <w:rPr>
      <w:rFonts w:cs="Times New Roman"/>
    </w:rPr>
  </w:style>
  <w:style w:type="character" w:styleId="a6">
    <w:name w:val="Hyperlink"/>
    <w:uiPriority w:val="99"/>
    <w:rsid w:val="00D3678E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D3678E"/>
    <w:pPr>
      <w:spacing w:before="120" w:after="120"/>
    </w:pPr>
    <w:rPr>
      <w:b/>
      <w:bCs/>
      <w:caps/>
      <w:sz w:val="20"/>
      <w:szCs w:val="20"/>
    </w:rPr>
  </w:style>
  <w:style w:type="paragraph" w:styleId="a7">
    <w:name w:val="Body Text Indent"/>
    <w:basedOn w:val="a"/>
    <w:link w:val="a8"/>
    <w:uiPriority w:val="99"/>
    <w:rsid w:val="00D3678E"/>
    <w:pPr>
      <w:spacing w:line="360" w:lineRule="auto"/>
      <w:ind w:firstLine="360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D3678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2">
    <w:name w:val="toc 2"/>
    <w:basedOn w:val="a"/>
    <w:next w:val="a"/>
    <w:autoRedefine/>
    <w:uiPriority w:val="39"/>
    <w:semiHidden/>
    <w:rsid w:val="00352467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rsid w:val="00352467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352467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352467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352467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352467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352467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352467"/>
    <w:pPr>
      <w:ind w:left="1920"/>
    </w:pPr>
    <w:rPr>
      <w:sz w:val="18"/>
      <w:szCs w:val="18"/>
    </w:rPr>
  </w:style>
  <w:style w:type="paragraph" w:styleId="aa">
    <w:name w:val="header"/>
    <w:basedOn w:val="a"/>
    <w:link w:val="ab"/>
    <w:uiPriority w:val="99"/>
    <w:rsid w:val="00DB4E8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locked/>
    <w:rsid w:val="00DB4E8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30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2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lobus\&#1056;&#1072;&#1073;&#1086;&#1095;&#1080;&#1081;%20&#1089;&#1090;&#1086;&#1083;\&#1047;&#1052;&#1030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ЗМІСТ.dot</Template>
  <TotalTime>0</TotalTime>
  <Pages>1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/>
  <LinksUpToDate>false</LinksUpToDate>
  <CharactersWithSpaces>16346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Globus1</dc:creator>
  <cp:keywords/>
  <dc:description/>
  <cp:lastModifiedBy>admin</cp:lastModifiedBy>
  <cp:revision>2</cp:revision>
  <cp:lastPrinted>2009-03-03T16:37:00Z</cp:lastPrinted>
  <dcterms:created xsi:type="dcterms:W3CDTF">2014-03-02T06:08:00Z</dcterms:created>
  <dcterms:modified xsi:type="dcterms:W3CDTF">2014-03-02T06:08:00Z</dcterms:modified>
</cp:coreProperties>
</file>