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407" w:rsidRPr="00F959B1" w:rsidRDefault="00CE3407" w:rsidP="00CE3407">
      <w:pPr>
        <w:spacing w:before="120"/>
        <w:jc w:val="center"/>
        <w:rPr>
          <w:b/>
          <w:sz w:val="32"/>
        </w:rPr>
      </w:pPr>
      <w:bookmarkStart w:id="0" w:name="_Toc138918118"/>
      <w:bookmarkStart w:id="1" w:name="_Toc138924423"/>
      <w:bookmarkStart w:id="2" w:name="_Toc138924468"/>
      <w:bookmarkStart w:id="3" w:name="_Toc138924495"/>
      <w:bookmarkStart w:id="4" w:name="_Toc138925733"/>
      <w:bookmarkStart w:id="5" w:name="_Toc138926192"/>
      <w:bookmarkStart w:id="6" w:name="_Toc138926215"/>
      <w:bookmarkStart w:id="7" w:name="_Toc138926551"/>
      <w:bookmarkStart w:id="8" w:name="_Toc138934216"/>
      <w:bookmarkStart w:id="9" w:name="_Toc138935105"/>
      <w:r w:rsidRPr="00F959B1">
        <w:rPr>
          <w:b/>
          <w:sz w:val="32"/>
        </w:rPr>
        <w:t>Специфика малого бизнеса в Пермском регионе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Малое предпринимательство выступает в качестве одной из тех сфер хозяйственной деятельности, где наиболее эффективно реализуются инструменты политики, проводимой органами государственной власти и местного самоуправления, направленной на развитие социально-экономического комплекса Пермской области в интересах всего населения региона. Это достигается за счет того, что: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 xml:space="preserve">нормативно-правовая база позволяет более гибко и действенно воздействовать на МП по сравнению с крупными предприятиями именно на уровне субъекта Российской Федерации или муниципального образования (упрощенная система налогообложения, единый налог на вмененный доход и другие механизмы воздействия, регулируемые областными и местными нормативными актами); 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 xml:space="preserve">МП быстрее отвечает на воздействия и изменение среды функционирования; 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 xml:space="preserve">МП реагирует на самые незначительные изменения, практически отсутствует порог чувствительности (незначительное стимулирование не заинтересует крупное предприятие, а среди МП найдется кто-нибудь, для кого данная возможность будет существенной); 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 xml:space="preserve">высокие адаптационные возможности МП, которое заполняет более мелкие ниши рынка, позволяет проводить более узкие адресные воздействия; 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 xml:space="preserve">- МП распределены по территориям более равномерно: крупные предприятия на небольшой территории не образуют всего отраслевого спектра, в то время как диапазон видов деятельности МП существенно шире; 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- МП, не требуя крупных стартовых инвестиций, гарантирует быстрый оборот ресурсов, высокую динамику роста, помогает экономно и оперативно решать проблемы реструктуризации экономики, гибко реагирует на изменение конъюнктуры рынка, придаёт экономике дополнительную стабильность, решает социальные вопросы. Предпринимательская инициатива, ориентируясь на потребителя, всегда устремляется туда, где возникает неудовлетворенный спрос, и уходит из тех сфер, которые перестают отвечать запросам рынка. Таким образом, формируются и поддерживаются оптимальные хозяйственные пропорции</w:t>
      </w:r>
      <w:r w:rsidRPr="00C02CE2">
        <w:footnoteReference w:id="1"/>
      </w:r>
      <w:r w:rsidRPr="00C02CE2">
        <w:t xml:space="preserve">. 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На 1 января 2006 года в Пермской области число субъектов малого предпринимательства (далее – СМП) составило 143,4 тыс., в том числе 20,7 тыс. малых предприятий и 122,3 тыс. индивидуальных предпринимателей. Для сравнения: на 01.01.2005 года насчитывалось 141,3 тыс. СМП, из которых 19,4 тыс. малых предприятий и 121,8 тыс. индивидуальных предпринимателей. Среднесписочная численность работников малых предприятий по итогам 2005 года составила 143,4 тыс. человек.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 xml:space="preserve">Увеличение количества действующих СМП, произошедшее в течение 2005 года, объясняется ростом числа индивидуальных предпринимателей (наиболее удобный формат для ведения бизнеса) и изменением методик расчета, используемых органами статистики. 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Показатели состояния малого предпринимательства в Пермской области представлено в таблице 2.1</w:t>
      </w:r>
    </w:p>
    <w:p w:rsidR="00CE3407" w:rsidRPr="00C02CE2" w:rsidRDefault="00CE3407" w:rsidP="00CE3407">
      <w:pPr>
        <w:spacing w:before="120"/>
        <w:ind w:firstLine="567"/>
        <w:jc w:val="both"/>
      </w:pPr>
      <w:bookmarkStart w:id="10" w:name="_Toc138924425"/>
      <w:bookmarkStart w:id="11" w:name="_Toc138924470"/>
      <w:r w:rsidRPr="00C02CE2">
        <w:t>Таблица 2.1</w:t>
      </w:r>
      <w:bookmarkEnd w:id="10"/>
      <w:bookmarkEnd w:id="11"/>
    </w:p>
    <w:p w:rsidR="00CE3407" w:rsidRPr="00C02CE2" w:rsidRDefault="00CE3407" w:rsidP="00CE3407">
      <w:pPr>
        <w:spacing w:before="120"/>
        <w:ind w:firstLine="567"/>
        <w:jc w:val="both"/>
      </w:pPr>
      <w:bookmarkStart w:id="12" w:name="_Toc138924426"/>
      <w:bookmarkStart w:id="13" w:name="_Toc138924471"/>
      <w:r w:rsidRPr="00C02CE2">
        <w:t>Отдельные показатели состояния малого предпринимательства в</w:t>
      </w:r>
      <w:bookmarkEnd w:id="12"/>
      <w:bookmarkEnd w:id="13"/>
    </w:p>
    <w:p w:rsidR="00CE3407" w:rsidRPr="00C02CE2" w:rsidRDefault="00CE3407" w:rsidP="00CE3407">
      <w:pPr>
        <w:spacing w:before="120"/>
        <w:ind w:firstLine="567"/>
        <w:jc w:val="both"/>
      </w:pPr>
      <w:bookmarkStart w:id="14" w:name="_Toc138924427"/>
      <w:bookmarkStart w:id="15" w:name="_Toc138924472"/>
      <w:r w:rsidRPr="00C02CE2">
        <w:t>Пермской области за период 2000</w:t>
      </w:r>
      <w:r>
        <w:t xml:space="preserve"> - </w:t>
      </w:r>
      <w:r w:rsidRPr="00C02CE2">
        <w:t>2005 года</w:t>
      </w:r>
      <w:bookmarkEnd w:id="14"/>
      <w:bookmarkEnd w:id="15"/>
      <w:r w:rsidRPr="00C02CE2">
        <w:footnoteReference w:id="2"/>
      </w:r>
    </w:p>
    <w:p w:rsidR="00CE3407" w:rsidRPr="00C02CE2" w:rsidRDefault="00CE3407" w:rsidP="00CE3407">
      <w:pPr>
        <w:spacing w:before="120"/>
        <w:ind w:firstLine="567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1232"/>
        <w:gridCol w:w="1232"/>
        <w:gridCol w:w="1233"/>
        <w:gridCol w:w="1233"/>
        <w:gridCol w:w="1233"/>
        <w:gridCol w:w="1233"/>
      </w:tblGrid>
      <w:tr w:rsidR="00CE3407" w:rsidRPr="00C02CE2" w:rsidTr="00F91D5E">
        <w:tc>
          <w:tcPr>
            <w:tcW w:w="1177" w:type="pct"/>
          </w:tcPr>
          <w:p w:rsidR="00CE3407" w:rsidRPr="00C02CE2" w:rsidRDefault="00CE3407" w:rsidP="00F91D5E">
            <w:bookmarkStart w:id="16" w:name="_Toc138924428"/>
            <w:r w:rsidRPr="00C02CE2">
              <w:t>Показатель</w:t>
            </w:r>
            <w:bookmarkEnd w:id="16"/>
          </w:p>
        </w:tc>
        <w:tc>
          <w:tcPr>
            <w:tcW w:w="637" w:type="pct"/>
          </w:tcPr>
          <w:p w:rsidR="00CE3407" w:rsidRPr="00C02CE2" w:rsidRDefault="00CE3407" w:rsidP="00F91D5E">
            <w:bookmarkStart w:id="17" w:name="_Toc138924429"/>
            <w:r w:rsidRPr="00C02CE2">
              <w:t>2000</w:t>
            </w:r>
            <w:bookmarkEnd w:id="17"/>
          </w:p>
        </w:tc>
        <w:tc>
          <w:tcPr>
            <w:tcW w:w="637" w:type="pct"/>
          </w:tcPr>
          <w:p w:rsidR="00CE3407" w:rsidRPr="00C02CE2" w:rsidRDefault="00CE3407" w:rsidP="00F91D5E">
            <w:bookmarkStart w:id="18" w:name="_Toc138924430"/>
            <w:r w:rsidRPr="00C02CE2">
              <w:t>2001</w:t>
            </w:r>
            <w:bookmarkEnd w:id="18"/>
          </w:p>
        </w:tc>
        <w:tc>
          <w:tcPr>
            <w:tcW w:w="637" w:type="pct"/>
          </w:tcPr>
          <w:p w:rsidR="00CE3407" w:rsidRPr="00C02CE2" w:rsidRDefault="00CE3407" w:rsidP="00F91D5E">
            <w:bookmarkStart w:id="19" w:name="_Toc138924431"/>
            <w:r w:rsidRPr="00C02CE2">
              <w:t>2002</w:t>
            </w:r>
            <w:bookmarkEnd w:id="19"/>
          </w:p>
        </w:tc>
        <w:tc>
          <w:tcPr>
            <w:tcW w:w="637" w:type="pct"/>
          </w:tcPr>
          <w:p w:rsidR="00CE3407" w:rsidRPr="00C02CE2" w:rsidRDefault="00CE3407" w:rsidP="00F91D5E">
            <w:bookmarkStart w:id="20" w:name="_Toc138924432"/>
            <w:r w:rsidRPr="00C02CE2">
              <w:t>2003</w:t>
            </w:r>
            <w:bookmarkEnd w:id="20"/>
          </w:p>
        </w:tc>
        <w:tc>
          <w:tcPr>
            <w:tcW w:w="637" w:type="pct"/>
          </w:tcPr>
          <w:p w:rsidR="00CE3407" w:rsidRPr="00C02CE2" w:rsidRDefault="00CE3407" w:rsidP="00F91D5E">
            <w:bookmarkStart w:id="21" w:name="_Toc138924433"/>
            <w:r w:rsidRPr="00C02CE2">
              <w:t>2004</w:t>
            </w:r>
            <w:bookmarkEnd w:id="21"/>
          </w:p>
        </w:tc>
        <w:tc>
          <w:tcPr>
            <w:tcW w:w="637" w:type="pct"/>
          </w:tcPr>
          <w:p w:rsidR="00CE3407" w:rsidRPr="00C02CE2" w:rsidRDefault="00CE3407" w:rsidP="00F91D5E">
            <w:bookmarkStart w:id="22" w:name="_Toc138924434"/>
            <w:r w:rsidRPr="00C02CE2">
              <w:t>2005</w:t>
            </w:r>
            <w:bookmarkEnd w:id="22"/>
          </w:p>
        </w:tc>
      </w:tr>
      <w:tr w:rsidR="00CE3407" w:rsidRPr="00C02CE2" w:rsidTr="00F91D5E">
        <w:tc>
          <w:tcPr>
            <w:tcW w:w="1177" w:type="pct"/>
          </w:tcPr>
          <w:p w:rsidR="00CE3407" w:rsidRPr="00C02CE2" w:rsidRDefault="00CE3407" w:rsidP="00F91D5E">
            <w:bookmarkStart w:id="23" w:name="_Toc138924435"/>
            <w:r w:rsidRPr="00C02CE2">
              <w:t>Количество малых предприятий (тыс.)</w:t>
            </w:r>
            <w:bookmarkEnd w:id="23"/>
          </w:p>
        </w:tc>
        <w:tc>
          <w:tcPr>
            <w:tcW w:w="637" w:type="pct"/>
          </w:tcPr>
          <w:p w:rsidR="00CE3407" w:rsidRPr="00C02CE2" w:rsidRDefault="00CE3407" w:rsidP="00F91D5E">
            <w:bookmarkStart w:id="24" w:name="_Toc138924436"/>
            <w:r w:rsidRPr="00C02CE2">
              <w:t>11,0</w:t>
            </w:r>
            <w:bookmarkEnd w:id="24"/>
          </w:p>
        </w:tc>
        <w:tc>
          <w:tcPr>
            <w:tcW w:w="637" w:type="pct"/>
          </w:tcPr>
          <w:p w:rsidR="00CE3407" w:rsidRPr="00C02CE2" w:rsidRDefault="00CE3407" w:rsidP="00F91D5E">
            <w:bookmarkStart w:id="25" w:name="_Toc138924437"/>
            <w:r w:rsidRPr="00C02CE2">
              <w:t>8,2</w:t>
            </w:r>
            <w:bookmarkEnd w:id="25"/>
          </w:p>
        </w:tc>
        <w:tc>
          <w:tcPr>
            <w:tcW w:w="637" w:type="pct"/>
          </w:tcPr>
          <w:p w:rsidR="00CE3407" w:rsidRPr="00C02CE2" w:rsidRDefault="00CE3407" w:rsidP="00F91D5E">
            <w:bookmarkStart w:id="26" w:name="_Toc138924438"/>
            <w:r w:rsidRPr="00C02CE2">
              <w:t>9,2</w:t>
            </w:r>
            <w:bookmarkEnd w:id="26"/>
          </w:p>
        </w:tc>
        <w:tc>
          <w:tcPr>
            <w:tcW w:w="637" w:type="pct"/>
          </w:tcPr>
          <w:p w:rsidR="00CE3407" w:rsidRPr="00C02CE2" w:rsidRDefault="00CE3407" w:rsidP="00F91D5E">
            <w:bookmarkStart w:id="27" w:name="_Toc138924439"/>
            <w:r w:rsidRPr="00C02CE2">
              <w:t>8,8</w:t>
            </w:r>
            <w:bookmarkEnd w:id="27"/>
          </w:p>
        </w:tc>
        <w:tc>
          <w:tcPr>
            <w:tcW w:w="637" w:type="pct"/>
          </w:tcPr>
          <w:p w:rsidR="00CE3407" w:rsidRPr="00C02CE2" w:rsidRDefault="00CE3407" w:rsidP="00F91D5E">
            <w:bookmarkStart w:id="28" w:name="_Toc138924440"/>
            <w:r w:rsidRPr="00C02CE2">
              <w:t>19,4</w:t>
            </w:r>
            <w:bookmarkEnd w:id="28"/>
          </w:p>
        </w:tc>
        <w:tc>
          <w:tcPr>
            <w:tcW w:w="637" w:type="pct"/>
          </w:tcPr>
          <w:p w:rsidR="00CE3407" w:rsidRPr="00C02CE2" w:rsidRDefault="00CE3407" w:rsidP="00F91D5E">
            <w:bookmarkStart w:id="29" w:name="_Toc138924441"/>
            <w:r w:rsidRPr="00C02CE2">
              <w:t>20,7</w:t>
            </w:r>
            <w:bookmarkEnd w:id="29"/>
          </w:p>
        </w:tc>
      </w:tr>
      <w:tr w:rsidR="00CE3407" w:rsidRPr="00C02CE2" w:rsidTr="00F91D5E">
        <w:tc>
          <w:tcPr>
            <w:tcW w:w="1177" w:type="pct"/>
          </w:tcPr>
          <w:p w:rsidR="00CE3407" w:rsidRPr="00C02CE2" w:rsidRDefault="00CE3407" w:rsidP="00F91D5E">
            <w:bookmarkStart w:id="30" w:name="_Toc138924442"/>
            <w:r w:rsidRPr="00C02CE2">
              <w:t>Количество индивидуальных предпринимателей (тыс.)</w:t>
            </w:r>
            <w:bookmarkEnd w:id="30"/>
          </w:p>
        </w:tc>
        <w:tc>
          <w:tcPr>
            <w:tcW w:w="637" w:type="pct"/>
          </w:tcPr>
          <w:p w:rsidR="00CE3407" w:rsidRPr="00C02CE2" w:rsidRDefault="00CE3407" w:rsidP="00F91D5E">
            <w:bookmarkStart w:id="31" w:name="_Toc138924443"/>
            <w:r w:rsidRPr="00C02CE2">
              <w:t>100,1</w:t>
            </w:r>
            <w:bookmarkEnd w:id="31"/>
          </w:p>
        </w:tc>
        <w:tc>
          <w:tcPr>
            <w:tcW w:w="637" w:type="pct"/>
          </w:tcPr>
          <w:p w:rsidR="00CE3407" w:rsidRPr="00C02CE2" w:rsidRDefault="00CE3407" w:rsidP="00F91D5E">
            <w:bookmarkStart w:id="32" w:name="_Toc138924444"/>
            <w:r w:rsidRPr="00C02CE2">
              <w:t>102,9</w:t>
            </w:r>
            <w:bookmarkEnd w:id="32"/>
          </w:p>
        </w:tc>
        <w:tc>
          <w:tcPr>
            <w:tcW w:w="637" w:type="pct"/>
          </w:tcPr>
          <w:p w:rsidR="00CE3407" w:rsidRPr="00C02CE2" w:rsidRDefault="00CE3407" w:rsidP="00F91D5E">
            <w:bookmarkStart w:id="33" w:name="_Toc138924445"/>
            <w:r w:rsidRPr="00C02CE2">
              <w:t>109,5</w:t>
            </w:r>
            <w:bookmarkEnd w:id="33"/>
          </w:p>
        </w:tc>
        <w:tc>
          <w:tcPr>
            <w:tcW w:w="637" w:type="pct"/>
          </w:tcPr>
          <w:p w:rsidR="00CE3407" w:rsidRPr="00C02CE2" w:rsidRDefault="00CE3407" w:rsidP="00F91D5E">
            <w:bookmarkStart w:id="34" w:name="_Toc138924446"/>
            <w:r w:rsidRPr="00C02CE2">
              <w:t>120,4</w:t>
            </w:r>
            <w:bookmarkEnd w:id="34"/>
          </w:p>
        </w:tc>
        <w:tc>
          <w:tcPr>
            <w:tcW w:w="637" w:type="pct"/>
          </w:tcPr>
          <w:p w:rsidR="00CE3407" w:rsidRPr="00C02CE2" w:rsidRDefault="00CE3407" w:rsidP="00F91D5E">
            <w:bookmarkStart w:id="35" w:name="_Toc138924447"/>
            <w:r w:rsidRPr="00C02CE2">
              <w:t>121,8</w:t>
            </w:r>
            <w:bookmarkEnd w:id="35"/>
          </w:p>
        </w:tc>
        <w:tc>
          <w:tcPr>
            <w:tcW w:w="637" w:type="pct"/>
          </w:tcPr>
          <w:p w:rsidR="00CE3407" w:rsidRPr="00C02CE2" w:rsidRDefault="00CE3407" w:rsidP="00F91D5E">
            <w:bookmarkStart w:id="36" w:name="_Toc138924448"/>
            <w:r w:rsidRPr="00C02CE2">
              <w:t>122,3</w:t>
            </w:r>
            <w:bookmarkEnd w:id="36"/>
          </w:p>
        </w:tc>
      </w:tr>
      <w:tr w:rsidR="00CE3407" w:rsidRPr="00C02CE2" w:rsidTr="00F91D5E">
        <w:tc>
          <w:tcPr>
            <w:tcW w:w="1177" w:type="pct"/>
          </w:tcPr>
          <w:p w:rsidR="00CE3407" w:rsidRPr="00C02CE2" w:rsidRDefault="00CE3407" w:rsidP="00F91D5E">
            <w:bookmarkStart w:id="37" w:name="_Toc138924449"/>
            <w:r w:rsidRPr="00C02CE2">
              <w:t>Всего субъектов малого предпринимательства (тыс.)</w:t>
            </w:r>
            <w:bookmarkEnd w:id="37"/>
          </w:p>
        </w:tc>
        <w:tc>
          <w:tcPr>
            <w:tcW w:w="637" w:type="pct"/>
          </w:tcPr>
          <w:p w:rsidR="00CE3407" w:rsidRPr="00C02CE2" w:rsidRDefault="00CE3407" w:rsidP="00F91D5E">
            <w:bookmarkStart w:id="38" w:name="_Toc138924450"/>
            <w:r w:rsidRPr="00C02CE2">
              <w:t>111,1</w:t>
            </w:r>
            <w:bookmarkEnd w:id="38"/>
          </w:p>
        </w:tc>
        <w:tc>
          <w:tcPr>
            <w:tcW w:w="637" w:type="pct"/>
          </w:tcPr>
          <w:p w:rsidR="00CE3407" w:rsidRPr="00C02CE2" w:rsidRDefault="00CE3407" w:rsidP="00F91D5E">
            <w:bookmarkStart w:id="39" w:name="_Toc138924451"/>
            <w:r w:rsidRPr="00C02CE2">
              <w:t>111,1</w:t>
            </w:r>
            <w:bookmarkEnd w:id="39"/>
          </w:p>
        </w:tc>
        <w:tc>
          <w:tcPr>
            <w:tcW w:w="637" w:type="pct"/>
          </w:tcPr>
          <w:p w:rsidR="00CE3407" w:rsidRPr="00C02CE2" w:rsidRDefault="00CE3407" w:rsidP="00F91D5E">
            <w:bookmarkStart w:id="40" w:name="_Toc138924452"/>
            <w:r w:rsidRPr="00C02CE2">
              <w:t>118,7</w:t>
            </w:r>
            <w:bookmarkEnd w:id="40"/>
          </w:p>
        </w:tc>
        <w:tc>
          <w:tcPr>
            <w:tcW w:w="637" w:type="pct"/>
          </w:tcPr>
          <w:p w:rsidR="00CE3407" w:rsidRPr="00C02CE2" w:rsidRDefault="00CE3407" w:rsidP="00F91D5E">
            <w:bookmarkStart w:id="41" w:name="_Toc138924453"/>
            <w:r w:rsidRPr="00C02CE2">
              <w:t>129,2</w:t>
            </w:r>
            <w:bookmarkEnd w:id="41"/>
          </w:p>
        </w:tc>
        <w:tc>
          <w:tcPr>
            <w:tcW w:w="637" w:type="pct"/>
          </w:tcPr>
          <w:p w:rsidR="00CE3407" w:rsidRPr="00C02CE2" w:rsidRDefault="00CE3407" w:rsidP="00F91D5E">
            <w:bookmarkStart w:id="42" w:name="_Toc138924454"/>
            <w:r w:rsidRPr="00C02CE2">
              <w:t>141,3</w:t>
            </w:r>
            <w:bookmarkEnd w:id="42"/>
          </w:p>
        </w:tc>
        <w:tc>
          <w:tcPr>
            <w:tcW w:w="637" w:type="pct"/>
          </w:tcPr>
          <w:p w:rsidR="00CE3407" w:rsidRPr="00C02CE2" w:rsidRDefault="00CE3407" w:rsidP="00F91D5E">
            <w:bookmarkStart w:id="43" w:name="_Toc138924455"/>
            <w:r w:rsidRPr="00C02CE2">
              <w:t>143,4</w:t>
            </w:r>
            <w:bookmarkEnd w:id="43"/>
          </w:p>
        </w:tc>
      </w:tr>
    </w:tbl>
    <w:p w:rsidR="00CE3407" w:rsidRPr="00C02CE2" w:rsidRDefault="00CE3407" w:rsidP="00CE3407">
      <w:pPr>
        <w:spacing w:before="120"/>
        <w:ind w:firstLine="567"/>
        <w:jc w:val="both"/>
      </w:pPr>
    </w:p>
    <w:p w:rsidR="00CE3407" w:rsidRPr="00C02CE2" w:rsidRDefault="00CE3407" w:rsidP="00CE3407">
      <w:pPr>
        <w:spacing w:before="120"/>
        <w:ind w:firstLine="567"/>
        <w:jc w:val="both"/>
      </w:pPr>
      <w:bookmarkStart w:id="44" w:name="_Toc138924456"/>
      <w:bookmarkStart w:id="45" w:name="_Toc138924473"/>
      <w:r w:rsidRPr="00C02CE2">
        <w:t>На 01.01.2005 доля малых предприятий в количестве крупных, средних и малых предприятий составила на 78,1%, что на 4,7% выше уровня прошлого года.</w:t>
      </w:r>
      <w:bookmarkEnd w:id="44"/>
      <w:bookmarkEnd w:id="45"/>
    </w:p>
    <w:p w:rsidR="00CE3407" w:rsidRPr="00C02CE2" w:rsidRDefault="00CE3407" w:rsidP="00CE3407">
      <w:pPr>
        <w:spacing w:before="120"/>
        <w:ind w:firstLine="567"/>
        <w:jc w:val="both"/>
      </w:pPr>
      <w:bookmarkStart w:id="46" w:name="_Toc138924457"/>
      <w:bookmarkStart w:id="47" w:name="_Toc138924474"/>
      <w:r w:rsidRPr="00C02CE2">
        <w:t>Отраслевая структура МП свидетельствует о том, что непроизводственная сфера остается более комфортной для развития бизнеса: 38,4% всех малых предприятий относятся к торговле и общественному питанию. В строительстве – 18,4%, в промышленности</w:t>
      </w:r>
      <w:r>
        <w:t xml:space="preserve"> - </w:t>
      </w:r>
      <w:r w:rsidRPr="00C02CE2">
        <w:t>16,3% от общего количества малых предприятий области. По сравнению с 2000 годом структура бизнеса в разрезе отраслей почти не изменилась, при этом большинство малых предприятий являются многопрофильными, что существенно повышает их устойчивость.</w:t>
      </w:r>
      <w:bookmarkEnd w:id="46"/>
      <w:bookmarkEnd w:id="47"/>
    </w:p>
    <w:p w:rsidR="00CE3407" w:rsidRPr="00C02CE2" w:rsidRDefault="00CE3407" w:rsidP="00CE3407">
      <w:pPr>
        <w:spacing w:before="120"/>
        <w:ind w:firstLine="567"/>
        <w:jc w:val="both"/>
      </w:pPr>
      <w:bookmarkStart w:id="48" w:name="_Toc138924458"/>
      <w:bookmarkStart w:id="49" w:name="_Toc138924475"/>
      <w:r w:rsidRPr="00C02CE2">
        <w:t>За 2005 год малыми предприятиями выпущено товаров и услуг в фактических ценах 34447,3 млн. руб., что в 2,4 раза больше показателя 2004 года. В общем объеме выпуска товаров и услуг доля малых предприятий составляет 12,7%, против 6,4%</w:t>
      </w:r>
      <w:r>
        <w:t xml:space="preserve"> - </w:t>
      </w:r>
      <w:r w:rsidRPr="00C02CE2">
        <w:t>2004 года.</w:t>
      </w:r>
      <w:bookmarkEnd w:id="48"/>
      <w:bookmarkEnd w:id="49"/>
      <w:r w:rsidRPr="00C02CE2">
        <w:t xml:space="preserve"> 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Инвестиции в основной капитал малых предприятий на 01.01.2005 составили 11,8 % от суммы всех инвестиций в экономику области. Размер инвестиций в основной капитал на малых предприятиях сохранился примерно на том же уровне и составил по итогам 2005 года 2 964,2 млн. рублей. Максимальные инвестиции в собственный капитал, приходящиеся на одно предприятие, отмечаются в сфере промышленности, наименьший показатель относится к сферам сельского хозяйства и ЖКХ</w:t>
      </w:r>
      <w:r w:rsidRPr="00C02CE2">
        <w:footnoteReference w:id="3"/>
      </w:r>
      <w:r w:rsidRPr="00C02CE2">
        <w:t>.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К числу ключевых проблем в сфере МП на территории области следует отнести (в порядке убывания значимости):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недостаток квалифицированных кадров, низкий уровень профессиональной подготовки (правовой грамотности) субъектов предпринимательской деятельности;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 xml:space="preserve">недостаток помещений / высокая арендная плата; 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несовершенство информационной среды в сфере МП;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 xml:space="preserve">проблема получения кредита (высокий процент, ставка, залог и т.д.); 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значительные издержки на организацию и ведение бизнеса (бухгалтерское, правовое, финансовое сопровождение).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На развитие малого предпринимательства в городах и районах области влияет наличие инфраструктуры поддержки предпринимательства. В Пермской области действует более 30 общественных организаций, 29 специализированных кредитно-финансовых организаций, в том числе 25 фондов поддержки малого предпринимательства, а также консалтинговые структуры. Основная задача создаваемой инфраструктуры поддержки малого предпринимательства</w:t>
      </w:r>
      <w:r>
        <w:t xml:space="preserve"> - </w:t>
      </w:r>
      <w:r w:rsidRPr="00C02CE2">
        <w:t>обеспечение предпринимателей квалифицированными услугами по различным аспектам ведения бизнеса.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Вопросы регулирования деятельности малого предпринимательства на региональном уровне отнесены к компетенции комитета потребительского рынка, развития предпринимательства и туризма аппарата администрации Пермской области.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 xml:space="preserve">В целях формирования единой системы взглядов на принципы и приоритеты органов государственной власти и местного самоуправления в сфере малого предпринимательства разработана и принята Концепция политики Пермской области по развитию малого предпринимательства на 2002-2006годы 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Реализация Концепции позволит обеспечить рост деловой активности за счет формирования благоприятного предпринимательского климата и, в конечном итоге, повысить инвестиционную привлекательность региона.</w:t>
      </w:r>
    </w:p>
    <w:p w:rsidR="00CE3407" w:rsidRPr="00F959B1" w:rsidRDefault="00CE3407" w:rsidP="00CE3407">
      <w:pPr>
        <w:spacing w:before="120"/>
        <w:jc w:val="center"/>
        <w:rPr>
          <w:b/>
          <w:sz w:val="28"/>
        </w:rPr>
      </w:pPr>
      <w:r w:rsidRPr="00F959B1">
        <w:rPr>
          <w:b/>
          <w:sz w:val="28"/>
        </w:rPr>
        <w:t>Список литературы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При написании работы были использованы материалы ресурса http://www.helpeducation.ru/</w:t>
      </w:r>
    </w:p>
    <w:p w:rsidR="00CE3407" w:rsidRPr="00C02CE2" w:rsidRDefault="00CE3407" w:rsidP="00CE3407">
      <w:pPr>
        <w:spacing w:before="120"/>
        <w:ind w:firstLine="567"/>
        <w:jc w:val="both"/>
      </w:pPr>
      <w:r w:rsidRPr="00C02CE2">
        <w:t>Работа предоставлена пользователем Student.km.ru.</w:t>
      </w:r>
    </w:p>
    <w:p w:rsidR="00811DD4" w:rsidRDefault="00811DD4">
      <w:bookmarkStart w:id="50" w:name="_GoBack"/>
      <w:bookmarkEnd w:id="5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407" w:rsidRDefault="00CE3407">
      <w:r>
        <w:separator/>
      </w:r>
    </w:p>
  </w:endnote>
  <w:endnote w:type="continuationSeparator" w:id="0">
    <w:p w:rsidR="00CE3407" w:rsidRDefault="00CE3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407" w:rsidRDefault="00CE3407">
      <w:r>
        <w:separator/>
      </w:r>
    </w:p>
  </w:footnote>
  <w:footnote w:type="continuationSeparator" w:id="0">
    <w:p w:rsidR="00CE3407" w:rsidRDefault="00CE3407">
      <w:r>
        <w:continuationSeparator/>
      </w:r>
    </w:p>
  </w:footnote>
  <w:footnote w:id="1">
    <w:p w:rsidR="00CE3407" w:rsidRPr="002673F7" w:rsidRDefault="00CE3407" w:rsidP="00CE3407">
      <w:pPr>
        <w:pStyle w:val="2"/>
        <w:ind w:left="0"/>
      </w:pPr>
      <w:r>
        <w:rPr>
          <w:rStyle w:val="a5"/>
        </w:rPr>
        <w:footnoteRef/>
      </w:r>
      <w:r>
        <w:t xml:space="preserve"> </w:t>
      </w:r>
      <w:r w:rsidRPr="007A5F91">
        <w:rPr>
          <w:sz w:val="20"/>
          <w:szCs w:val="20"/>
        </w:rPr>
        <w:t>При написании работы были использованы материалы ресурса http://www.helpeducation.ru/</w:t>
      </w:r>
    </w:p>
    <w:p w:rsidR="00CD02C6" w:rsidRDefault="00CD02C6" w:rsidP="00CE3407">
      <w:pPr>
        <w:pStyle w:val="2"/>
        <w:ind w:left="0"/>
      </w:pPr>
    </w:p>
  </w:footnote>
  <w:footnote w:id="2">
    <w:p w:rsidR="00CE3407" w:rsidRPr="00FB5507" w:rsidRDefault="00CE3407" w:rsidP="00CE3407">
      <w:pPr>
        <w:spacing w:line="360" w:lineRule="auto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FB5507">
        <w:rPr>
          <w:sz w:val="20"/>
          <w:szCs w:val="20"/>
        </w:rPr>
        <w:t>Территориальный</w:t>
      </w:r>
      <w:r w:rsidRPr="00FB5507">
        <w:rPr>
          <w:sz w:val="20"/>
          <w:szCs w:val="20"/>
        </w:rPr>
        <w:tab/>
        <w:t xml:space="preserve"> орган Федеральной службы государственной статистики по Пермской области // http://www.oblstat.permregion.ru/</w:t>
      </w:r>
    </w:p>
    <w:p w:rsidR="00CD02C6" w:rsidRDefault="00CD02C6" w:rsidP="00CE3407">
      <w:pPr>
        <w:spacing w:line="360" w:lineRule="auto"/>
        <w:jc w:val="both"/>
      </w:pPr>
    </w:p>
  </w:footnote>
  <w:footnote w:id="3">
    <w:p w:rsidR="00CE3407" w:rsidRDefault="00CE3407" w:rsidP="00CE3407">
      <w:pPr>
        <w:spacing w:line="360" w:lineRule="auto"/>
        <w:jc w:val="both"/>
        <w:rPr>
          <w:sz w:val="28"/>
          <w:szCs w:val="28"/>
        </w:rPr>
      </w:pPr>
      <w:r>
        <w:rPr>
          <w:rStyle w:val="a5"/>
        </w:rPr>
        <w:footnoteRef/>
      </w:r>
      <w:r>
        <w:t xml:space="preserve"> </w:t>
      </w:r>
      <w:r w:rsidRPr="00B740BA">
        <w:rPr>
          <w:sz w:val="20"/>
          <w:szCs w:val="20"/>
        </w:rPr>
        <w:t xml:space="preserve">Официальный сайт системы поддержки и развития </w:t>
      </w:r>
      <w:r w:rsidRPr="00B740BA">
        <w:rPr>
          <w:bCs/>
          <w:sz w:val="20"/>
          <w:szCs w:val="20"/>
        </w:rPr>
        <w:t>малого</w:t>
      </w:r>
      <w:r w:rsidRPr="00B740BA">
        <w:rPr>
          <w:sz w:val="20"/>
          <w:szCs w:val="20"/>
        </w:rPr>
        <w:t xml:space="preserve"> </w:t>
      </w:r>
      <w:r w:rsidRPr="00B740BA">
        <w:rPr>
          <w:bCs/>
          <w:sz w:val="20"/>
          <w:szCs w:val="20"/>
        </w:rPr>
        <w:t>предпринимательства</w:t>
      </w:r>
      <w:r w:rsidRPr="00B740BA">
        <w:rPr>
          <w:sz w:val="20"/>
          <w:szCs w:val="20"/>
        </w:rPr>
        <w:t xml:space="preserve"> </w:t>
      </w:r>
      <w:r w:rsidRPr="00B740BA">
        <w:rPr>
          <w:bCs/>
          <w:sz w:val="20"/>
          <w:szCs w:val="20"/>
        </w:rPr>
        <w:t>Пермской</w:t>
      </w:r>
      <w:r w:rsidRPr="00B740BA">
        <w:rPr>
          <w:sz w:val="20"/>
          <w:szCs w:val="20"/>
        </w:rPr>
        <w:t xml:space="preserve"> </w:t>
      </w:r>
      <w:r w:rsidRPr="00B740BA">
        <w:rPr>
          <w:bCs/>
          <w:sz w:val="20"/>
          <w:szCs w:val="20"/>
        </w:rPr>
        <w:t xml:space="preserve">области // </w:t>
      </w:r>
      <w:r w:rsidRPr="00B740BA">
        <w:rPr>
          <w:rFonts w:ascii="Arial" w:hAnsi="Arial" w:cs="Arial"/>
          <w:b/>
          <w:bCs/>
          <w:sz w:val="20"/>
          <w:szCs w:val="20"/>
        </w:rPr>
        <w:t xml:space="preserve"> </w:t>
      </w:r>
      <w:r w:rsidRPr="00B740BA">
        <w:rPr>
          <w:sz w:val="20"/>
          <w:szCs w:val="20"/>
        </w:rPr>
        <w:t>http://mp.perm.ru/</w:t>
      </w:r>
    </w:p>
    <w:p w:rsidR="00CD02C6" w:rsidRDefault="00CD02C6" w:rsidP="00CE3407">
      <w:pPr>
        <w:spacing w:line="36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7D1C24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407"/>
    <w:rsid w:val="0013506C"/>
    <w:rsid w:val="001A35F6"/>
    <w:rsid w:val="002673F7"/>
    <w:rsid w:val="00267C11"/>
    <w:rsid w:val="007A5F91"/>
    <w:rsid w:val="00811DD4"/>
    <w:rsid w:val="009C0E2D"/>
    <w:rsid w:val="00B740BA"/>
    <w:rsid w:val="00C02CE2"/>
    <w:rsid w:val="00CD02C6"/>
    <w:rsid w:val="00CE3407"/>
    <w:rsid w:val="00F91D5E"/>
    <w:rsid w:val="00F959B1"/>
    <w:rsid w:val="00FB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0855FE-C6FB-4A06-8209-114EC09A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40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E3407"/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Pr>
      <w:sz w:val="20"/>
      <w:szCs w:val="20"/>
    </w:rPr>
  </w:style>
  <w:style w:type="character" w:styleId="a5">
    <w:name w:val="footnote reference"/>
    <w:basedOn w:val="a0"/>
    <w:uiPriority w:val="99"/>
    <w:semiHidden/>
    <w:rsid w:val="00CE3407"/>
    <w:rPr>
      <w:rFonts w:cs="Times New Roman"/>
      <w:vertAlign w:val="superscript"/>
    </w:rPr>
  </w:style>
  <w:style w:type="paragraph" w:styleId="2">
    <w:name w:val="List Bullet 2"/>
    <w:basedOn w:val="a"/>
    <w:autoRedefine/>
    <w:uiPriority w:val="99"/>
    <w:rsid w:val="00CE3407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960</Words>
  <Characters>5477</Characters>
  <Application>Microsoft Office Word</Application>
  <DocSecurity>0</DocSecurity>
  <Lines>45</Lines>
  <Paragraphs>12</Paragraphs>
  <ScaleCrop>false</ScaleCrop>
  <Company>Home</Company>
  <LinksUpToDate>false</LinksUpToDate>
  <CharactersWithSpaces>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 малого бизнеса в Пермском регионе</dc:title>
  <dc:subject/>
  <dc:creator>User</dc:creator>
  <cp:keywords/>
  <dc:description/>
  <cp:lastModifiedBy>Irina</cp:lastModifiedBy>
  <cp:revision>2</cp:revision>
  <dcterms:created xsi:type="dcterms:W3CDTF">2014-07-19T08:49:00Z</dcterms:created>
  <dcterms:modified xsi:type="dcterms:W3CDTF">2014-07-19T08:49:00Z</dcterms:modified>
</cp:coreProperties>
</file>