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984" w:rsidRPr="006C52FE" w:rsidRDefault="00573984" w:rsidP="006C52FE">
      <w:pPr>
        <w:spacing w:line="360" w:lineRule="auto"/>
        <w:ind w:firstLine="709"/>
        <w:jc w:val="center"/>
        <w:rPr>
          <w:sz w:val="28"/>
          <w:szCs w:val="28"/>
        </w:rPr>
      </w:pPr>
      <w:r w:rsidRPr="006C52FE">
        <w:rPr>
          <w:sz w:val="28"/>
          <w:szCs w:val="28"/>
        </w:rPr>
        <w:t>БЕЛОРУССКИЙ ГОСУДАРСТВЕННЫЙ УНИВЕРСИТЕТ ИНФОРМАТИКИ И РАДИОЭЛЕКТРОНИКИ</w:t>
      </w:r>
    </w:p>
    <w:p w:rsidR="00573984" w:rsidRPr="006C52FE" w:rsidRDefault="00573984" w:rsidP="006C52FE">
      <w:pPr>
        <w:spacing w:line="360" w:lineRule="auto"/>
        <w:ind w:firstLine="709"/>
        <w:jc w:val="center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center"/>
        <w:rPr>
          <w:sz w:val="28"/>
          <w:szCs w:val="28"/>
        </w:rPr>
      </w:pPr>
      <w:r w:rsidRPr="006C52FE">
        <w:rPr>
          <w:sz w:val="28"/>
          <w:szCs w:val="28"/>
        </w:rPr>
        <w:t>Кафедра менеджмента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2FE">
        <w:rPr>
          <w:b/>
          <w:sz w:val="28"/>
          <w:szCs w:val="28"/>
        </w:rPr>
        <w:t>РЕФЕРАТ</w:t>
      </w:r>
    </w:p>
    <w:p w:rsidR="00573984" w:rsidRPr="006C52FE" w:rsidRDefault="00573984" w:rsidP="006C52F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2FE">
        <w:rPr>
          <w:b/>
          <w:sz w:val="28"/>
          <w:szCs w:val="28"/>
        </w:rPr>
        <w:t>на тему:</w:t>
      </w:r>
    </w:p>
    <w:p w:rsidR="00573984" w:rsidRPr="006C52FE" w:rsidRDefault="00573984" w:rsidP="006C52F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2FE">
        <w:rPr>
          <w:b/>
          <w:sz w:val="28"/>
          <w:szCs w:val="28"/>
        </w:rPr>
        <w:t xml:space="preserve">«Характеристика и анализ сильных и слабых сторон организационной структуры </w:t>
      </w:r>
      <w:r w:rsidRPr="006C52FE">
        <w:rPr>
          <w:b/>
          <w:sz w:val="28"/>
        </w:rPr>
        <w:t>УП «ПСЗ ОПТРОН»</w:t>
      </w:r>
      <w:r w:rsidRPr="006C52FE">
        <w:rPr>
          <w:b/>
          <w:sz w:val="28"/>
          <w:szCs w:val="28"/>
        </w:rPr>
        <w:t>»</w:t>
      </w:r>
    </w:p>
    <w:p w:rsidR="00573984" w:rsidRPr="006C52FE" w:rsidRDefault="00573984" w:rsidP="006C52F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center"/>
        <w:rPr>
          <w:sz w:val="28"/>
          <w:szCs w:val="28"/>
        </w:rPr>
      </w:pPr>
      <w:r w:rsidRPr="006C52FE">
        <w:rPr>
          <w:sz w:val="28"/>
          <w:szCs w:val="28"/>
        </w:rPr>
        <w:t>Минск, 2008</w:t>
      </w:r>
    </w:p>
    <w:p w:rsidR="00573984" w:rsidRPr="006C52FE" w:rsidRDefault="006C52FE" w:rsidP="006C52F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Toc199129688"/>
      <w:r>
        <w:rPr>
          <w:rFonts w:ascii="Times New Roman" w:hAnsi="Times New Roman"/>
          <w:b w:val="0"/>
          <w:sz w:val="28"/>
        </w:rPr>
        <w:br w:type="page"/>
      </w:r>
      <w:r w:rsidR="00573984" w:rsidRPr="006C52FE">
        <w:rPr>
          <w:rFonts w:ascii="Times New Roman" w:hAnsi="Times New Roman"/>
          <w:sz w:val="28"/>
        </w:rPr>
        <w:t>История создания и развития предприятия</w:t>
      </w:r>
      <w:bookmarkEnd w:id="0"/>
    </w:p>
    <w:p w:rsidR="006C52FE" w:rsidRDefault="006C52FE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6C52FE">
        <w:rPr>
          <w:rFonts w:ascii="Times New Roman" w:hAnsi="Times New Roman"/>
        </w:rPr>
        <w:t>Приборостроительный завод «Оптрон» создан по решению Президиума Совета Министров СССР (протокол № 14 от 08.04.77г.) как Опытно-производственное предприятие по изготовлению уникальных физических приборов и оборудования</w:t>
      </w:r>
      <w:r w:rsidR="006C52FE">
        <w:rPr>
          <w:rFonts w:ascii="Times New Roman" w:hAnsi="Times New Roman"/>
        </w:rPr>
        <w:t xml:space="preserve"> </w:t>
      </w:r>
      <w:r w:rsidRPr="006C52FE">
        <w:rPr>
          <w:rFonts w:ascii="Times New Roman" w:hAnsi="Times New Roman"/>
        </w:rPr>
        <w:t>Академии Наук СССР. Завод был заложен в декабре 1982 года и выдал первую продукцию уже в августе 1984 года. С 1984 года заводом был налажен выпуск научно-технической продукции. С октября 1987 года завод вышел на проектную мощность производства.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6C52FE">
        <w:rPr>
          <w:rFonts w:ascii="Times New Roman" w:hAnsi="Times New Roman"/>
        </w:rPr>
        <w:t>Опытно-производственное предприятие специализировалось на изготовлении опытных образцов и малых серий современных уникальных физических приборов и лабораторного оборудования, разрабатываемых организациями АН СССР и академическими организациями союзных республик для научных исследований. Производственная программа предприятия включала в себя выпуск спектральных приборов, рефрактометрических приборов, оптических квантовых генераторов (лазеров), проекционных приборов, специальных микроскопов, приёмников излучений, деталей для оптических квантовых генераторов, элементов волоконной оптики, оптических деталей и узлов, требующих специального технологического оборудования и технологий, и прочие работы. Общая трудоёмкость годового выпуска продукции составляла 2890455 чел/час, в том числе не менее 70% станочные механизированные работы. Общее количество технологического оборудования на предприятии равнялось 2763 единицам, количество работников предприятия приближалось к 3 тысячам.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6C52FE">
        <w:rPr>
          <w:rFonts w:ascii="Times New Roman" w:hAnsi="Times New Roman"/>
        </w:rPr>
        <w:t>После распада СССР Опытно-производственное предприятие было передано в ведение Управления по Науке СМ РБ и преобразовано в Приборостроительный завод «Оптрон», а затем вошло в</w:t>
      </w:r>
      <w:r w:rsidRPr="006C52FE">
        <w:rPr>
          <w:rFonts w:ascii="Times New Roman" w:hAnsi="Times New Roman"/>
          <w:szCs w:val="28"/>
        </w:rPr>
        <w:t xml:space="preserve"> государственный научно-производственный</w:t>
      </w:r>
      <w:r w:rsidRPr="006C52FE">
        <w:rPr>
          <w:rFonts w:ascii="Times New Roman" w:hAnsi="Times New Roman"/>
        </w:rPr>
        <w:t xml:space="preserve"> </w:t>
      </w:r>
      <w:r w:rsidRPr="006C52FE">
        <w:rPr>
          <w:rFonts w:ascii="Times New Roman" w:hAnsi="Times New Roman"/>
          <w:szCs w:val="28"/>
        </w:rPr>
        <w:t>концерн межотраслевого машино- и приборостроения «Белмашприбор».</w:t>
      </w:r>
      <w:r w:rsidRPr="006C52FE">
        <w:rPr>
          <w:rFonts w:ascii="Times New Roman" w:hAnsi="Times New Roman"/>
        </w:rPr>
        <w:t xml:space="preserve"> Видоизменилась и структура предприятия. Ряд цехов и участков завода выделились в самостоятельные предприятия (КТГП «Нуклон», УДП ФМ «Оптрон», УДГП «Оптрон-М»), либо предприятия со статусом структурных единиц (ОСП «Оптронснабкомплект», ОСП «Оптронточмаш», предприятие «Оптиком»). Целью такого выделения была возможность дать указанным предприятиям хозяйственную самостоятельность, инициировать активность их руководителей и позволить свободно работать со сторонними заказчиками.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</w:rPr>
        <w:t>В соответствии с декретом Президента Республики Беларусь от 5 марта 2002 года №7 “О совершенствовании государственного управления в сфере науки” концерн «Белмашприбор», в который входит РУП</w:t>
      </w:r>
      <w:r w:rsidR="006C52FE">
        <w:rPr>
          <w:sz w:val="28"/>
        </w:rPr>
        <w:t xml:space="preserve"> </w:t>
      </w:r>
      <w:r w:rsidRPr="006C52FE">
        <w:rPr>
          <w:sz w:val="28"/>
        </w:rPr>
        <w:t xml:space="preserve">«Приборостроительный завод Оптрон», включен в состав Национальной академии наук Республики Беларусь. В 2006 году концерн «Белмашприбор» был переименован в ГНПО «Центр». </w:t>
      </w:r>
    </w:p>
    <w:p w:rsidR="00573984" w:rsidRPr="006C52FE" w:rsidRDefault="00573984" w:rsidP="006C52FE">
      <w:pPr>
        <w:pStyle w:val="a5"/>
        <w:ind w:firstLine="709"/>
      </w:pPr>
      <w:r w:rsidRPr="006C52FE">
        <w:t>В связи с изменением экономической ситуации и падением спроса на приборы для научных исследований, приоритетными направлениями в производственной деятельности завода стали те, которые могли бы в нынешней ситуации обеспечить сохранение экономического и производственного потенциала предприятия. Большую часть в общем объёме производства занимают сторонние заказы на изготовление механических деталей и узлов. Однако предприятие пытается сохранить своё первоначальное предназначение, выполняя разработки и изготовление наукоёмких приборов и оборудования.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6C52FE">
        <w:rPr>
          <w:rFonts w:ascii="Times New Roman" w:hAnsi="Times New Roman"/>
        </w:rPr>
        <w:t>По-прежнему, завод осуществляет выполнение заказов академических институтов АН РБ по изготовлению оборудования и комплексов для проведения научно-исследовательских работ.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6C52FE">
        <w:rPr>
          <w:rFonts w:ascii="Times New Roman" w:hAnsi="Times New Roman"/>
        </w:rPr>
        <w:t>Наличие на испытательной станции завода высокоточного оборудования, климатических камер, транспортного стендового оборудования позволяет УП «ПСЗ ОПТРОН» осуществлять полный замкнутый цикл от разработки до выпуска любой сложной</w:t>
      </w:r>
      <w:r w:rsidR="006C52FE">
        <w:rPr>
          <w:rFonts w:ascii="Times New Roman" w:hAnsi="Times New Roman"/>
        </w:rPr>
        <w:t xml:space="preserve"> </w:t>
      </w:r>
      <w:r w:rsidRPr="006C52FE">
        <w:rPr>
          <w:rFonts w:ascii="Times New Roman" w:hAnsi="Times New Roman"/>
        </w:rPr>
        <w:t>продукции, будь то точная механика или оптико-электронная продукция.</w:t>
      </w:r>
    </w:p>
    <w:p w:rsidR="00573984" w:rsidRPr="006C52FE" w:rsidRDefault="00573984" w:rsidP="006C52F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bookmarkStart w:id="1" w:name="_Toc193705238"/>
      <w:bookmarkStart w:id="2" w:name="_Toc193705397"/>
      <w:bookmarkStart w:id="3" w:name="_Toc193766499"/>
      <w:bookmarkStart w:id="4" w:name="_Toc199129689"/>
      <w:r w:rsidRPr="006C52FE">
        <w:rPr>
          <w:rFonts w:ascii="Times New Roman" w:hAnsi="Times New Roman" w:cs="Times New Roman"/>
          <w:sz w:val="28"/>
        </w:rPr>
        <w:t>Характеристика предприятия и выпускаемой им продукции</w:t>
      </w:r>
      <w:bookmarkEnd w:id="1"/>
      <w:bookmarkEnd w:id="2"/>
      <w:bookmarkEnd w:id="3"/>
      <w:bookmarkEnd w:id="4"/>
    </w:p>
    <w:p w:rsidR="006C52FE" w:rsidRPr="006C52FE" w:rsidRDefault="006C52FE" w:rsidP="006C52FE">
      <w:pPr>
        <w:pStyle w:val="a5"/>
        <w:ind w:firstLine="709"/>
        <w:jc w:val="center"/>
        <w:rPr>
          <w:b/>
          <w:szCs w:val="28"/>
        </w:rPr>
      </w:pPr>
    </w:p>
    <w:p w:rsidR="00573984" w:rsidRPr="006C52FE" w:rsidRDefault="00573984" w:rsidP="006C52FE">
      <w:pPr>
        <w:pStyle w:val="a5"/>
        <w:ind w:firstLine="709"/>
        <w:rPr>
          <w:szCs w:val="28"/>
        </w:rPr>
      </w:pPr>
      <w:r w:rsidRPr="006C52FE">
        <w:rPr>
          <w:szCs w:val="28"/>
        </w:rPr>
        <w:t>Предприятие имеет статус юридического лица, является коммерческой организацией, имеет обособленное имущество, самостоятельный баланс, расчетный, валютный и другие счета в учреждениях банков, гербовую и иные печати и штампы, фирменные бланки, товарный знак и другие реквизиты. Предприятие несет ответственность по своим обязательствам в пределах имущества, находящегося на самостоятельном балансе предприятия.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Действующий Устав завода утвержден приказом НПК "Белмашприбор" от 17 сентября 1999г. №72 с последующей его регистрацией.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 xml:space="preserve">Юридический и почтовый адрес: 220141 РУП «ПСЗ Оптрон» - город Минск, ул. Ф. Скорины, 52. 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 xml:space="preserve">Контактный телефон: (017) 267-02-05; </w:t>
      </w:r>
    </w:p>
    <w:p w:rsidR="00573984" w:rsidRPr="006C52FE" w:rsidRDefault="006C52FE" w:rsidP="006C52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3984" w:rsidRPr="006C52FE">
        <w:rPr>
          <w:sz w:val="28"/>
          <w:szCs w:val="28"/>
        </w:rPr>
        <w:t>(017) 263-92-58.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Факс:285-93-73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Е_mail: Optron@telecom.by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Сайт в интернете: http://www.optron.by/.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Уставный фонд предприятия на 1 января 2004 года составляет 64 млн. 305тыс. рублей. Уставный фонд сформирован путем внесения основных фондов и оборотных средств.</w:t>
      </w:r>
    </w:p>
    <w:p w:rsidR="00573984" w:rsidRPr="006C52FE" w:rsidRDefault="00573984" w:rsidP="006C52FE">
      <w:pPr>
        <w:pStyle w:val="a5"/>
        <w:ind w:firstLine="709"/>
      </w:pPr>
      <w:r w:rsidRPr="006C52FE">
        <w:t>Предприятие включает в себя</w:t>
      </w:r>
      <w:r w:rsidR="006C52FE">
        <w:t xml:space="preserve"> </w:t>
      </w:r>
      <w:r w:rsidRPr="006C52FE">
        <w:t>два дочерних предприятия с правом юридического лица (КТ РУП «Нуклон», ПР ДУП «Оптрон М»), два обособленных структурных подразделения без права юридического лица с расчетным счетом (ОСП «Лабора», ОСП «Оптиком»), а так же 17 подразделений завода. Кроме этого, предприятие имеет общежитие на 530 койко–мест.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Численность работающих на РУП «Приборостроительный завод «Оптрон» с обособленными структурными подразделениями по состоянию на 1 января</w:t>
      </w:r>
      <w:r w:rsidR="006C52FE">
        <w:rPr>
          <w:sz w:val="28"/>
        </w:rPr>
        <w:t xml:space="preserve"> </w:t>
      </w:r>
      <w:r w:rsidRPr="006C52FE">
        <w:rPr>
          <w:sz w:val="28"/>
        </w:rPr>
        <w:t>2007 года составила 295 человек, среди</w:t>
      </w:r>
      <w:r w:rsidR="006C52FE">
        <w:rPr>
          <w:sz w:val="28"/>
        </w:rPr>
        <w:t xml:space="preserve"> </w:t>
      </w:r>
      <w:r w:rsidRPr="006C52FE">
        <w:rPr>
          <w:sz w:val="28"/>
        </w:rPr>
        <w:t>них:</w:t>
      </w:r>
    </w:p>
    <w:p w:rsidR="00573984" w:rsidRPr="006C52FE" w:rsidRDefault="00573984" w:rsidP="006C52FE">
      <w:pPr>
        <w:widowControl w:val="0"/>
        <w:numPr>
          <w:ilvl w:val="0"/>
          <w:numId w:val="2"/>
        </w:numPr>
        <w:tabs>
          <w:tab w:val="num" w:pos="1440"/>
        </w:tabs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ключевой управленческий аппарат – 6 человек;</w:t>
      </w:r>
    </w:p>
    <w:p w:rsidR="00573984" w:rsidRPr="006C52FE" w:rsidRDefault="00573984" w:rsidP="006C52FE">
      <w:pPr>
        <w:widowControl w:val="0"/>
        <w:numPr>
          <w:ilvl w:val="0"/>
          <w:numId w:val="2"/>
        </w:numPr>
        <w:tabs>
          <w:tab w:val="num" w:pos="1440"/>
        </w:tabs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управленческий аппарат среднего звена – 14 человека;</w:t>
      </w:r>
    </w:p>
    <w:p w:rsidR="00573984" w:rsidRPr="006C52FE" w:rsidRDefault="00573984" w:rsidP="006C52FE">
      <w:pPr>
        <w:widowControl w:val="0"/>
        <w:numPr>
          <w:ilvl w:val="0"/>
          <w:numId w:val="2"/>
        </w:numPr>
        <w:tabs>
          <w:tab w:val="num" w:pos="1440"/>
        </w:tabs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специалистов – 51 человека;</w:t>
      </w:r>
    </w:p>
    <w:p w:rsidR="00573984" w:rsidRPr="006C52FE" w:rsidRDefault="00573984" w:rsidP="006C52FE">
      <w:pPr>
        <w:widowControl w:val="0"/>
        <w:numPr>
          <w:ilvl w:val="0"/>
          <w:numId w:val="2"/>
        </w:numPr>
        <w:tabs>
          <w:tab w:val="num" w:pos="1440"/>
        </w:tabs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основных рабочих – 218 человек;</w:t>
      </w:r>
    </w:p>
    <w:p w:rsidR="00573984" w:rsidRPr="006C52FE" w:rsidRDefault="00573984" w:rsidP="006C52FE">
      <w:pPr>
        <w:widowControl w:val="0"/>
        <w:numPr>
          <w:ilvl w:val="0"/>
          <w:numId w:val="2"/>
        </w:numPr>
        <w:tabs>
          <w:tab w:val="num" w:pos="1440"/>
        </w:tabs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служащих – 6 человек.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 xml:space="preserve">Завод расположен на территории в </w:t>
      </w:r>
      <w:smartTag w:uri="urn:schemas-microsoft-com:office:smarttags" w:element="metricconverter">
        <w:smartTagPr>
          <w:attr w:name="ProductID" w:val="7,7 га"/>
        </w:smartTagPr>
        <w:r w:rsidRPr="006C52FE">
          <w:rPr>
            <w:sz w:val="28"/>
          </w:rPr>
          <w:t>7,7 га</w:t>
        </w:r>
      </w:smartTag>
      <w:r w:rsidRPr="006C52FE">
        <w:rPr>
          <w:sz w:val="28"/>
        </w:rPr>
        <w:t xml:space="preserve"> с площадью помещений 57,043 тысяч кв.м. В ведении предприятия находится:</w:t>
      </w:r>
    </w:p>
    <w:p w:rsidR="00573984" w:rsidRPr="006C52FE" w:rsidRDefault="00573984" w:rsidP="006C52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Производственно-бытовой корпус (</w:t>
      </w:r>
      <w:r w:rsidRPr="006C52FE">
        <w:rPr>
          <w:sz w:val="28"/>
          <w:lang w:val="en-US"/>
        </w:rPr>
        <w:t>I</w:t>
      </w:r>
      <w:r w:rsidRPr="006C52FE">
        <w:rPr>
          <w:sz w:val="28"/>
        </w:rPr>
        <w:t>-3) – 7 622 кв.м.</w:t>
      </w:r>
    </w:p>
    <w:p w:rsidR="00573984" w:rsidRPr="006C52FE" w:rsidRDefault="00573984" w:rsidP="006C52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Производственные корпуса (II-2) – 13 268 кв.м; II-1 – 26 058 кв.м.</w:t>
      </w:r>
    </w:p>
    <w:p w:rsidR="00573984" w:rsidRPr="006C52FE" w:rsidRDefault="00573984" w:rsidP="006C52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Корпус РСУ – 580 кв.м.</w:t>
      </w:r>
    </w:p>
    <w:p w:rsidR="00573984" w:rsidRPr="006C52FE" w:rsidRDefault="00573984" w:rsidP="006C52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Производственно – вспомогательный блок (</w:t>
      </w:r>
      <w:r w:rsidRPr="006C52FE">
        <w:rPr>
          <w:sz w:val="28"/>
          <w:lang w:val="en-US"/>
        </w:rPr>
        <w:t>III</w:t>
      </w:r>
      <w:r w:rsidRPr="006C52FE">
        <w:rPr>
          <w:sz w:val="28"/>
        </w:rPr>
        <w:t xml:space="preserve">-1 , </w:t>
      </w:r>
      <w:r w:rsidRPr="006C52FE">
        <w:rPr>
          <w:sz w:val="28"/>
          <w:lang w:val="en-US"/>
        </w:rPr>
        <w:t>III</w:t>
      </w:r>
      <w:r w:rsidRPr="006C52FE">
        <w:rPr>
          <w:sz w:val="28"/>
        </w:rPr>
        <w:t xml:space="preserve">-4 , </w:t>
      </w:r>
      <w:r w:rsidRPr="006C52FE">
        <w:rPr>
          <w:sz w:val="28"/>
          <w:lang w:val="en-US"/>
        </w:rPr>
        <w:t>III</w:t>
      </w:r>
      <w:r w:rsidRPr="006C52FE">
        <w:rPr>
          <w:sz w:val="28"/>
        </w:rPr>
        <w:t xml:space="preserve">-10 , </w:t>
      </w:r>
      <w:r w:rsidRPr="006C52FE">
        <w:rPr>
          <w:sz w:val="28"/>
          <w:lang w:val="en-US"/>
        </w:rPr>
        <w:t>III</w:t>
      </w:r>
      <w:r w:rsidRPr="006C52FE">
        <w:rPr>
          <w:sz w:val="28"/>
        </w:rPr>
        <w:t>-13) – 2810 кв.м.</w:t>
      </w:r>
    </w:p>
    <w:p w:rsidR="00573984" w:rsidRPr="006C52FE" w:rsidRDefault="00573984" w:rsidP="006C52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Блок общего назначения (</w:t>
      </w:r>
      <w:r w:rsidRPr="006C52FE">
        <w:rPr>
          <w:sz w:val="28"/>
          <w:lang w:val="en-US"/>
        </w:rPr>
        <w:t>I</w:t>
      </w:r>
      <w:r w:rsidRPr="006C52FE">
        <w:rPr>
          <w:sz w:val="28"/>
        </w:rPr>
        <w:t>-1,2) – 6 287 кв.м.</w:t>
      </w:r>
    </w:p>
    <w:p w:rsidR="00573984" w:rsidRPr="006C52FE" w:rsidRDefault="00573984" w:rsidP="006C52FE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C52FE">
        <w:rPr>
          <w:sz w:val="28"/>
        </w:rPr>
        <w:t>Складской блок (</w:t>
      </w:r>
      <w:r w:rsidRPr="006C52FE">
        <w:rPr>
          <w:sz w:val="28"/>
          <w:lang w:val="en-US"/>
        </w:rPr>
        <w:t>III</w:t>
      </w:r>
      <w:r w:rsidRPr="006C52FE">
        <w:rPr>
          <w:sz w:val="28"/>
        </w:rPr>
        <w:t>-2) , проходная (</w:t>
      </w:r>
      <w:r w:rsidRPr="006C52FE">
        <w:rPr>
          <w:sz w:val="28"/>
          <w:lang w:val="en-US"/>
        </w:rPr>
        <w:t>III</w:t>
      </w:r>
      <w:r w:rsidRPr="006C52FE">
        <w:rPr>
          <w:sz w:val="28"/>
        </w:rPr>
        <w:t>-7) – 418 кв.м.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Станочный парк насчитывает 415 единиц с износом 83 % 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Транспортный участок имеет 14 единиц автотранспортных средств. Из них: легковых автомобилей – 1 единица, 12 единиц – грузовых и специальных транспортных средств, 1- автобус.</w:t>
      </w:r>
      <w:r w:rsidR="006C52FE">
        <w:rPr>
          <w:sz w:val="28"/>
        </w:rPr>
        <w:t xml:space="preserve"> </w:t>
      </w:r>
      <w:r w:rsidRPr="006C52FE">
        <w:rPr>
          <w:sz w:val="28"/>
        </w:rPr>
        <w:t>Контрольно-измерительное оборудование насчитывает 3000 единиц со средним износом 99,7%.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Здания, производственные и офисные помещения находятся в удовлетворительном состоянии. Износ зданий составляет 21,3%, складских помещений</w:t>
      </w:r>
      <w:r w:rsidR="006C52FE">
        <w:rPr>
          <w:sz w:val="28"/>
        </w:rPr>
        <w:t xml:space="preserve"> </w:t>
      </w:r>
      <w:r w:rsidRPr="006C52FE">
        <w:rPr>
          <w:sz w:val="28"/>
        </w:rPr>
        <w:t>- 49%.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УП «ПСЗ ОПТРОН» обладает производственными мощностями, позволяющими с учетом поставки комплектующих по кооперации осуществлять замкнутый</w:t>
      </w:r>
      <w:r w:rsidR="006C52FE">
        <w:rPr>
          <w:sz w:val="28"/>
        </w:rPr>
        <w:t xml:space="preserve"> </w:t>
      </w:r>
      <w:r w:rsidRPr="006C52FE">
        <w:rPr>
          <w:sz w:val="28"/>
        </w:rPr>
        <w:t>цикл выпуска</w:t>
      </w:r>
      <w:r w:rsidR="006C52FE">
        <w:rPr>
          <w:sz w:val="28"/>
        </w:rPr>
        <w:t xml:space="preserve"> </w:t>
      </w:r>
      <w:r w:rsidRPr="006C52FE">
        <w:rPr>
          <w:sz w:val="28"/>
        </w:rPr>
        <w:t>от обработки материалов до получения годной продукции, с проведением полного испытательного цикла по качеству и наработке на отказ. Основными энергоёмкими производствами являются: участок гальваники, участок покраски, участок термообработки, участок сварки и резки металла, механические цеха, заготовительно-штамповочный участок, участок вакуумного напыления.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6C52FE">
        <w:rPr>
          <w:rFonts w:ascii="Times New Roman" w:hAnsi="Times New Roman"/>
        </w:rPr>
        <w:t>Поставка сырья и комплектующих осуществляется, в основном, белорусскими поставщиками и производителями.</w:t>
      </w:r>
    </w:p>
    <w:p w:rsid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Продукция предприятия: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</w:rPr>
        <w:t>1. Приборы для научных исследований и медицины: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атомно-абсорбционные спектрофотометры с пламенным и электротермическим атомизатором;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спектрофотометры для проведения массовых бактериологических и иммунологических исследований;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оборудование для лабораторных анализов и медицины;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лазерные и спектральные приборы для научных исследований;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монохроматоры;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комплект механических узлов для макетирования оптических систем.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2. Оптические изделия: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лазерные оптические элементы;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уникальные оптические технологии (зеркала, фильтры, призмы);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спектральная оптика;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многослойные вакуумные покрытия.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bookmarkStart w:id="5" w:name="_Toc193529908"/>
      <w:bookmarkStart w:id="6" w:name="_Toc193705239"/>
      <w:bookmarkStart w:id="7" w:name="_Toc193705398"/>
      <w:bookmarkStart w:id="8" w:name="_Toc193705467"/>
      <w:bookmarkStart w:id="9" w:name="_Toc193766500"/>
      <w:bookmarkStart w:id="10" w:name="_Toc199129498"/>
      <w:bookmarkStart w:id="11" w:name="_Toc199129690"/>
      <w:r w:rsidRPr="006C52FE">
        <w:rPr>
          <w:rFonts w:ascii="Times New Roman" w:hAnsi="Times New Roman"/>
          <w:szCs w:val="24"/>
        </w:rPr>
        <w:t>3. Медицинская техника:</w:t>
      </w:r>
      <w:bookmarkEnd w:id="5"/>
      <w:bookmarkEnd w:id="6"/>
      <w:bookmarkEnd w:id="7"/>
      <w:bookmarkEnd w:id="8"/>
      <w:bookmarkEnd w:id="9"/>
      <w:bookmarkEnd w:id="10"/>
      <w:bookmarkEnd w:id="11"/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оборудование для лабораторных массовых анализов в иммунологии и медицине.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bookmarkStart w:id="12" w:name="_Toc193529909"/>
      <w:bookmarkStart w:id="13" w:name="_Toc193705240"/>
      <w:bookmarkStart w:id="14" w:name="_Toc193705399"/>
      <w:bookmarkStart w:id="15" w:name="_Toc193705468"/>
      <w:bookmarkStart w:id="16" w:name="_Toc193766501"/>
      <w:bookmarkStart w:id="17" w:name="_Toc199129499"/>
      <w:bookmarkStart w:id="18" w:name="_Toc199129691"/>
      <w:r w:rsidRPr="006C52FE">
        <w:rPr>
          <w:rFonts w:ascii="Times New Roman" w:hAnsi="Times New Roman"/>
          <w:szCs w:val="24"/>
        </w:rPr>
        <w:t>4. Малогабаритное оборудование для деревообработки: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ленточнопильные станки;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пилозаточные станки;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приспособления для заточки ленточных пил.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bookmarkStart w:id="19" w:name="_Toc193529910"/>
      <w:bookmarkStart w:id="20" w:name="_Toc193705241"/>
      <w:bookmarkStart w:id="21" w:name="_Toc193705400"/>
      <w:bookmarkStart w:id="22" w:name="_Toc193705469"/>
      <w:bookmarkStart w:id="23" w:name="_Toc193766502"/>
      <w:bookmarkStart w:id="24" w:name="_Toc199129500"/>
      <w:bookmarkStart w:id="25" w:name="_Toc199129692"/>
      <w:r w:rsidRPr="006C52FE">
        <w:rPr>
          <w:rFonts w:ascii="Times New Roman" w:hAnsi="Times New Roman"/>
          <w:szCs w:val="24"/>
        </w:rPr>
        <w:t>5. Расфасовочно-упаковочное оборудование: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линии разлива молока, сметаны, майонеза и т.д. в полиэтиленовые пакеты (ЛДУ);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фасовочное оборудование для овощей и фруктов.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bookmarkStart w:id="26" w:name="_Toc193529911"/>
      <w:bookmarkStart w:id="27" w:name="_Toc193705242"/>
      <w:bookmarkStart w:id="28" w:name="_Toc193705401"/>
      <w:bookmarkStart w:id="29" w:name="_Toc193705470"/>
      <w:bookmarkStart w:id="30" w:name="_Toc193766503"/>
      <w:bookmarkStart w:id="31" w:name="_Toc199129501"/>
      <w:bookmarkStart w:id="32" w:name="_Toc199129693"/>
      <w:r w:rsidRPr="006C52FE">
        <w:rPr>
          <w:rFonts w:ascii="Times New Roman" w:hAnsi="Times New Roman"/>
          <w:szCs w:val="24"/>
        </w:rPr>
        <w:t>6. Оборудование для птицеводства:</w:t>
      </w:r>
      <w:bookmarkEnd w:id="26"/>
      <w:bookmarkEnd w:id="27"/>
      <w:bookmarkEnd w:id="28"/>
      <w:bookmarkEnd w:id="29"/>
      <w:bookmarkEnd w:id="30"/>
      <w:bookmarkEnd w:id="31"/>
      <w:bookmarkEnd w:id="32"/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дозаторы пищевых и лекарственных добавок;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конвейеры сбора яиц.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bookmarkStart w:id="33" w:name="_Toc193529912"/>
      <w:bookmarkStart w:id="34" w:name="_Toc193705243"/>
      <w:bookmarkStart w:id="35" w:name="_Toc193705402"/>
      <w:bookmarkStart w:id="36" w:name="_Toc193705471"/>
      <w:bookmarkStart w:id="37" w:name="_Toc193766504"/>
      <w:bookmarkStart w:id="38" w:name="_Toc199129502"/>
      <w:bookmarkStart w:id="39" w:name="_Toc199129694"/>
      <w:r w:rsidRPr="006C52FE">
        <w:rPr>
          <w:rFonts w:ascii="Times New Roman" w:hAnsi="Times New Roman"/>
          <w:szCs w:val="24"/>
        </w:rPr>
        <w:t>7. Заказы сторонних организаций: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высокоточная механическая металлообработка;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инструментальное производство (метчики, концевые и пальцевые фрезы и др.);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лакокрасочные и гальванические покрытия;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6C52FE">
        <w:rPr>
          <w:rFonts w:ascii="Times New Roman" w:hAnsi="Times New Roman"/>
          <w:szCs w:val="24"/>
        </w:rPr>
        <w:t>лазерная кройка металла.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 xml:space="preserve">В существующей рыночной ситуации завод выпускает порядка 60 % продукции по сторонним заказам. На сегодняшний день это механические детали и узлы. 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В связи с участившимися неплатежами за произведённую и поставленную продукцию финансовая политика завода направлена на выполнение заказов и поставку продукции по предоплате. Выполнение заказов по изготовлению механических деталей и узлов осуществляется с 50% авансовой предоплатой. Поставка готовой продукции осуществляется после 100% авансовой предоплаты. Взаиморасчёты с иностранными компаниями осуществляются в течение 30-60 дней после поставки продукции в адрес заказчика, что обусловлено требованиями со стороны иностранных партнёров.</w:t>
      </w:r>
    </w:p>
    <w:p w:rsidR="00573984" w:rsidRPr="006C52FE" w:rsidRDefault="00573984" w:rsidP="006C52FE">
      <w:pPr>
        <w:pStyle w:val="2"/>
        <w:spacing w:line="360" w:lineRule="auto"/>
        <w:ind w:firstLine="709"/>
        <w:rPr>
          <w:sz w:val="28"/>
          <w:szCs w:val="28"/>
        </w:rPr>
      </w:pPr>
      <w:r w:rsidRPr="006C52FE">
        <w:rPr>
          <w:sz w:val="28"/>
          <w:szCs w:val="28"/>
        </w:rPr>
        <w:t>Маркетинг продукции осуществляется посредством размещения рекламы на продукцию и услуги в каталогах и рекламных изданиях, участия в выставках, семинарах. Делается почтовая рассылка рекламных материалов и информационных писем потенциальным потребителям продукции и услуг УП «ПСЗ ОПТРОН». Устанавливаются партнёрские связи через посредничество Торгово-Промышленной Палаты РБ с регионами стран СНГ и с фирмами «дальнего» зарубежья.</w:t>
      </w:r>
    </w:p>
    <w:p w:rsidR="00573984" w:rsidRPr="006C52FE" w:rsidRDefault="00573984" w:rsidP="006C52FE">
      <w:pPr>
        <w:pStyle w:val="2"/>
        <w:spacing w:line="360" w:lineRule="auto"/>
        <w:ind w:firstLine="709"/>
        <w:rPr>
          <w:sz w:val="28"/>
          <w:szCs w:val="28"/>
        </w:rPr>
      </w:pPr>
      <w:r w:rsidRPr="006C52FE">
        <w:rPr>
          <w:sz w:val="28"/>
          <w:szCs w:val="28"/>
        </w:rPr>
        <w:t>На предприятии существует тенденция к наращиванию темпов роста производства за счёт привлечения новых сторонних заказов, введения в строй новых производственных мощностей, создания новых рабочих мест в основном производстве.</w:t>
      </w:r>
    </w:p>
    <w:p w:rsidR="00573984" w:rsidRPr="006C52FE" w:rsidRDefault="00573984" w:rsidP="006C52FE">
      <w:pPr>
        <w:pStyle w:val="21"/>
        <w:tabs>
          <w:tab w:val="left" w:pos="0"/>
        </w:tabs>
        <w:spacing w:after="0" w:line="360" w:lineRule="auto"/>
        <w:ind w:firstLine="709"/>
        <w:jc w:val="both"/>
      </w:pPr>
      <w:bookmarkStart w:id="40" w:name="_Toc193529913"/>
      <w:bookmarkStart w:id="41" w:name="_Toc193705244"/>
      <w:bookmarkStart w:id="42" w:name="_Toc193705403"/>
      <w:bookmarkStart w:id="43" w:name="_Toc193705472"/>
      <w:bookmarkStart w:id="44" w:name="_Toc193766505"/>
      <w:bookmarkStart w:id="45" w:name="_Toc199129503"/>
      <w:bookmarkStart w:id="46" w:name="_Toc199129695"/>
      <w:r w:rsidRPr="006C52FE">
        <w:t>Долгосрочные цели развития: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573984" w:rsidRPr="006C52FE" w:rsidRDefault="00573984" w:rsidP="006C52FE">
      <w:pPr>
        <w:pStyle w:val="21"/>
        <w:spacing w:after="0" w:line="360" w:lineRule="auto"/>
        <w:ind w:firstLine="709"/>
        <w:jc w:val="both"/>
      </w:pPr>
      <w:r w:rsidRPr="006C52FE">
        <w:t>- реконструкция и модернизация производственных мощностей;</w:t>
      </w:r>
    </w:p>
    <w:p w:rsidR="00573984" w:rsidRPr="006C52FE" w:rsidRDefault="00573984" w:rsidP="006C52FE">
      <w:pPr>
        <w:pStyle w:val="21"/>
        <w:spacing w:after="0" w:line="360" w:lineRule="auto"/>
        <w:ind w:firstLine="709"/>
        <w:jc w:val="both"/>
      </w:pPr>
      <w:r w:rsidRPr="006C52FE">
        <w:t>- организация новых производств, включая также традиционные, ориентированные на наукоёмкую и высоколиквидную продукцию;</w:t>
      </w:r>
    </w:p>
    <w:p w:rsidR="00573984" w:rsidRPr="006C52FE" w:rsidRDefault="00573984" w:rsidP="006C52FE">
      <w:pPr>
        <w:pStyle w:val="21"/>
        <w:spacing w:after="0" w:line="360" w:lineRule="auto"/>
        <w:ind w:firstLine="709"/>
        <w:jc w:val="both"/>
      </w:pPr>
      <w:r w:rsidRPr="006C52FE">
        <w:t>- установление контактов с ведущими зарубежными производителями; организация совместного предприятия.</w:t>
      </w:r>
    </w:p>
    <w:p w:rsidR="00573984" w:rsidRPr="006C52FE" w:rsidRDefault="00573984" w:rsidP="006C52FE">
      <w:pPr>
        <w:pStyle w:val="21"/>
        <w:tabs>
          <w:tab w:val="num" w:pos="1440"/>
        </w:tabs>
        <w:spacing w:after="0" w:line="360" w:lineRule="auto"/>
        <w:ind w:firstLine="709"/>
        <w:jc w:val="both"/>
      </w:pPr>
      <w:r w:rsidRPr="006C52FE">
        <w:t>В рамках концерна «Белмашприбор» и развития отрасли приборостроения предприятие участвует в разработке Государственных научно-технических программ и создания нового уровня конкурентоспособной техники.</w:t>
      </w:r>
    </w:p>
    <w:p w:rsidR="006C52FE" w:rsidRDefault="006C52FE" w:rsidP="006C52F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47" w:name="_Toc193529914"/>
      <w:bookmarkStart w:id="48" w:name="_Toc193705245"/>
      <w:bookmarkStart w:id="49" w:name="_Toc193705404"/>
      <w:bookmarkStart w:id="50" w:name="_Toc193766506"/>
      <w:bookmarkStart w:id="51" w:name="_Toc199129696"/>
    </w:p>
    <w:p w:rsidR="00573984" w:rsidRPr="006C52FE" w:rsidRDefault="00573984" w:rsidP="006C52F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6C52FE">
        <w:rPr>
          <w:rFonts w:ascii="Times New Roman" w:hAnsi="Times New Roman" w:cs="Times New Roman"/>
          <w:sz w:val="28"/>
        </w:rPr>
        <w:t>Организационная структура</w:t>
      </w:r>
      <w:bookmarkEnd w:id="47"/>
      <w:r w:rsidRPr="006C52FE">
        <w:rPr>
          <w:rFonts w:ascii="Times New Roman" w:hAnsi="Times New Roman" w:cs="Times New Roman"/>
          <w:sz w:val="28"/>
        </w:rPr>
        <w:t xml:space="preserve"> управления предприятием</w:t>
      </w:r>
      <w:bookmarkEnd w:id="48"/>
      <w:bookmarkEnd w:id="49"/>
      <w:bookmarkEnd w:id="50"/>
      <w:bookmarkEnd w:id="51"/>
    </w:p>
    <w:p w:rsidR="006C52FE" w:rsidRDefault="006C52FE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  <w:szCs w:val="28"/>
        </w:rPr>
        <w:t>Общая схема организационной структуры управления</w:t>
      </w:r>
      <w:r w:rsidRPr="006C52FE">
        <w:rPr>
          <w:rFonts w:cs="Arial"/>
          <w:bCs/>
          <w:kern w:val="32"/>
          <w:sz w:val="28"/>
          <w:szCs w:val="32"/>
        </w:rPr>
        <w:t xml:space="preserve"> </w:t>
      </w:r>
      <w:r w:rsidRPr="006C52FE">
        <w:rPr>
          <w:bCs/>
          <w:kern w:val="32"/>
          <w:sz w:val="28"/>
          <w:szCs w:val="28"/>
        </w:rPr>
        <w:t>РУП</w:t>
      </w:r>
      <w:r w:rsidRPr="006C52FE">
        <w:rPr>
          <w:sz w:val="28"/>
          <w:szCs w:val="28"/>
        </w:rPr>
        <w:t xml:space="preserve"> «Приборостроительный завод Оптрон» представлена в Приложении 1. </w:t>
      </w:r>
      <w:r w:rsidRPr="006C52FE">
        <w:rPr>
          <w:sz w:val="28"/>
        </w:rPr>
        <w:t>Она является линейно-функциональной. Линейные звенья управления командуют, функциональные звенья консультируют в разработке конкретных вопросов и подготовке соответствующих решений, программ, планов.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 xml:space="preserve">Каждый работник предприятия подчиняется только одному руководителю, в этом проявляется линейность организационной структуры. 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Руководители функциональных подразделений (отделы, которые подчиняются заместителю директора по общим вопросам, отдел главного бухгалтера, главного экономиста) осуществляют влияние на производственные подразделения формально. Они устанавливают стандарты деятельности каждого структурного подразделения предприятия: разработка рабочих и должностных инструкций, положений о работе отделов, расписания внутреннего трудового распорядка, норм расходов вспомогательных и основных материалов, стандартов качества продукции и т.д. Функциональные службы осуществляют техническую подготовку производства; подготавливают варианты решений вопросов, связанных с руководством процессом производства.</w:t>
      </w:r>
      <w:r w:rsidR="006C52FE">
        <w:rPr>
          <w:sz w:val="28"/>
        </w:rPr>
        <w:t xml:space="preserve"> 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 xml:space="preserve">Организационная структура учитывает производственный процесс, наличие разнообразных функциональных подразделений позволяет решать специализированные вопросы. 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 xml:space="preserve">Возглавляет предприятие генеральный директор, </w:t>
      </w:r>
      <w:r w:rsidRPr="006C52FE">
        <w:rPr>
          <w:sz w:val="28"/>
          <w:szCs w:val="28"/>
        </w:rPr>
        <w:t xml:space="preserve">назначаемый на должность вышестоящим органом. Генеральный директор </w:t>
      </w:r>
      <w:r w:rsidRPr="006C52FE">
        <w:rPr>
          <w:sz w:val="28"/>
        </w:rPr>
        <w:t>осуществляет общее руководство предприятием, несет полную ответственность за его деятельность, организует взаимодействие всех структурных подразделений, цехов и участков, обеспечивает выполнение</w:t>
      </w:r>
      <w:r w:rsidRPr="006C52FE">
        <w:rPr>
          <w:bCs/>
          <w:sz w:val="28"/>
        </w:rPr>
        <w:t xml:space="preserve"> </w:t>
      </w:r>
      <w:r w:rsidRPr="006C52FE">
        <w:rPr>
          <w:sz w:val="28"/>
        </w:rPr>
        <w:t xml:space="preserve">всех принимаемых предприятием обязательств, включая обязательства перед бюджетами разных уровней и внебюджетными фондами, осуществляет контроль за соблюдением законности в деятельности всех служб, защищает имущественные интересы предприятия в суде, арбитраже, органах государственной власти. Он издает приказы, применяет меры поощрения и налагает взыскания на работников предприятия, отменяет приказы нижестоящих руководителей производства или дает обязательные для исполнения распоряжения об их изменении. 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На предприятии генеральному директору непосредственно подчинены: главный инженер, начальник производства, заместитель генерального директора по общим вопросам, главный экономист, главный бухгалтер, заместитель генерального директора по идеологической и социальной работе, отдельная команда охраны, отдел правовой и организационной работы..</w:t>
      </w:r>
    </w:p>
    <w:p w:rsidR="00573984" w:rsidRPr="006C52FE" w:rsidRDefault="00573984" w:rsidP="006C52FE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6C52FE">
        <w:rPr>
          <w:rFonts w:ascii="Times New Roman" w:hAnsi="Times New Roman"/>
          <w:szCs w:val="28"/>
        </w:rPr>
        <w:t>Первым заместителем директора является главный инженер. Основной функцией главного инженера является руководство всей технической стороной деятельности предприятия: технической подготовкой производства, научно-исследовательскими, проектными и экспериментальными работами, внедрение передовой техники и технологии, организации разработки, освоения в производстве новых видов изделий; безопасные условия труда, обеспечением производства технологическим оснащением и ремонтным обслуживанием, разрабатывает планы развития предприятия, реконструкции и модернизации, осуществляет контроль за соблюдением проектной, конструкторской и технологической дисциплины, координирует работу по вопросам патентно-изобретательной деятельности, стандартизации и унификации, аттестации и рационализации рабочих мест, метрологического обеспечения.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  <w:szCs w:val="28"/>
        </w:rPr>
        <w:t>Главному инженеру подчинены заместитель главного инженера, отдел подготовки и сопровождения производства, отдел технического контроля, метрологии, стандартизации и унификации, энергомеханический отдел, отдел охраны труда и пожарной безопасности, бюро оборудования и реконструкции.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>Начальник производства осуществляет руководство работой по оперативному</w:t>
      </w:r>
      <w:r w:rsidR="006C52FE">
        <w:rPr>
          <w:sz w:val="28"/>
        </w:rPr>
        <w:t xml:space="preserve"> </w:t>
      </w:r>
      <w:r w:rsidRPr="006C52FE">
        <w:rPr>
          <w:sz w:val="28"/>
        </w:rPr>
        <w:t>регулированию</w:t>
      </w:r>
      <w:r w:rsidR="006C52FE">
        <w:rPr>
          <w:sz w:val="28"/>
        </w:rPr>
        <w:t xml:space="preserve"> </w:t>
      </w:r>
      <w:r w:rsidRPr="006C52FE">
        <w:rPr>
          <w:sz w:val="28"/>
        </w:rPr>
        <w:t>хода</w:t>
      </w:r>
      <w:r w:rsidR="006C52FE">
        <w:rPr>
          <w:sz w:val="28"/>
        </w:rPr>
        <w:t xml:space="preserve"> </w:t>
      </w:r>
      <w:r w:rsidRPr="006C52FE">
        <w:rPr>
          <w:sz w:val="28"/>
        </w:rPr>
        <w:t>производства, обеспечению ритмичного выпуска продукции в соответствии с заданиями государственного плана и договорами поставок, контролирует выполнение планов и обеспечение цехов, регулирует взаимоотношение цехов и служб завода, , обеспечивает</w:t>
      </w:r>
      <w:r w:rsidR="006C52FE">
        <w:rPr>
          <w:sz w:val="28"/>
        </w:rPr>
        <w:t xml:space="preserve"> </w:t>
      </w:r>
      <w:r w:rsidRPr="006C52FE">
        <w:rPr>
          <w:sz w:val="28"/>
        </w:rPr>
        <w:t>ежедневный оперативный учет хода производства, выполнения суточных заданий выпуска готовой продукции по количеству и номенклатуре изделий, контроль за состоянием и комплектностью незавершенного производства, осуществляет контроль</w:t>
      </w:r>
      <w:r w:rsidR="006C52FE">
        <w:rPr>
          <w:sz w:val="28"/>
        </w:rPr>
        <w:t xml:space="preserve"> </w:t>
      </w:r>
      <w:r w:rsidRPr="006C52FE">
        <w:rPr>
          <w:sz w:val="28"/>
        </w:rPr>
        <w:t>за</w:t>
      </w:r>
      <w:r w:rsidR="006C52FE">
        <w:rPr>
          <w:sz w:val="28"/>
        </w:rPr>
        <w:t xml:space="preserve"> </w:t>
      </w:r>
      <w:r w:rsidRPr="006C52FE">
        <w:rPr>
          <w:sz w:val="28"/>
        </w:rPr>
        <w:t>обеспечением</w:t>
      </w:r>
      <w:r w:rsidR="006C52FE">
        <w:rPr>
          <w:sz w:val="28"/>
        </w:rPr>
        <w:t xml:space="preserve"> </w:t>
      </w:r>
      <w:r w:rsidRPr="006C52FE">
        <w:rPr>
          <w:sz w:val="28"/>
        </w:rPr>
        <w:t>производства технической документацией, оборудованием, инструментом, материалами, комплектующими</w:t>
      </w:r>
      <w:r w:rsidR="006C52FE">
        <w:rPr>
          <w:sz w:val="28"/>
        </w:rPr>
        <w:t xml:space="preserve"> </w:t>
      </w:r>
      <w:r w:rsidRPr="006C52FE">
        <w:rPr>
          <w:sz w:val="28"/>
        </w:rPr>
        <w:t>изделиями, транспортом, а также за осуществлением подготовки производства новых видов изделий, осуществляет руководство разработкой производственных планов и календарных графиков выпуска продукции по предприятию и его подразделениям,</w:t>
      </w:r>
      <w:r w:rsidR="006C52FE">
        <w:rPr>
          <w:sz w:val="28"/>
        </w:rPr>
        <w:t xml:space="preserve"> </w:t>
      </w:r>
      <w:r w:rsidRPr="006C52FE">
        <w:rPr>
          <w:sz w:val="28"/>
        </w:rPr>
        <w:t>их корректировкой</w:t>
      </w:r>
      <w:r w:rsidR="006C52FE">
        <w:rPr>
          <w:sz w:val="28"/>
        </w:rPr>
        <w:t xml:space="preserve"> </w:t>
      </w:r>
      <w:r w:rsidRPr="006C52FE">
        <w:rPr>
          <w:sz w:val="28"/>
        </w:rPr>
        <w:t>в</w:t>
      </w:r>
      <w:r w:rsidR="006C52FE">
        <w:rPr>
          <w:sz w:val="28"/>
        </w:rPr>
        <w:t xml:space="preserve"> </w:t>
      </w:r>
      <w:r w:rsidRPr="006C52FE">
        <w:rPr>
          <w:sz w:val="28"/>
        </w:rPr>
        <w:t>течение</w:t>
      </w:r>
      <w:r w:rsidR="006C52FE">
        <w:rPr>
          <w:sz w:val="28"/>
        </w:rPr>
        <w:t xml:space="preserve"> </w:t>
      </w:r>
      <w:r w:rsidRPr="006C52FE">
        <w:rPr>
          <w:sz w:val="28"/>
        </w:rPr>
        <w:t>планируемого</w:t>
      </w:r>
      <w:r w:rsidR="006C52FE">
        <w:rPr>
          <w:sz w:val="28"/>
        </w:rPr>
        <w:t xml:space="preserve"> </w:t>
      </w:r>
      <w:r w:rsidRPr="006C52FE">
        <w:rPr>
          <w:sz w:val="28"/>
        </w:rPr>
        <w:t>периода,</w:t>
      </w:r>
      <w:r w:rsidR="006C52FE">
        <w:rPr>
          <w:sz w:val="28"/>
        </w:rPr>
        <w:t xml:space="preserve"> </w:t>
      </w:r>
      <w:r w:rsidRPr="006C52FE">
        <w:rPr>
          <w:sz w:val="28"/>
        </w:rPr>
        <w:t>разработкой</w:t>
      </w:r>
      <w:r w:rsidR="006C52FE">
        <w:rPr>
          <w:sz w:val="28"/>
        </w:rPr>
        <w:t xml:space="preserve"> </w:t>
      </w:r>
      <w:r w:rsidRPr="006C52FE">
        <w:rPr>
          <w:sz w:val="28"/>
        </w:rPr>
        <w:t>и</w:t>
      </w:r>
      <w:r w:rsidR="006C52FE">
        <w:rPr>
          <w:sz w:val="28"/>
        </w:rPr>
        <w:t xml:space="preserve"> </w:t>
      </w:r>
      <w:r w:rsidRPr="006C52FE">
        <w:rPr>
          <w:sz w:val="28"/>
        </w:rPr>
        <w:t>внедрением календарно-плановых нормативов для оперативного планирования производства.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Начальник производства руководит следующими отделами: производственно-диспетчерский отдел, заготовительный участок, механический цех, сборочный цех.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Заместитель генерального директора по общим вопросам руководит материально-техническим снабжением, определением рынков сбыта продукции, хозяйственным обеспечением, общезаводским транспортом.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Заместителю генерального директора по общим вопросам подчинены следующие отделы: отдел МТС и комплектации, транспортный участок, отдел маркетинга и сбыта, склад готовой продукции.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Главный экономист руководит планово-экономическим отделом, главный бухгалтер – отделом бухгалтерского учета и отчетности. Главный экономист выполняет функции координации и совершенствования работы экономических служб, руководит технико-экономическим планированием, анализирует ход выполнения производственной программы. Бухгалтерия ведет документальный учет производственно-хозяйственной деятельности предприятия.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Заместитель генерального директора по идеологической и социальной работе отвечает за набор кадров рабочих и служащих, их учебу и подготовку, обеспечивает координацию и руководство работой подразделений жилищно-коммунальных, медицинских, культурных и спортивно-оздоровительных подразделений. В ведении заместителя генерального директора по идеологической и социальной работе находятся следующие подразделения: бюро кадров, Штаб гражданской обороны, общежитие, административно-хозяйственный отдел, здравпункт, столовая.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</w:rPr>
      </w:pPr>
      <w:r w:rsidRPr="006C52FE">
        <w:rPr>
          <w:sz w:val="28"/>
        </w:rPr>
        <w:t xml:space="preserve">Организационно-штатная структура предприятия включает 23 подразделение и рассчитана на численность 295 человек. </w:t>
      </w: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Достоинства и недостатки линейно-функциональной структуры представлены в таблице 1.</w:t>
      </w:r>
    </w:p>
    <w:p w:rsidR="00573984" w:rsidRPr="006C52FE" w:rsidRDefault="006C52FE" w:rsidP="006C52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73984" w:rsidRPr="006C52FE">
        <w:rPr>
          <w:sz w:val="28"/>
          <w:szCs w:val="28"/>
        </w:rPr>
        <w:t>Таблица 1 - Сильные и слабые стороны организационной структуры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573984" w:rsidRPr="006C52FE">
        <w:tc>
          <w:tcPr>
            <w:tcW w:w="4785" w:type="dxa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Сильные стороны</w:t>
            </w:r>
          </w:p>
        </w:tc>
        <w:tc>
          <w:tcPr>
            <w:tcW w:w="4785" w:type="dxa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Слабые стороны</w:t>
            </w:r>
          </w:p>
        </w:tc>
      </w:tr>
      <w:tr w:rsidR="00573984" w:rsidRPr="006C52FE">
        <w:tc>
          <w:tcPr>
            <w:tcW w:w="4785" w:type="dxa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1</w:t>
            </w:r>
          </w:p>
        </w:tc>
        <w:tc>
          <w:tcPr>
            <w:tcW w:w="4785" w:type="dxa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2</w:t>
            </w:r>
          </w:p>
        </w:tc>
      </w:tr>
      <w:tr w:rsidR="00573984" w:rsidRPr="006C52FE">
        <w:trPr>
          <w:trHeight w:val="1044"/>
        </w:trPr>
        <w:tc>
          <w:tcPr>
            <w:tcW w:w="4785" w:type="dxa"/>
            <w:vAlign w:val="center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Функциональные подразделения помогают решать возникающие в ходе деятельности проблемы высшему руководству</w:t>
            </w:r>
            <w:r w:rsidR="006C52FE" w:rsidRPr="006C52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5" w:type="dxa"/>
            <w:vAlign w:val="center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 xml:space="preserve">Каждый отдел в определенной мере заинтересован в достижении своих целей, а не общей цели всего предприятия </w:t>
            </w:r>
          </w:p>
        </w:tc>
      </w:tr>
      <w:tr w:rsidR="00573984" w:rsidRPr="006C52FE">
        <w:tc>
          <w:tcPr>
            <w:tcW w:w="4785" w:type="dxa"/>
            <w:vAlign w:val="center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Учитывает особенности производственного процесса</w:t>
            </w:r>
          </w:p>
        </w:tc>
        <w:tc>
          <w:tcPr>
            <w:tcW w:w="4785" w:type="dxa"/>
            <w:vAlign w:val="center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 xml:space="preserve">На практике не всегда наблюдаются взаимосвязи и взаимодействия на горизонтальном уровне между производственными и функциональными подразделениями, а также между функциональными подразделениями </w:t>
            </w:r>
          </w:p>
        </w:tc>
      </w:tr>
      <w:tr w:rsidR="00573984" w:rsidRPr="006C52FE">
        <w:tc>
          <w:tcPr>
            <w:tcW w:w="4785" w:type="dxa"/>
            <w:vAlign w:val="center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Каждый работник подчинен только одному руководителю (соблюдается принцип единоначалия)</w:t>
            </w:r>
          </w:p>
        </w:tc>
        <w:tc>
          <w:tcPr>
            <w:tcW w:w="4785" w:type="dxa"/>
            <w:vAlign w:val="center"/>
          </w:tcPr>
          <w:p w:rsidR="00573984" w:rsidRPr="006C52FE" w:rsidRDefault="00573984" w:rsidP="006C52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52FE">
              <w:rPr>
                <w:sz w:val="20"/>
                <w:szCs w:val="20"/>
              </w:rPr>
              <w:t>Дублирование функций некоторыми функциональными подразделениями, невыполнение заявленных функций</w:t>
            </w:r>
            <w:r w:rsidR="006C52FE" w:rsidRPr="006C52FE">
              <w:rPr>
                <w:sz w:val="20"/>
                <w:szCs w:val="20"/>
              </w:rPr>
              <w:t xml:space="preserve"> </w:t>
            </w:r>
          </w:p>
        </w:tc>
      </w:tr>
    </w:tbl>
    <w:p w:rsidR="006C52FE" w:rsidRDefault="006C52FE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spacing w:line="360" w:lineRule="auto"/>
        <w:ind w:firstLine="709"/>
        <w:jc w:val="both"/>
        <w:rPr>
          <w:sz w:val="28"/>
          <w:szCs w:val="28"/>
        </w:rPr>
      </w:pPr>
      <w:r w:rsidRPr="006C52FE">
        <w:rPr>
          <w:sz w:val="28"/>
          <w:szCs w:val="28"/>
        </w:rPr>
        <w:t xml:space="preserve">Права и обязанности в управлении предприятием распределены четко, и зафиксированы в должностных инструкциях и других документах, регулирующих данную сферу. Практики уменьшения управленческих издержек на предприятии нет. Жесткая иерархия позволяет организовать эффективное взаимодействие различных структурных подразделений по достижению целей развития предприятия. </w:t>
      </w:r>
    </w:p>
    <w:p w:rsidR="004967EB" w:rsidRPr="006C52FE" w:rsidRDefault="00573984" w:rsidP="006C52F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2FE">
        <w:rPr>
          <w:sz w:val="28"/>
        </w:rPr>
        <w:br w:type="page"/>
      </w:r>
      <w:r w:rsidRPr="006C52FE">
        <w:rPr>
          <w:b/>
          <w:sz w:val="28"/>
          <w:szCs w:val="28"/>
        </w:rPr>
        <w:t>ЛИТЕРАТУРА</w:t>
      </w:r>
    </w:p>
    <w:p w:rsidR="006C52FE" w:rsidRPr="006C52FE" w:rsidRDefault="006C52FE" w:rsidP="006C52FE">
      <w:pPr>
        <w:spacing w:line="360" w:lineRule="auto"/>
        <w:ind w:firstLine="709"/>
        <w:jc w:val="both"/>
        <w:rPr>
          <w:sz w:val="28"/>
          <w:szCs w:val="28"/>
        </w:rPr>
      </w:pPr>
    </w:p>
    <w:p w:rsidR="00573984" w:rsidRPr="006C52FE" w:rsidRDefault="00573984" w:rsidP="006C52FE">
      <w:pPr>
        <w:widowControl w:val="0"/>
        <w:numPr>
          <w:ilvl w:val="2"/>
          <w:numId w:val="3"/>
        </w:numPr>
        <w:tabs>
          <w:tab w:val="clear" w:pos="922"/>
          <w:tab w:val="num" w:pos="0"/>
          <w:tab w:val="left" w:pos="993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Управление персоналом: журнал – М. : 2008, №1, №2, №3, №4, №5, №6.</w:t>
      </w:r>
    </w:p>
    <w:p w:rsidR="00573984" w:rsidRPr="006C52FE" w:rsidRDefault="00573984" w:rsidP="006C52FE">
      <w:pPr>
        <w:widowControl w:val="0"/>
        <w:numPr>
          <w:ilvl w:val="2"/>
          <w:numId w:val="3"/>
        </w:numPr>
        <w:tabs>
          <w:tab w:val="clear" w:pos="922"/>
          <w:tab w:val="num" w:pos="0"/>
          <w:tab w:val="left" w:pos="993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Управление человеческими ресурсами: журнал – М. : 2007, №1,</w:t>
      </w:r>
      <w:r w:rsidR="006C52FE">
        <w:rPr>
          <w:sz w:val="28"/>
          <w:szCs w:val="28"/>
        </w:rPr>
        <w:t xml:space="preserve"> </w:t>
      </w:r>
      <w:r w:rsidRPr="006C52FE">
        <w:rPr>
          <w:sz w:val="28"/>
          <w:szCs w:val="28"/>
        </w:rPr>
        <w:t>№2, №3.</w:t>
      </w:r>
    </w:p>
    <w:p w:rsidR="00573984" w:rsidRPr="006C52FE" w:rsidRDefault="00573984" w:rsidP="006C52FE">
      <w:pPr>
        <w:widowControl w:val="0"/>
        <w:numPr>
          <w:ilvl w:val="2"/>
          <w:numId w:val="3"/>
        </w:numPr>
        <w:tabs>
          <w:tab w:val="clear" w:pos="922"/>
          <w:tab w:val="num" w:pos="0"/>
          <w:tab w:val="left" w:pos="993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C52FE">
        <w:rPr>
          <w:sz w:val="28"/>
          <w:szCs w:val="28"/>
        </w:rPr>
        <w:t xml:space="preserve">Устав </w:t>
      </w:r>
      <w:r w:rsidRPr="006C52FE">
        <w:rPr>
          <w:sz w:val="28"/>
        </w:rPr>
        <w:t>УП «ПСЗ ОПТРОН»</w:t>
      </w:r>
      <w:r w:rsidRPr="006C52FE">
        <w:rPr>
          <w:sz w:val="28"/>
          <w:szCs w:val="28"/>
        </w:rPr>
        <w:t>.</w:t>
      </w:r>
    </w:p>
    <w:p w:rsidR="00573984" w:rsidRPr="006C52FE" w:rsidRDefault="00573984" w:rsidP="006C52FE">
      <w:pPr>
        <w:widowControl w:val="0"/>
        <w:numPr>
          <w:ilvl w:val="2"/>
          <w:numId w:val="3"/>
        </w:numPr>
        <w:tabs>
          <w:tab w:val="clear" w:pos="922"/>
          <w:tab w:val="num" w:pos="0"/>
          <w:tab w:val="left" w:pos="993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C52FE">
        <w:rPr>
          <w:sz w:val="28"/>
          <w:szCs w:val="28"/>
        </w:rPr>
        <w:t>Экономика и организация труда : учебник для студентов высших учебных заведений / С. Н. Лебедева [и др.] ; под ред. Л. В. Мисникова. – Минск: ООО «Мисанта», 2005.</w:t>
      </w:r>
      <w:bookmarkStart w:id="52" w:name="_GoBack"/>
      <w:bookmarkEnd w:id="52"/>
    </w:p>
    <w:sectPr w:rsidR="00573984" w:rsidRPr="006C52FE" w:rsidSect="006C52F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30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787C7783"/>
    <w:multiLevelType w:val="singleLevel"/>
    <w:tmpl w:val="F566F74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78B45738"/>
    <w:multiLevelType w:val="hybridMultilevel"/>
    <w:tmpl w:val="82742744"/>
    <w:lvl w:ilvl="0" w:tplc="7DEE838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9B89742">
      <w:start w:val="3"/>
      <w:numFmt w:val="decimal"/>
      <w:lvlText w:val="%2."/>
      <w:legacy w:legacy="1" w:legacySpace="1778" w:legacyIndent="360"/>
      <w:lvlJc w:val="left"/>
      <w:rPr>
        <w:rFonts w:ascii="Times New Roman CYR" w:hAnsi="Times New Roman CYR" w:cs="Times New Roman CYR" w:hint="default"/>
      </w:rPr>
    </w:lvl>
    <w:lvl w:ilvl="2" w:tplc="AE628BEC">
      <w:start w:val="1"/>
      <w:numFmt w:val="decimal"/>
      <w:lvlText w:val="%3"/>
      <w:lvlJc w:val="left"/>
      <w:pPr>
        <w:tabs>
          <w:tab w:val="num" w:pos="922"/>
        </w:tabs>
        <w:ind w:left="922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42"/>
        </w:tabs>
        <w:ind w:left="1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62"/>
        </w:tabs>
        <w:ind w:left="23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82"/>
        </w:tabs>
        <w:ind w:left="3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02"/>
        </w:tabs>
        <w:ind w:left="3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22"/>
        </w:tabs>
        <w:ind w:left="45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42"/>
        </w:tabs>
        <w:ind w:left="52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984"/>
    <w:rsid w:val="003347C7"/>
    <w:rsid w:val="004967EB"/>
    <w:rsid w:val="00573984"/>
    <w:rsid w:val="005B4592"/>
    <w:rsid w:val="006C52FE"/>
    <w:rsid w:val="006F0DE7"/>
    <w:rsid w:val="00725100"/>
    <w:rsid w:val="007B7732"/>
    <w:rsid w:val="00CC4D95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2A9EF3-EFC6-4E28-B779-18570530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98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39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rsid w:val="00573984"/>
    <w:pPr>
      <w:widowControl w:val="0"/>
      <w:ind w:firstLine="426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rsid w:val="00573984"/>
    <w:pPr>
      <w:widowControl w:val="0"/>
    </w:pPr>
    <w:rPr>
      <w:rFonts w:ascii="Arial" w:hAnsi="Arial"/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573984"/>
    <w:pPr>
      <w:spacing w:line="360" w:lineRule="auto"/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573984"/>
    <w:pPr>
      <w:spacing w:after="120" w:line="480" w:lineRule="auto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2014-03-01T10:00:00Z</dcterms:created>
  <dcterms:modified xsi:type="dcterms:W3CDTF">2014-03-01T10:00:00Z</dcterms:modified>
</cp:coreProperties>
</file>