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2F68" w:rsidRPr="00F87AB7" w:rsidRDefault="00312F68" w:rsidP="00312F68">
      <w:pPr>
        <w:suppressAutoHyphens/>
        <w:autoSpaceDE w:val="0"/>
        <w:autoSpaceDN w:val="0"/>
        <w:adjustRightInd w:val="0"/>
        <w:spacing w:after="0" w:line="360" w:lineRule="auto"/>
        <w:jc w:val="center"/>
        <w:rPr>
          <w:rFonts w:ascii="Times New Roman" w:hAnsi="Times New Roman"/>
          <w:b/>
          <w:bCs/>
          <w:color w:val="000000"/>
          <w:sz w:val="28"/>
          <w:szCs w:val="28"/>
          <w:lang w:eastAsia="ru-RU"/>
        </w:rPr>
      </w:pPr>
    </w:p>
    <w:p w:rsidR="00312F68" w:rsidRPr="00F87AB7" w:rsidRDefault="00312F68" w:rsidP="00312F68">
      <w:pPr>
        <w:suppressAutoHyphens/>
        <w:autoSpaceDE w:val="0"/>
        <w:autoSpaceDN w:val="0"/>
        <w:adjustRightInd w:val="0"/>
        <w:spacing w:after="0" w:line="360" w:lineRule="auto"/>
        <w:jc w:val="center"/>
        <w:rPr>
          <w:rFonts w:ascii="Times New Roman" w:hAnsi="Times New Roman"/>
          <w:b/>
          <w:bCs/>
          <w:color w:val="000000"/>
          <w:sz w:val="28"/>
          <w:szCs w:val="28"/>
          <w:lang w:eastAsia="ru-RU"/>
        </w:rPr>
      </w:pPr>
    </w:p>
    <w:p w:rsidR="00312F68" w:rsidRPr="00F87AB7" w:rsidRDefault="00312F68" w:rsidP="00312F68">
      <w:pPr>
        <w:suppressAutoHyphens/>
        <w:autoSpaceDE w:val="0"/>
        <w:autoSpaceDN w:val="0"/>
        <w:adjustRightInd w:val="0"/>
        <w:spacing w:after="0" w:line="360" w:lineRule="auto"/>
        <w:jc w:val="center"/>
        <w:rPr>
          <w:rFonts w:ascii="Times New Roman" w:hAnsi="Times New Roman"/>
          <w:b/>
          <w:bCs/>
          <w:color w:val="000000"/>
          <w:sz w:val="28"/>
          <w:szCs w:val="28"/>
          <w:lang w:eastAsia="ru-RU"/>
        </w:rPr>
      </w:pPr>
    </w:p>
    <w:p w:rsidR="00312F68" w:rsidRPr="00F87AB7" w:rsidRDefault="00312F68" w:rsidP="00312F68">
      <w:pPr>
        <w:suppressAutoHyphens/>
        <w:autoSpaceDE w:val="0"/>
        <w:autoSpaceDN w:val="0"/>
        <w:adjustRightInd w:val="0"/>
        <w:spacing w:after="0" w:line="360" w:lineRule="auto"/>
        <w:jc w:val="center"/>
        <w:rPr>
          <w:rFonts w:ascii="Times New Roman" w:hAnsi="Times New Roman"/>
          <w:b/>
          <w:bCs/>
          <w:color w:val="000000"/>
          <w:sz w:val="28"/>
          <w:szCs w:val="28"/>
          <w:lang w:eastAsia="ru-RU"/>
        </w:rPr>
      </w:pPr>
    </w:p>
    <w:p w:rsidR="00312F68" w:rsidRPr="00F87AB7" w:rsidRDefault="00312F68" w:rsidP="00312F68">
      <w:pPr>
        <w:suppressAutoHyphens/>
        <w:autoSpaceDE w:val="0"/>
        <w:autoSpaceDN w:val="0"/>
        <w:adjustRightInd w:val="0"/>
        <w:spacing w:after="0" w:line="360" w:lineRule="auto"/>
        <w:jc w:val="center"/>
        <w:rPr>
          <w:rFonts w:ascii="Times New Roman" w:hAnsi="Times New Roman"/>
          <w:b/>
          <w:bCs/>
          <w:color w:val="000000"/>
          <w:sz w:val="28"/>
          <w:szCs w:val="28"/>
          <w:lang w:eastAsia="ru-RU"/>
        </w:rPr>
      </w:pPr>
    </w:p>
    <w:p w:rsidR="00312F68" w:rsidRPr="00F87AB7" w:rsidRDefault="00312F68" w:rsidP="00312F68">
      <w:pPr>
        <w:suppressAutoHyphens/>
        <w:autoSpaceDE w:val="0"/>
        <w:autoSpaceDN w:val="0"/>
        <w:adjustRightInd w:val="0"/>
        <w:spacing w:after="0" w:line="360" w:lineRule="auto"/>
        <w:jc w:val="center"/>
        <w:rPr>
          <w:rFonts w:ascii="Times New Roman" w:hAnsi="Times New Roman"/>
          <w:b/>
          <w:bCs/>
          <w:color w:val="000000"/>
          <w:sz w:val="28"/>
          <w:szCs w:val="28"/>
          <w:lang w:eastAsia="ru-RU"/>
        </w:rPr>
      </w:pPr>
    </w:p>
    <w:p w:rsidR="00312F68" w:rsidRPr="00F87AB7" w:rsidRDefault="00312F68" w:rsidP="00312F68">
      <w:pPr>
        <w:suppressAutoHyphens/>
        <w:autoSpaceDE w:val="0"/>
        <w:autoSpaceDN w:val="0"/>
        <w:adjustRightInd w:val="0"/>
        <w:spacing w:after="0" w:line="360" w:lineRule="auto"/>
        <w:jc w:val="center"/>
        <w:rPr>
          <w:rFonts w:ascii="Times New Roman" w:hAnsi="Times New Roman"/>
          <w:b/>
          <w:bCs/>
          <w:color w:val="000000"/>
          <w:sz w:val="28"/>
          <w:szCs w:val="28"/>
          <w:lang w:eastAsia="ru-RU"/>
        </w:rPr>
      </w:pPr>
    </w:p>
    <w:p w:rsidR="00312F68" w:rsidRPr="00F87AB7" w:rsidRDefault="00312F68" w:rsidP="00312F68">
      <w:pPr>
        <w:suppressAutoHyphens/>
        <w:autoSpaceDE w:val="0"/>
        <w:autoSpaceDN w:val="0"/>
        <w:adjustRightInd w:val="0"/>
        <w:spacing w:after="0" w:line="360" w:lineRule="auto"/>
        <w:jc w:val="center"/>
        <w:rPr>
          <w:rFonts w:ascii="Times New Roman" w:hAnsi="Times New Roman"/>
          <w:b/>
          <w:bCs/>
          <w:color w:val="000000"/>
          <w:sz w:val="28"/>
          <w:szCs w:val="28"/>
          <w:lang w:eastAsia="ru-RU"/>
        </w:rPr>
      </w:pPr>
    </w:p>
    <w:p w:rsidR="00312F68" w:rsidRPr="00F87AB7" w:rsidRDefault="00312F68" w:rsidP="00312F68">
      <w:pPr>
        <w:suppressAutoHyphens/>
        <w:autoSpaceDE w:val="0"/>
        <w:autoSpaceDN w:val="0"/>
        <w:adjustRightInd w:val="0"/>
        <w:spacing w:after="0" w:line="360" w:lineRule="auto"/>
        <w:jc w:val="center"/>
        <w:rPr>
          <w:rFonts w:ascii="Times New Roman" w:hAnsi="Times New Roman"/>
          <w:b/>
          <w:bCs/>
          <w:color w:val="000000"/>
          <w:sz w:val="28"/>
          <w:szCs w:val="28"/>
          <w:lang w:eastAsia="ru-RU"/>
        </w:rPr>
      </w:pPr>
    </w:p>
    <w:p w:rsidR="00312F68" w:rsidRPr="00F87AB7" w:rsidRDefault="00312F68" w:rsidP="00312F68">
      <w:pPr>
        <w:suppressAutoHyphens/>
        <w:autoSpaceDE w:val="0"/>
        <w:autoSpaceDN w:val="0"/>
        <w:adjustRightInd w:val="0"/>
        <w:spacing w:after="0" w:line="360" w:lineRule="auto"/>
        <w:jc w:val="center"/>
        <w:rPr>
          <w:rFonts w:ascii="Times New Roman" w:hAnsi="Times New Roman"/>
          <w:b/>
          <w:bCs/>
          <w:color w:val="000000"/>
          <w:sz w:val="28"/>
          <w:szCs w:val="28"/>
          <w:lang w:eastAsia="ru-RU"/>
        </w:rPr>
      </w:pPr>
    </w:p>
    <w:p w:rsidR="00312F68" w:rsidRPr="00F87AB7" w:rsidRDefault="00312F68" w:rsidP="00312F68">
      <w:pPr>
        <w:suppressAutoHyphens/>
        <w:autoSpaceDE w:val="0"/>
        <w:autoSpaceDN w:val="0"/>
        <w:adjustRightInd w:val="0"/>
        <w:spacing w:after="0" w:line="360" w:lineRule="auto"/>
        <w:jc w:val="center"/>
        <w:rPr>
          <w:rFonts w:ascii="Times New Roman" w:hAnsi="Times New Roman"/>
          <w:b/>
          <w:bCs/>
          <w:color w:val="000000"/>
          <w:sz w:val="28"/>
          <w:szCs w:val="28"/>
          <w:lang w:eastAsia="ru-RU"/>
        </w:rPr>
      </w:pPr>
    </w:p>
    <w:p w:rsidR="00312F68" w:rsidRPr="00F87AB7" w:rsidRDefault="00312F68" w:rsidP="00312F68">
      <w:pPr>
        <w:suppressAutoHyphens/>
        <w:autoSpaceDE w:val="0"/>
        <w:autoSpaceDN w:val="0"/>
        <w:adjustRightInd w:val="0"/>
        <w:spacing w:after="0" w:line="360" w:lineRule="auto"/>
        <w:jc w:val="center"/>
        <w:rPr>
          <w:rFonts w:ascii="Times New Roman" w:hAnsi="Times New Roman"/>
          <w:b/>
          <w:bCs/>
          <w:color w:val="000000"/>
          <w:sz w:val="28"/>
          <w:szCs w:val="28"/>
          <w:lang w:eastAsia="ru-RU"/>
        </w:rPr>
      </w:pPr>
    </w:p>
    <w:p w:rsidR="00312F68" w:rsidRPr="00F87AB7" w:rsidRDefault="00312F68" w:rsidP="00312F68">
      <w:pPr>
        <w:suppressAutoHyphens/>
        <w:autoSpaceDE w:val="0"/>
        <w:autoSpaceDN w:val="0"/>
        <w:adjustRightInd w:val="0"/>
        <w:spacing w:after="0" w:line="360" w:lineRule="auto"/>
        <w:jc w:val="center"/>
        <w:rPr>
          <w:rFonts w:ascii="Times New Roman" w:hAnsi="Times New Roman"/>
          <w:b/>
          <w:bCs/>
          <w:color w:val="000000"/>
          <w:sz w:val="28"/>
          <w:szCs w:val="28"/>
          <w:lang w:eastAsia="ru-RU"/>
        </w:rPr>
      </w:pPr>
    </w:p>
    <w:p w:rsidR="00312F68" w:rsidRPr="00F87AB7" w:rsidRDefault="00312F68" w:rsidP="00312F68">
      <w:pPr>
        <w:suppressAutoHyphens/>
        <w:autoSpaceDE w:val="0"/>
        <w:autoSpaceDN w:val="0"/>
        <w:adjustRightInd w:val="0"/>
        <w:spacing w:after="0" w:line="360" w:lineRule="auto"/>
        <w:jc w:val="center"/>
        <w:rPr>
          <w:rFonts w:ascii="Times New Roman" w:hAnsi="Times New Roman"/>
          <w:b/>
          <w:bCs/>
          <w:color w:val="000000"/>
          <w:sz w:val="28"/>
          <w:szCs w:val="28"/>
          <w:lang w:eastAsia="ru-RU"/>
        </w:rPr>
      </w:pPr>
    </w:p>
    <w:p w:rsidR="00312F68" w:rsidRPr="00F87AB7" w:rsidRDefault="00312F68" w:rsidP="00312F68">
      <w:pPr>
        <w:suppressAutoHyphens/>
        <w:autoSpaceDE w:val="0"/>
        <w:autoSpaceDN w:val="0"/>
        <w:adjustRightInd w:val="0"/>
        <w:spacing w:after="0" w:line="360" w:lineRule="auto"/>
        <w:jc w:val="center"/>
        <w:rPr>
          <w:rFonts w:ascii="Times New Roman" w:hAnsi="Times New Roman"/>
          <w:b/>
          <w:bCs/>
          <w:color w:val="000000"/>
          <w:sz w:val="28"/>
          <w:szCs w:val="28"/>
          <w:lang w:eastAsia="ru-RU"/>
        </w:rPr>
      </w:pPr>
    </w:p>
    <w:p w:rsidR="004B5E12" w:rsidRPr="00F87AB7" w:rsidRDefault="007E497E" w:rsidP="00312F68">
      <w:pPr>
        <w:suppressAutoHyphens/>
        <w:autoSpaceDE w:val="0"/>
        <w:autoSpaceDN w:val="0"/>
        <w:adjustRightInd w:val="0"/>
        <w:spacing w:after="0" w:line="360" w:lineRule="auto"/>
        <w:jc w:val="center"/>
        <w:rPr>
          <w:rFonts w:ascii="Times New Roman" w:hAnsi="Times New Roman"/>
          <w:b/>
          <w:bCs/>
          <w:color w:val="000000"/>
          <w:sz w:val="28"/>
          <w:szCs w:val="28"/>
          <w:lang w:eastAsia="ru-RU"/>
        </w:rPr>
      </w:pPr>
      <w:r w:rsidRPr="00F87AB7">
        <w:rPr>
          <w:rFonts w:ascii="Times New Roman" w:hAnsi="Times New Roman"/>
          <w:b/>
          <w:bCs/>
          <w:color w:val="000000"/>
          <w:sz w:val="28"/>
          <w:szCs w:val="28"/>
          <w:lang w:eastAsia="ru-RU"/>
        </w:rPr>
        <w:t>Реферат: Международное сотрудничество в поддержании безопасности и стабильности в Средиземноморье</w:t>
      </w:r>
    </w:p>
    <w:p w:rsidR="004B5E12" w:rsidRPr="00F87AB7" w:rsidRDefault="004B5E12" w:rsidP="00312F68">
      <w:pPr>
        <w:suppressAutoHyphens/>
        <w:autoSpaceDE w:val="0"/>
        <w:autoSpaceDN w:val="0"/>
        <w:adjustRightInd w:val="0"/>
        <w:spacing w:after="0" w:line="360" w:lineRule="auto"/>
        <w:ind w:firstLine="709"/>
        <w:jc w:val="both"/>
        <w:rPr>
          <w:rFonts w:ascii="Times New Roman" w:hAnsi="Times New Roman"/>
          <w:color w:val="000000"/>
          <w:sz w:val="28"/>
          <w:szCs w:val="28"/>
          <w:lang w:eastAsia="ru-RU"/>
        </w:rPr>
      </w:pPr>
    </w:p>
    <w:p w:rsidR="004B5E12" w:rsidRPr="00F87AB7" w:rsidRDefault="00312F68" w:rsidP="00312F68">
      <w:pPr>
        <w:suppressAutoHyphens/>
        <w:spacing w:after="0" w:line="360" w:lineRule="auto"/>
        <w:ind w:firstLine="709"/>
        <w:jc w:val="both"/>
        <w:outlineLvl w:val="6"/>
        <w:rPr>
          <w:rFonts w:ascii="Times New Roman" w:hAnsi="Times New Roman"/>
          <w:color w:val="000000"/>
          <w:sz w:val="28"/>
          <w:szCs w:val="28"/>
          <w:lang w:eastAsia="ru-RU"/>
        </w:rPr>
      </w:pPr>
      <w:r w:rsidRPr="00F87AB7">
        <w:rPr>
          <w:rFonts w:ascii="Times New Roman" w:hAnsi="Times New Roman"/>
          <w:color w:val="000000"/>
          <w:sz w:val="28"/>
          <w:szCs w:val="28"/>
          <w:lang w:eastAsia="ru-RU"/>
        </w:rPr>
        <w:br w:type="page"/>
      </w:r>
      <w:r w:rsidR="004B5E12" w:rsidRPr="00F87AB7">
        <w:rPr>
          <w:rFonts w:ascii="Times New Roman" w:hAnsi="Times New Roman"/>
          <w:color w:val="000000"/>
          <w:sz w:val="28"/>
          <w:szCs w:val="28"/>
          <w:lang w:eastAsia="ru-RU"/>
        </w:rPr>
        <w:t>Вопросы, относящиеся к безопасности и сотрудничеству в Средиземноморье, в виде программного документа о намерениях государств были сформулированы в Заключительном акте, подписанном 1 августа 1975 года в Хельсинки. Отмечалось, что пути решения этих проблем следует рассматривать в более широком контексте, исходя из складывающейся ситуации в мире в целом, в других районах мира, прилегающих к Средиземноморью, а также, естественно, с учетом развития обстановки в самом регионе. При этом важно принимать во внимание интересы безопасности всех стран, которые затрагиваются развитием ситуации в этом районе.</w:t>
      </w:r>
    </w:p>
    <w:p w:rsidR="004B5E12" w:rsidRPr="00F87AB7" w:rsidRDefault="004B5E12" w:rsidP="00312F68">
      <w:pPr>
        <w:suppressAutoHyphens/>
        <w:autoSpaceDE w:val="0"/>
        <w:autoSpaceDN w:val="0"/>
        <w:adjustRightInd w:val="0"/>
        <w:spacing w:after="0" w:line="360" w:lineRule="auto"/>
        <w:ind w:firstLine="709"/>
        <w:jc w:val="both"/>
        <w:rPr>
          <w:rFonts w:ascii="Times New Roman" w:hAnsi="Times New Roman"/>
          <w:color w:val="000000"/>
          <w:sz w:val="28"/>
          <w:szCs w:val="28"/>
          <w:lang w:eastAsia="ru-RU"/>
        </w:rPr>
      </w:pPr>
      <w:r w:rsidRPr="00F87AB7">
        <w:rPr>
          <w:rFonts w:ascii="Times New Roman" w:hAnsi="Times New Roman"/>
          <w:color w:val="000000"/>
          <w:sz w:val="28"/>
          <w:szCs w:val="28"/>
          <w:lang w:eastAsia="ru-RU"/>
        </w:rPr>
        <w:t>Исторический опыт подсказывает, что при нахождении путей и методов решения средиземноморской проблемы, как и других международных проблем, необходимо придерживаться системно-комплексного и конкретно-исторического подхода к каждому аспекту безопасности и сотрудничества в регионе. Имея в виду многолинейность и неравномерность развития мира и его составных частей, целесообразно соблюдать нормы плюралистического подхода, предпринимать новые односторонние, двусторонние и многосторонние усилия заинтересованных государств для более или менее синхронного решения вопросов безопасности и сотрудничества в Средиземноморье не только по частям, как это происходит в настоящее время, но и в целом путем созыва международных конференций.</w:t>
      </w:r>
    </w:p>
    <w:p w:rsidR="004B5E12" w:rsidRPr="00F87AB7" w:rsidRDefault="004B5E12" w:rsidP="00312F68">
      <w:pPr>
        <w:suppressAutoHyphens/>
        <w:autoSpaceDE w:val="0"/>
        <w:autoSpaceDN w:val="0"/>
        <w:adjustRightInd w:val="0"/>
        <w:spacing w:after="0" w:line="360" w:lineRule="auto"/>
        <w:ind w:firstLine="709"/>
        <w:jc w:val="both"/>
        <w:rPr>
          <w:rFonts w:ascii="Times New Roman" w:hAnsi="Times New Roman"/>
          <w:color w:val="000000"/>
          <w:sz w:val="28"/>
          <w:szCs w:val="28"/>
          <w:lang w:eastAsia="ru-RU"/>
        </w:rPr>
      </w:pPr>
      <w:r w:rsidRPr="00F87AB7">
        <w:rPr>
          <w:rFonts w:ascii="Times New Roman" w:hAnsi="Times New Roman"/>
          <w:color w:val="000000"/>
          <w:sz w:val="28"/>
          <w:szCs w:val="28"/>
          <w:lang w:eastAsia="ru-RU"/>
        </w:rPr>
        <w:t>Через Средиземноморье проходят морские пути, связывающие континенты мира. В силу такого геостратегического положения этот регион представляет собой узел совпадения и переплетения глобальных, региональных и национальных интересов, в том числе и России.</w:t>
      </w:r>
    </w:p>
    <w:p w:rsidR="004B5E12" w:rsidRPr="00F87AB7" w:rsidRDefault="004B5E12" w:rsidP="00312F68">
      <w:pPr>
        <w:suppressAutoHyphens/>
        <w:autoSpaceDE w:val="0"/>
        <w:autoSpaceDN w:val="0"/>
        <w:adjustRightInd w:val="0"/>
        <w:spacing w:after="0" w:line="360" w:lineRule="auto"/>
        <w:ind w:firstLine="709"/>
        <w:jc w:val="both"/>
        <w:rPr>
          <w:rFonts w:ascii="Times New Roman" w:hAnsi="Times New Roman"/>
          <w:color w:val="000000"/>
          <w:sz w:val="28"/>
          <w:szCs w:val="28"/>
          <w:lang w:eastAsia="ru-RU"/>
        </w:rPr>
      </w:pPr>
      <w:r w:rsidRPr="00F87AB7">
        <w:rPr>
          <w:rFonts w:ascii="Times New Roman" w:hAnsi="Times New Roman"/>
          <w:color w:val="000000"/>
          <w:sz w:val="28"/>
          <w:szCs w:val="28"/>
          <w:lang w:eastAsia="ru-RU"/>
        </w:rPr>
        <w:t>В геополитическом плане этот регион представляет собой исторически меняющуюся систему международных отношений, состоящую из взаимодействия мирового сообщества через ООН с участниками «Большого Средиземноморья», в которое входят прибрежные страны северной, южной и восточной части данного региона, а также балканские, черноморские, ближневосточные государства и участники ОБСЕ, включая США. Соответственно усилия по обеспечению общей и всеобъемлющей безопасности для Средиземноморья XXI века идут по следующим основным направлениям: преодоление балканского кризиса; ближневосточное урегулирование; кипрское урегулирование; развитие евросредиземноморского партнерства между странами ЕС и Средиземноморья, начало которого было положено в ноябре 1995 года в Барселоне; рассмотрение вопросов безопасности и сотрудничества в Средиземноморье в рамках ОБСЕ и участников «группы восьмерки».</w:t>
      </w:r>
    </w:p>
    <w:p w:rsidR="004B5E12" w:rsidRPr="00F87AB7" w:rsidRDefault="004B5E12" w:rsidP="00312F68">
      <w:pPr>
        <w:suppressAutoHyphens/>
        <w:autoSpaceDE w:val="0"/>
        <w:autoSpaceDN w:val="0"/>
        <w:adjustRightInd w:val="0"/>
        <w:spacing w:after="0" w:line="360" w:lineRule="auto"/>
        <w:ind w:firstLine="709"/>
        <w:jc w:val="both"/>
        <w:rPr>
          <w:rFonts w:ascii="Times New Roman" w:hAnsi="Times New Roman"/>
          <w:color w:val="000000"/>
          <w:sz w:val="28"/>
          <w:szCs w:val="28"/>
          <w:lang w:eastAsia="ru-RU"/>
        </w:rPr>
      </w:pPr>
      <w:r w:rsidRPr="00F87AB7">
        <w:rPr>
          <w:rFonts w:ascii="Times New Roman" w:hAnsi="Times New Roman"/>
          <w:color w:val="000000"/>
          <w:sz w:val="28"/>
          <w:szCs w:val="28"/>
          <w:lang w:eastAsia="ru-RU"/>
        </w:rPr>
        <w:t>На ситуацию в Средиземноморье, как и в мире в целом, оказывает воздействие борьба двух противоположных тенденций в историческом процессе. Одна из них представлена активностью прогрессивных действующих сил, ведущих единство человеческого рода на качественно, иной, высший уровень развития, позволяющий раскрыть все его богатства и многообразие и потенциальные возможности каждого человека, на основе формирования здорового и рационального общества, его гармонии с природой, сотрудничеством цивилизаций, гуманизмом и солидарностью людей.</w:t>
      </w:r>
    </w:p>
    <w:p w:rsidR="004B5E12" w:rsidRPr="00F87AB7" w:rsidRDefault="004B5E12" w:rsidP="00312F68">
      <w:pPr>
        <w:suppressAutoHyphens/>
        <w:autoSpaceDE w:val="0"/>
        <w:autoSpaceDN w:val="0"/>
        <w:adjustRightInd w:val="0"/>
        <w:spacing w:after="0" w:line="360" w:lineRule="auto"/>
        <w:ind w:firstLine="709"/>
        <w:jc w:val="both"/>
        <w:rPr>
          <w:rFonts w:ascii="Times New Roman" w:hAnsi="Times New Roman"/>
          <w:color w:val="000000"/>
          <w:sz w:val="28"/>
          <w:szCs w:val="28"/>
          <w:lang w:eastAsia="ru-RU"/>
        </w:rPr>
      </w:pPr>
      <w:r w:rsidRPr="00F87AB7">
        <w:rPr>
          <w:rFonts w:ascii="Times New Roman" w:hAnsi="Times New Roman"/>
          <w:color w:val="000000"/>
          <w:sz w:val="28"/>
          <w:szCs w:val="28"/>
          <w:lang w:eastAsia="ru-RU"/>
        </w:rPr>
        <w:t>Другая тенденция развития, наоборот, порождается деятельностью разного рода негативных разрушительных и паразитических сил, угрожающих перерастанем планетарного кризиса современной цивилизации в катастрофу, которая может стать непреодолимой. Этими силами зла становятся воинствующий милитаризм, агрессивный национализм, религиозный фундаментализм, международный терроризм, наркобизнес и другие виды теневой экономики. Конечно, эти разрушительные силы будут разъедаться внутренними противоречиями. Но опасность состоит в том, что до своего распада они, как раковая опухоль, могут обречь общество на вымирание. Поэтому в настоящее время на первый план обеспечения безопасности выдвигается предотвращение угрозы наступления рукотворного «конца света», разработка и претворение в жизнь стратегии выживания человечества. В этом отношении приобретают особую актуальность последние исследования академика И.Моисеева «Судьба цивилизации. «Путь разума» (1998 г.) и «Быть или не быть... человечеству?» (1999 г.).</w:t>
      </w:r>
    </w:p>
    <w:p w:rsidR="004B5E12" w:rsidRPr="00F87AB7" w:rsidRDefault="004B5E12" w:rsidP="00312F68">
      <w:pPr>
        <w:suppressAutoHyphens/>
        <w:autoSpaceDE w:val="0"/>
        <w:autoSpaceDN w:val="0"/>
        <w:adjustRightInd w:val="0"/>
        <w:spacing w:after="0" w:line="360" w:lineRule="auto"/>
        <w:ind w:firstLine="709"/>
        <w:jc w:val="both"/>
        <w:rPr>
          <w:rFonts w:ascii="Times New Roman" w:hAnsi="Times New Roman"/>
          <w:color w:val="000000"/>
          <w:sz w:val="28"/>
          <w:szCs w:val="28"/>
          <w:lang w:eastAsia="ru-RU"/>
        </w:rPr>
      </w:pPr>
      <w:r w:rsidRPr="00F87AB7">
        <w:rPr>
          <w:rFonts w:ascii="Times New Roman" w:hAnsi="Times New Roman"/>
          <w:color w:val="000000"/>
          <w:sz w:val="28"/>
          <w:szCs w:val="28"/>
          <w:lang w:eastAsia="ru-RU"/>
        </w:rPr>
        <w:t>Наличие упомянутых противоположных тенденций в мире связано со спецификой самого исторического процесса, который осуществляется как единство, взаимодействие и соотношение двух форм объективного процесса: с одной стороны, развитие и функционирование закономерностей природы и общества, независимых от желания и воли человека, но которые ему необходимо познавать и использовать; с другой стороны, объективная целеполагающая деятельность человека, которая может быть рациональной, ошибочной или просто глупой и невежественной. И последние трагические события в Средиземноморье, в частности на Балканах, подтверждают это.</w:t>
      </w:r>
    </w:p>
    <w:p w:rsidR="004B5E12" w:rsidRPr="00F87AB7" w:rsidRDefault="004B5E12" w:rsidP="00312F68">
      <w:pPr>
        <w:suppressAutoHyphens/>
        <w:autoSpaceDE w:val="0"/>
        <w:autoSpaceDN w:val="0"/>
        <w:adjustRightInd w:val="0"/>
        <w:spacing w:after="0" w:line="360" w:lineRule="auto"/>
        <w:ind w:firstLine="709"/>
        <w:jc w:val="both"/>
        <w:rPr>
          <w:rFonts w:ascii="Times New Roman" w:hAnsi="Times New Roman"/>
          <w:color w:val="000000"/>
          <w:sz w:val="28"/>
          <w:szCs w:val="28"/>
          <w:lang w:eastAsia="ru-RU"/>
        </w:rPr>
      </w:pPr>
      <w:r w:rsidRPr="00F87AB7">
        <w:rPr>
          <w:rFonts w:ascii="Times New Roman" w:hAnsi="Times New Roman"/>
          <w:color w:val="000000"/>
          <w:sz w:val="28"/>
          <w:szCs w:val="28"/>
          <w:lang w:eastAsia="ru-RU"/>
        </w:rPr>
        <w:t>О кризисе на Балканах. В связи с событиями на Балканах некоторые политологи вспомнили о «Концепции Вильсона», изложенной в его 14 пунктах. Расшифровывая содержание этих пунктов, ближайший соратник Вильсона полковник Хаус писал, что ставилась такая задача: путем проповеди национализма расчленить Австро-Венгрию и Россию, оторвать от последней Кавказ, а Среднюю Азию отдать под протекторат союзных держав. Уже в то время такой выдающийся мыслитель и экономист, как Дж. М.Кейнс писал, что «Вильсоновская догма, которая ставит расовые и национальные различия выше экономических и культурных уз», содействует «усилению национализма». Такой подход Кейнс охарактеризовал как «глупость», которая будет порождать конфликты.</w:t>
      </w:r>
    </w:p>
    <w:p w:rsidR="004B5E12" w:rsidRPr="00F87AB7" w:rsidRDefault="004B5E12" w:rsidP="00312F68">
      <w:pPr>
        <w:suppressAutoHyphens/>
        <w:autoSpaceDE w:val="0"/>
        <w:autoSpaceDN w:val="0"/>
        <w:adjustRightInd w:val="0"/>
        <w:spacing w:after="0" w:line="360" w:lineRule="auto"/>
        <w:ind w:firstLine="709"/>
        <w:jc w:val="both"/>
        <w:rPr>
          <w:rFonts w:ascii="Times New Roman" w:hAnsi="Times New Roman"/>
          <w:color w:val="000000"/>
          <w:sz w:val="28"/>
          <w:szCs w:val="28"/>
          <w:lang w:eastAsia="ru-RU"/>
        </w:rPr>
      </w:pPr>
      <w:r w:rsidRPr="00F87AB7">
        <w:rPr>
          <w:rFonts w:ascii="Times New Roman" w:hAnsi="Times New Roman"/>
          <w:color w:val="000000"/>
          <w:sz w:val="28"/>
          <w:szCs w:val="28"/>
          <w:lang w:eastAsia="ru-RU"/>
        </w:rPr>
        <w:t>Однако в начале 90-х годов в некоторых кругах стран НАТО, в частности в США и ФРГ, вопреки трагическим урокам истории решили снова воскресить замысел Вильсона для расчленения Югославии и Советского Союза. С этой целью было решено «заменить» принцип права народов распоряжаться своей судьбой на право наций на самоопределение вплоть до отделения и создания государств на этнической основе. Несомненно, такое решение является попыткой повернуть вспять прогрессивный исторический процесс интеграции – перерастания наций и национальных меньшинств в единый народ при уважении прав человека и основных свобод. Такая «замена» поощрила появление агрессивного национализма и воинствующего сепаратизма, которые стали препятствием на пути обеспечения безопасности и сотрудничества между государствами и народами. По мнению французского ежемесячника «Ле Монд дипломатик» (июнь 1999 г.), в результате этого националисты подняли голову. В Хорватии вновь активизировались сторонники создания этнически чистой «Великой Хорватии», которую пыталась образовать летом 1941 г. фашистская организация усташей, в Сербии появились последователи четников, а в Косово албанские сепаратисты стали требовать независимости.</w:t>
      </w:r>
    </w:p>
    <w:p w:rsidR="004B5E12" w:rsidRPr="00F87AB7" w:rsidRDefault="004B5E12" w:rsidP="00312F68">
      <w:pPr>
        <w:suppressAutoHyphens/>
        <w:autoSpaceDE w:val="0"/>
        <w:autoSpaceDN w:val="0"/>
        <w:adjustRightInd w:val="0"/>
        <w:spacing w:after="0" w:line="360" w:lineRule="auto"/>
        <w:ind w:firstLine="709"/>
        <w:jc w:val="both"/>
        <w:rPr>
          <w:rFonts w:ascii="Times New Roman" w:hAnsi="Times New Roman"/>
          <w:color w:val="000000"/>
          <w:sz w:val="28"/>
          <w:szCs w:val="28"/>
          <w:lang w:eastAsia="ru-RU"/>
        </w:rPr>
      </w:pPr>
      <w:r w:rsidRPr="00F87AB7">
        <w:rPr>
          <w:rFonts w:ascii="Times New Roman" w:hAnsi="Times New Roman"/>
          <w:color w:val="000000"/>
          <w:sz w:val="28"/>
          <w:szCs w:val="28"/>
          <w:lang w:eastAsia="ru-RU"/>
        </w:rPr>
        <w:t>Желая не допустить того, чтобы стремление к этническому единству приводило к нарушению прав национальных меньшинств, к этническим чисткам и вспышкам вооруженных конфликтов на этой почве, специальная комиссия по конституционному праву ЕС под руководством француза Бадинтера предложила в свое время не признавать новых государств на территории бывшей Югославии до тех пор, пока они не откажутся от претензий к соседним странам и не станут уважать права лиц, принадлежащих к национальным меньшинствам. Эту точку зрения разделяли тогда бывший Презид</w:t>
      </w:r>
      <w:r w:rsidR="00422EA6" w:rsidRPr="00F87AB7">
        <w:rPr>
          <w:rFonts w:ascii="Times New Roman" w:hAnsi="Times New Roman"/>
          <w:color w:val="000000"/>
          <w:sz w:val="28"/>
          <w:szCs w:val="28"/>
          <w:lang w:eastAsia="ru-RU"/>
        </w:rPr>
        <w:t>ент США Дж.Буш, СБ ООН и другие</w:t>
      </w:r>
      <w:r w:rsidRPr="00F87AB7">
        <w:rPr>
          <w:rFonts w:ascii="Times New Roman" w:hAnsi="Times New Roman"/>
          <w:color w:val="000000"/>
          <w:sz w:val="28"/>
          <w:szCs w:val="28"/>
          <w:lang w:eastAsia="ru-RU"/>
        </w:rPr>
        <w:t>.</w:t>
      </w:r>
    </w:p>
    <w:p w:rsidR="004B5E12" w:rsidRPr="00F87AB7" w:rsidRDefault="004B5E12" w:rsidP="00312F68">
      <w:pPr>
        <w:suppressAutoHyphens/>
        <w:autoSpaceDE w:val="0"/>
        <w:autoSpaceDN w:val="0"/>
        <w:adjustRightInd w:val="0"/>
        <w:spacing w:after="0" w:line="360" w:lineRule="auto"/>
        <w:ind w:firstLine="709"/>
        <w:jc w:val="both"/>
        <w:rPr>
          <w:rFonts w:ascii="Times New Roman" w:hAnsi="Times New Roman"/>
          <w:color w:val="000000"/>
          <w:sz w:val="28"/>
          <w:szCs w:val="28"/>
          <w:lang w:eastAsia="ru-RU"/>
        </w:rPr>
      </w:pPr>
      <w:r w:rsidRPr="00F87AB7">
        <w:rPr>
          <w:rFonts w:ascii="Times New Roman" w:hAnsi="Times New Roman"/>
          <w:color w:val="000000"/>
          <w:sz w:val="28"/>
          <w:szCs w:val="28"/>
          <w:lang w:eastAsia="ru-RU"/>
        </w:rPr>
        <w:t>Однако вопреки мнению своих партнеров по ЕС правительство Германии признало 26 декабря 1991 г. в одностороннем порядке суверенитет Словении и Хорватии, что привело к распаду Югославии. Одновременно на сербов обрушилась организованная рядом стран НАТО пропагандистская война, изображающая сербов как «варваров» и «насильников». Все это подстегнуло националистские круги Словении, Хорватии, Боснии и Герцеговины к вытеснению сербов из своих стран, что вызвало вооруженные конфликты на этнической и религиозной основе. В связи с этим итальянский журналист Т.Ди Франческо на страницах французского журнала «Ле Монд дипломатик» (ноябрь 1998 г.) отмечал, что НАТО несет ответственность за развязывание конфликтов в бывшей Югославии, содействуя формированию там государств на основе этнического единства. Директор указанного журнала И.Рамонэ заключал: «народы Балкан продолжают дорого расплачиваться за слепоту Запада, который в 1991 г. допустил поспешный распад Югославии, осуществленный националистами». Даже Р.Холбрук признал в январе 1999 г. такую политику «самой большой коллективной ошибкой Запада в области без</w:t>
      </w:r>
      <w:r w:rsidR="00422EA6" w:rsidRPr="00F87AB7">
        <w:rPr>
          <w:rFonts w:ascii="Times New Roman" w:hAnsi="Times New Roman"/>
          <w:color w:val="000000"/>
          <w:sz w:val="28"/>
          <w:szCs w:val="28"/>
          <w:lang w:eastAsia="ru-RU"/>
        </w:rPr>
        <w:t>опасности со времен 30-х годов»</w:t>
      </w:r>
      <w:r w:rsidRPr="00F87AB7">
        <w:rPr>
          <w:rFonts w:ascii="Times New Roman" w:hAnsi="Times New Roman"/>
          <w:color w:val="000000"/>
          <w:sz w:val="28"/>
          <w:szCs w:val="28"/>
          <w:lang w:eastAsia="ru-RU"/>
        </w:rPr>
        <w:t>.</w:t>
      </w:r>
    </w:p>
    <w:p w:rsidR="004B5E12" w:rsidRPr="00F87AB7" w:rsidRDefault="004B5E12" w:rsidP="00312F68">
      <w:pPr>
        <w:suppressAutoHyphens/>
        <w:autoSpaceDE w:val="0"/>
        <w:autoSpaceDN w:val="0"/>
        <w:adjustRightInd w:val="0"/>
        <w:spacing w:after="0" w:line="360" w:lineRule="auto"/>
        <w:ind w:firstLine="709"/>
        <w:jc w:val="both"/>
        <w:rPr>
          <w:rFonts w:ascii="Times New Roman" w:hAnsi="Times New Roman"/>
          <w:color w:val="000000"/>
          <w:sz w:val="28"/>
          <w:szCs w:val="28"/>
          <w:lang w:eastAsia="ru-RU"/>
        </w:rPr>
      </w:pPr>
      <w:r w:rsidRPr="00F87AB7">
        <w:rPr>
          <w:rFonts w:ascii="Times New Roman" w:hAnsi="Times New Roman"/>
          <w:color w:val="000000"/>
          <w:sz w:val="28"/>
          <w:szCs w:val="28"/>
          <w:lang w:eastAsia="ru-RU"/>
        </w:rPr>
        <w:t>В ходе вооруженных конфликтов сербы одержали ряд побед и контролировали Крайну в Хорватии. Но в конце августа 1995 года хорваты при поддержке авиации НАТО перешли в наступление, начав этническую чистку, сжигая сербские города и села. Армия Хорватии, вооруженная США, обратила в бегство 150 тыс. сербов и ликвидировала Республику Сербскую Крайну. Страны НАТО, да и Европы не реагировали на данное проявление геноцида сербов в Хорватии. Этот факт был справедливо оценен профессором института истории Сербской АН С.Терзиным как «серьезный кризис европейской либераль</w:t>
      </w:r>
      <w:r w:rsidR="00422EA6" w:rsidRPr="00F87AB7">
        <w:rPr>
          <w:rFonts w:ascii="Times New Roman" w:hAnsi="Times New Roman"/>
          <w:color w:val="000000"/>
          <w:sz w:val="28"/>
          <w:szCs w:val="28"/>
          <w:lang w:eastAsia="ru-RU"/>
        </w:rPr>
        <w:t>ной и демократической традиции»</w:t>
      </w:r>
      <w:r w:rsidRPr="00F87AB7">
        <w:rPr>
          <w:rFonts w:ascii="Times New Roman" w:hAnsi="Times New Roman"/>
          <w:color w:val="000000"/>
          <w:sz w:val="28"/>
          <w:szCs w:val="28"/>
          <w:lang w:eastAsia="ru-RU"/>
        </w:rPr>
        <w:t>.</w:t>
      </w:r>
    </w:p>
    <w:p w:rsidR="004B5E12" w:rsidRPr="00F87AB7" w:rsidRDefault="004B5E12" w:rsidP="00312F68">
      <w:pPr>
        <w:suppressAutoHyphens/>
        <w:autoSpaceDE w:val="0"/>
        <w:autoSpaceDN w:val="0"/>
        <w:adjustRightInd w:val="0"/>
        <w:spacing w:after="0" w:line="360" w:lineRule="auto"/>
        <w:ind w:firstLine="709"/>
        <w:jc w:val="both"/>
        <w:rPr>
          <w:rFonts w:ascii="Times New Roman" w:hAnsi="Times New Roman"/>
          <w:color w:val="000000"/>
          <w:sz w:val="28"/>
          <w:szCs w:val="28"/>
          <w:lang w:eastAsia="ru-RU"/>
        </w:rPr>
      </w:pPr>
      <w:r w:rsidRPr="00F87AB7">
        <w:rPr>
          <w:rFonts w:ascii="Times New Roman" w:hAnsi="Times New Roman"/>
          <w:color w:val="000000"/>
          <w:sz w:val="28"/>
          <w:szCs w:val="28"/>
          <w:lang w:eastAsia="ru-RU"/>
        </w:rPr>
        <w:t>Аналогичную антисербскую линию НАТО проводила и при боснийском урегулировании. В 1992 г. в Боснии и Герцеговине обострились противоречия между боснийскими сербами, мусульманами и хорватами. В октябре 1992 г. мусульмане и хорваты заявили о суверенитете республики, а сербская община заявила о создании Сербской Республики Боснии. США, страны ЕС и Россия признали независимость Боснии и Герцеговины. Вместе с тем возник вооруженный конфликт между боснийскими сербами, с одной стороны, и хорватами и мусульманами, с другой.</w:t>
      </w:r>
    </w:p>
    <w:p w:rsidR="004B5E12" w:rsidRPr="00F87AB7" w:rsidRDefault="004B5E12" w:rsidP="00312F68">
      <w:pPr>
        <w:suppressAutoHyphens/>
        <w:autoSpaceDE w:val="0"/>
        <w:autoSpaceDN w:val="0"/>
        <w:adjustRightInd w:val="0"/>
        <w:spacing w:after="0" w:line="360" w:lineRule="auto"/>
        <w:ind w:firstLine="709"/>
        <w:jc w:val="both"/>
        <w:rPr>
          <w:rFonts w:ascii="Times New Roman" w:hAnsi="Times New Roman"/>
          <w:color w:val="000000"/>
          <w:sz w:val="28"/>
          <w:szCs w:val="28"/>
          <w:lang w:eastAsia="ru-RU"/>
        </w:rPr>
      </w:pPr>
      <w:r w:rsidRPr="00F87AB7">
        <w:rPr>
          <w:rFonts w:ascii="Times New Roman" w:hAnsi="Times New Roman"/>
          <w:color w:val="000000"/>
          <w:sz w:val="28"/>
          <w:szCs w:val="28"/>
          <w:lang w:eastAsia="ru-RU"/>
        </w:rPr>
        <w:t>В марте 1994 г. в Вашингтоне было заключено секретное соглашение между хорватами и боснийскими мусульманами о создании федерации. 10 августа 1995 г. за спиной России между командующим войсками ООН и главнокомандующим объединенными войсками НАТО в Южной зоне Европы был подписан меморандум о «миротворчестве». Это миротворчество свелось к нанесению НАТО 28 и 29 августа бомбовых ударов по боснийским сербам. Под прикрытием натовской авиации началось наступление мусульмано-хорватских войск. 20 тысяч сербов были вынуждены покинуть свои дома. Такой «миротворческий» подход был положен в основу Общего рамочного соглашения о мире в Боснии и Герцеговине, подписанного 21 ноября 1995 г. в Дейтоне (Огайо). 14 декабря 1995 г. в Париже было заключено Соглашение о мирном урегулировании в Боснии и о размещении в соответствии с резолюцией 1035 СБ ООН вооруженных сил ООН (КФОР) с условием, что руководители КФОР могут принимать «все необходимые меры». Была достигнута договоренность о создании Совета по выполнению мирного соглашения, который проводил бы периодические конференции.</w:t>
      </w:r>
    </w:p>
    <w:p w:rsidR="004B5E12" w:rsidRPr="00F87AB7" w:rsidRDefault="004B5E12" w:rsidP="00312F68">
      <w:pPr>
        <w:suppressAutoHyphens/>
        <w:autoSpaceDE w:val="0"/>
        <w:autoSpaceDN w:val="0"/>
        <w:adjustRightInd w:val="0"/>
        <w:spacing w:after="0" w:line="360" w:lineRule="auto"/>
        <w:ind w:firstLine="709"/>
        <w:jc w:val="both"/>
        <w:rPr>
          <w:rFonts w:ascii="Times New Roman" w:hAnsi="Times New Roman"/>
          <w:color w:val="000000"/>
          <w:sz w:val="28"/>
          <w:szCs w:val="28"/>
          <w:lang w:eastAsia="ru-RU"/>
        </w:rPr>
      </w:pPr>
      <w:r w:rsidRPr="00F87AB7">
        <w:rPr>
          <w:rFonts w:ascii="Times New Roman" w:hAnsi="Times New Roman"/>
          <w:color w:val="000000"/>
          <w:sz w:val="28"/>
          <w:szCs w:val="28"/>
          <w:lang w:eastAsia="ru-RU"/>
        </w:rPr>
        <w:t>В соответствии с принятыми решениями Босния и Герцеговина были разделены на Хорватско-мусульманскую Федерацию (49% территории БиГ) и Сербскую Республику (51% территории БиГ). Каждая из них имеет собственную конституцию, но сохраняет одного президента, единый парламент и центральный банк, который ведет расчеты преимущественно в немецких марках и долларах. Но фактически власть в БиГ принадлежит Верховным представителям международных миротворческих сил. Мир держится лишь благодаря присутствию 30-тысячного корпуса КФОР, который, по существу, стал выполнять роль оккупационных сил в протекторате. Через три месяца после подписания Дейтонских соглашений из Сараево было выслано около 120 тыс. сербов, а с президентом БиГ был подписан договор о размещении «миротворческих сил» в течение 25 лет.</w:t>
      </w:r>
    </w:p>
    <w:p w:rsidR="004B5E12" w:rsidRPr="00F87AB7" w:rsidRDefault="004B5E12" w:rsidP="00312F68">
      <w:pPr>
        <w:suppressAutoHyphens/>
        <w:autoSpaceDE w:val="0"/>
        <w:autoSpaceDN w:val="0"/>
        <w:adjustRightInd w:val="0"/>
        <w:spacing w:after="0" w:line="360" w:lineRule="auto"/>
        <w:ind w:firstLine="709"/>
        <w:jc w:val="both"/>
        <w:rPr>
          <w:rFonts w:ascii="Times New Roman" w:hAnsi="Times New Roman"/>
          <w:color w:val="000000"/>
          <w:sz w:val="28"/>
          <w:szCs w:val="28"/>
          <w:lang w:eastAsia="ru-RU"/>
        </w:rPr>
      </w:pPr>
      <w:r w:rsidRPr="00F87AB7">
        <w:rPr>
          <w:rFonts w:ascii="Times New Roman" w:hAnsi="Times New Roman"/>
          <w:color w:val="000000"/>
          <w:sz w:val="28"/>
          <w:szCs w:val="28"/>
          <w:lang w:eastAsia="ru-RU"/>
        </w:rPr>
        <w:t xml:space="preserve">За последнее время был опубликован ряд мемуаров, книг и статей, касающихся боснийского урегулирования. Один из главных участников этого урегулирования Р.Холбрук в своих воспоминаниях «Конец войны» (1998) при всем стремлении оправдать политику США, все же был вынужден признать призрачность Дейтонских соглашений, которые не достигли намеченной цели – создания единого государства. Он отметил также, что в администрации Клинтона и в руководстве НАТО верх взяли фракции «ястребов», сторонников действий с позиции силы и войны. Бывший командующий силами ООН в БиГ британский генерал М.Роуз в своей книге «Борьба за мир» отмечал, что НАТО начала военные действия против сербов, но игнорировала при этом насилия, которые совершали мусульмане и хорваты. Двойной стандарт и двусмысленность позиции США и Европы в отношении прав человека отмечались во многих газетных и журнальных статьях. Исследователь из фонда Рокфеллера Б.Камар в статье «Беспокойная история раздела» («ФоринАфферс», январь-февраль 1977 г.) писал, что «попытки создать государство на основе доминирующей этнической группы приводят в дальнейшем к его распаду и конфликтам». Поэтому, заключал он, Дейтонские соглашения дают мало надежд на прочное мирное решение. На страницах того же журнала за март-апрель 1998 г. профессор Х.Ханнум из Тафтского университета отмечал, что создание «системы государств, основанных на этническом принципе или на исторических претензиях, определенно недостижимо». Французский ученый Пьер Магнучевский, критикуя методы дипломатии США и НАТО, пришел также к выводу, что Дейтонские соглашения, заключенные не мирным путем в результате добровольного согласия, а посредством принуждения насилием, не могут быть прочными и «страдают </w:t>
      </w:r>
      <w:r w:rsidR="00422EA6" w:rsidRPr="00F87AB7">
        <w:rPr>
          <w:rFonts w:ascii="Times New Roman" w:hAnsi="Times New Roman"/>
          <w:color w:val="000000"/>
          <w:sz w:val="28"/>
          <w:szCs w:val="28"/>
          <w:lang w:eastAsia="ru-RU"/>
        </w:rPr>
        <w:t>юридической несостоятельностью»</w:t>
      </w:r>
      <w:r w:rsidRPr="00F87AB7">
        <w:rPr>
          <w:rFonts w:ascii="Times New Roman" w:hAnsi="Times New Roman"/>
          <w:color w:val="000000"/>
          <w:sz w:val="28"/>
          <w:szCs w:val="28"/>
          <w:lang w:eastAsia="ru-RU"/>
        </w:rPr>
        <w:t>. Все это дало основание бывшему генеральному секретарю ООН Бутрос Бутрос-Гали в «Годовом докладе о работе Организации, посвященной 50-й годовщине, 1996» заявить в разделе о ситуации в Боснии и Герцеговине: «Мирный процесс пока еще не стал необратимым. Сохраняется реальная угроза того, что страна будет разделена на части по этническому принципу и что это может привести к возобновлению военных действий». (с. 403). Однако Бутрос-Гали считает, что на основе Мирного соглашения при совместных усилиях международного сообщества и подлинного сотрудничества всех сторон в самой БиГ можно добиться восстановления «многоэтнического характера Боснии и Герцеговины».</w:t>
      </w:r>
    </w:p>
    <w:p w:rsidR="004B5E12" w:rsidRPr="00F87AB7" w:rsidRDefault="004B5E12" w:rsidP="00312F68">
      <w:pPr>
        <w:suppressAutoHyphens/>
        <w:autoSpaceDE w:val="0"/>
        <w:autoSpaceDN w:val="0"/>
        <w:adjustRightInd w:val="0"/>
        <w:spacing w:after="0" w:line="360" w:lineRule="auto"/>
        <w:ind w:firstLine="709"/>
        <w:jc w:val="both"/>
        <w:rPr>
          <w:rFonts w:ascii="Times New Roman" w:hAnsi="Times New Roman"/>
          <w:color w:val="000000"/>
          <w:sz w:val="28"/>
          <w:szCs w:val="28"/>
          <w:lang w:eastAsia="ru-RU"/>
        </w:rPr>
      </w:pPr>
      <w:r w:rsidRPr="00F87AB7">
        <w:rPr>
          <w:rFonts w:ascii="Times New Roman" w:hAnsi="Times New Roman"/>
          <w:color w:val="000000"/>
          <w:sz w:val="28"/>
          <w:szCs w:val="28"/>
          <w:lang w:eastAsia="ru-RU"/>
        </w:rPr>
        <w:t xml:space="preserve">15-16 декабря 1998 г. в Мадриде состоялась очередная конференция Совета по выполнению Мирного соглашения (СВМС) по Боснии и Герцеговине. В работе приняли участие представители 57 государств. Министр иностранных дел РФ И.С.Иванов заявил, что Россия придает важное значение мирному урегулированию в Боснии и Герцеговине. Конференция завершилась принятием Декларации по БиГ. В Декларации содержится призыв добиться укрепления БиГ «как единого государства, состоящего из двух равноправных этнитетов». В ней ставилась «общая цель – не создание своего рода международного протектората, а последовательный запуск всех предусмотренных Соглашением государственных механизмов», то есть добиваться принятия и самими боснийцами ответственности за решение проблем страны, постепенно передавать им необходимые полномочия. Участники Мадридской конференции выступили «за придание мирному процессу в БиГ необратимого и самоподдерживающего характера. Это отвечает интересам безопасности </w:t>
      </w:r>
      <w:r w:rsidR="00422EA6" w:rsidRPr="00F87AB7">
        <w:rPr>
          <w:rFonts w:ascii="Times New Roman" w:hAnsi="Times New Roman"/>
          <w:color w:val="000000"/>
          <w:sz w:val="28"/>
          <w:szCs w:val="28"/>
          <w:lang w:eastAsia="ru-RU"/>
        </w:rPr>
        <w:t>на Балканах и в Европе в целом»</w:t>
      </w:r>
      <w:r w:rsidRPr="00F87AB7">
        <w:rPr>
          <w:rFonts w:ascii="Times New Roman" w:hAnsi="Times New Roman"/>
          <w:color w:val="000000"/>
          <w:sz w:val="28"/>
          <w:szCs w:val="28"/>
          <w:lang w:eastAsia="ru-RU"/>
        </w:rPr>
        <w:t>.</w:t>
      </w:r>
    </w:p>
    <w:p w:rsidR="004B5E12" w:rsidRPr="00F87AB7" w:rsidRDefault="004B5E12" w:rsidP="00312F68">
      <w:pPr>
        <w:suppressAutoHyphens/>
        <w:autoSpaceDE w:val="0"/>
        <w:autoSpaceDN w:val="0"/>
        <w:adjustRightInd w:val="0"/>
        <w:spacing w:after="0" w:line="360" w:lineRule="auto"/>
        <w:ind w:firstLine="709"/>
        <w:jc w:val="both"/>
        <w:rPr>
          <w:rFonts w:ascii="Times New Roman" w:hAnsi="Times New Roman"/>
          <w:color w:val="000000"/>
          <w:sz w:val="28"/>
          <w:szCs w:val="28"/>
          <w:lang w:eastAsia="ru-RU"/>
        </w:rPr>
      </w:pPr>
      <w:r w:rsidRPr="00F87AB7">
        <w:rPr>
          <w:rFonts w:ascii="Times New Roman" w:hAnsi="Times New Roman"/>
          <w:color w:val="000000"/>
          <w:sz w:val="28"/>
          <w:szCs w:val="28"/>
          <w:lang w:eastAsia="ru-RU"/>
        </w:rPr>
        <w:t>Таким образом, участники Мадридской конференции отвергли домогательства воинствующих кругов НАТО превратить БиГ в базу и протекторат этого блока.</w:t>
      </w:r>
    </w:p>
    <w:p w:rsidR="004B5E12" w:rsidRPr="00F87AB7" w:rsidRDefault="004B5E12" w:rsidP="00312F68">
      <w:pPr>
        <w:suppressAutoHyphens/>
        <w:autoSpaceDE w:val="0"/>
        <w:autoSpaceDN w:val="0"/>
        <w:adjustRightInd w:val="0"/>
        <w:spacing w:after="0" w:line="360" w:lineRule="auto"/>
        <w:ind w:firstLine="709"/>
        <w:jc w:val="both"/>
        <w:rPr>
          <w:rFonts w:ascii="Times New Roman" w:hAnsi="Times New Roman"/>
          <w:color w:val="000000"/>
          <w:sz w:val="28"/>
          <w:szCs w:val="28"/>
          <w:lang w:eastAsia="ru-RU"/>
        </w:rPr>
      </w:pPr>
      <w:r w:rsidRPr="00F87AB7">
        <w:rPr>
          <w:rFonts w:ascii="Times New Roman" w:hAnsi="Times New Roman"/>
          <w:color w:val="000000"/>
          <w:sz w:val="28"/>
          <w:szCs w:val="28"/>
          <w:lang w:eastAsia="ru-RU"/>
        </w:rPr>
        <w:t>Косовская проблема заняла одно из центральных мест в международной жизни. Только в России вышли в свет два солидных труда на эту тему: «Косово. Международные аспекты кризиса» (М. 1999 г.) и «Европа и Россия: проблемы южного направления» (М. 1999 г.). Масса статей о трагедии в Косово появилась в газетах и журналах во всех странах.</w:t>
      </w:r>
    </w:p>
    <w:p w:rsidR="004B5E12" w:rsidRPr="00F87AB7" w:rsidRDefault="004B5E12" w:rsidP="00312F68">
      <w:pPr>
        <w:suppressAutoHyphens/>
        <w:autoSpaceDE w:val="0"/>
        <w:autoSpaceDN w:val="0"/>
        <w:adjustRightInd w:val="0"/>
        <w:spacing w:after="0" w:line="360" w:lineRule="auto"/>
        <w:ind w:firstLine="709"/>
        <w:jc w:val="both"/>
        <w:rPr>
          <w:rFonts w:ascii="Times New Roman" w:hAnsi="Times New Roman"/>
          <w:color w:val="000000"/>
          <w:sz w:val="28"/>
          <w:szCs w:val="28"/>
          <w:lang w:eastAsia="ru-RU"/>
        </w:rPr>
      </w:pPr>
      <w:r w:rsidRPr="00F87AB7">
        <w:rPr>
          <w:rFonts w:ascii="Times New Roman" w:hAnsi="Times New Roman"/>
          <w:color w:val="000000"/>
          <w:sz w:val="28"/>
          <w:szCs w:val="28"/>
          <w:lang w:eastAsia="ru-RU"/>
        </w:rPr>
        <w:t>Косово – автономный край в составе Республики Сербии; подавляющее население края составляют албанцы. Для сербов Косово – один из исторических центров формирования их государственности и культуры. Албанская и сербские общины ведут обособленный друг от друга образ жизни. В феврале-марте 1998 г. в Косово усилились сепаратистские тенденции среди албанцев. Одновременно группа террористов так называемой «Освободительной Армии Косова» (</w:t>
      </w:r>
      <w:r w:rsidRPr="00F87AB7">
        <w:rPr>
          <w:rFonts w:ascii="Times New Roman" w:hAnsi="Times New Roman"/>
          <w:color w:val="000000"/>
          <w:sz w:val="28"/>
          <w:szCs w:val="28"/>
          <w:lang w:val="en-US" w:eastAsia="ru-RU"/>
        </w:rPr>
        <w:t>OAK</w:t>
      </w:r>
      <w:r w:rsidRPr="00F87AB7">
        <w:rPr>
          <w:rFonts w:ascii="Times New Roman" w:hAnsi="Times New Roman"/>
          <w:color w:val="000000"/>
          <w:sz w:val="28"/>
          <w:szCs w:val="28"/>
          <w:lang w:eastAsia="ru-RU"/>
        </w:rPr>
        <w:t>), обучение и подготовка которых осуществлялись в других странах, а финансировались на доходы от наркобизнеса, проникла на территорию Косово. Весной того же года косовские террористы, как их тогда справедливо называли и западные политики, развязали крупномасштабную войну с частями югославской армии и полиции. Сепаратисты-боевики, не имеющие югославского гражданства, стали втягивать в конфликт с силами правопорядка также часть местного албанского населения. В связи с этим страны-члены Контактной группы (Великобритания, Германия, Италия, Россия, США и Франция), созданной в свое время для решения боснийского кризиса, стали подключаться к решению косовской проблемы. На заседании Контактной группы 9 марта 1998 г. в Лондоне было принято заявление с осуждением сепаратизма и терроризма. По предложению России в документ включены положения об осуждении зарубежных сил, финансирующих, вооружающих и обучающих террористические группы в Косово.</w:t>
      </w:r>
    </w:p>
    <w:p w:rsidR="004B5E12" w:rsidRPr="00F87AB7" w:rsidRDefault="004B5E12" w:rsidP="00312F68">
      <w:pPr>
        <w:suppressAutoHyphens/>
        <w:autoSpaceDE w:val="0"/>
        <w:autoSpaceDN w:val="0"/>
        <w:adjustRightInd w:val="0"/>
        <w:spacing w:after="0" w:line="360" w:lineRule="auto"/>
        <w:ind w:firstLine="709"/>
        <w:jc w:val="both"/>
        <w:rPr>
          <w:rFonts w:ascii="Times New Roman" w:hAnsi="Times New Roman"/>
          <w:color w:val="000000"/>
          <w:sz w:val="28"/>
          <w:szCs w:val="28"/>
          <w:lang w:eastAsia="ru-RU"/>
        </w:rPr>
      </w:pPr>
      <w:r w:rsidRPr="00F87AB7">
        <w:rPr>
          <w:rFonts w:ascii="Times New Roman" w:hAnsi="Times New Roman"/>
          <w:color w:val="000000"/>
          <w:sz w:val="28"/>
          <w:szCs w:val="28"/>
          <w:lang w:eastAsia="ru-RU"/>
        </w:rPr>
        <w:t>22 марта 1998 г. в Косово прошли так называемые параллельные «президентские» выборы, которые в Белграде были оценены как очередное проявление сепаратизма. В то же время правительство Сербии предложило 28 апреля начать переговоры с представителями косовских албанцев. Однако лидеры албанской общины на призыв не откликнулись.</w:t>
      </w:r>
    </w:p>
    <w:p w:rsidR="004B5E12" w:rsidRPr="00F87AB7" w:rsidRDefault="004B5E12" w:rsidP="00312F68">
      <w:pPr>
        <w:suppressAutoHyphens/>
        <w:autoSpaceDE w:val="0"/>
        <w:autoSpaceDN w:val="0"/>
        <w:adjustRightInd w:val="0"/>
        <w:spacing w:after="0" w:line="360" w:lineRule="auto"/>
        <w:ind w:firstLine="709"/>
        <w:jc w:val="both"/>
        <w:rPr>
          <w:rFonts w:ascii="Times New Roman" w:hAnsi="Times New Roman"/>
          <w:color w:val="000000"/>
          <w:sz w:val="28"/>
          <w:szCs w:val="28"/>
          <w:lang w:eastAsia="ru-RU"/>
        </w:rPr>
      </w:pPr>
      <w:r w:rsidRPr="00F87AB7">
        <w:rPr>
          <w:rFonts w:ascii="Times New Roman" w:hAnsi="Times New Roman"/>
          <w:color w:val="000000"/>
          <w:sz w:val="28"/>
          <w:szCs w:val="28"/>
          <w:lang w:eastAsia="ru-RU"/>
        </w:rPr>
        <w:t xml:space="preserve">Осенью сербские силы практически освободили Косово от вооруженных формирований </w:t>
      </w:r>
      <w:r w:rsidRPr="00F87AB7">
        <w:rPr>
          <w:rFonts w:ascii="Times New Roman" w:hAnsi="Times New Roman"/>
          <w:color w:val="000000"/>
          <w:sz w:val="28"/>
          <w:szCs w:val="28"/>
          <w:lang w:val="en-US" w:eastAsia="ru-RU"/>
        </w:rPr>
        <w:t>OAK</w:t>
      </w:r>
      <w:r w:rsidRPr="00F87AB7">
        <w:rPr>
          <w:rFonts w:ascii="Times New Roman" w:hAnsi="Times New Roman"/>
          <w:color w:val="000000"/>
          <w:sz w:val="28"/>
          <w:szCs w:val="28"/>
          <w:lang w:eastAsia="ru-RU"/>
        </w:rPr>
        <w:t>. Но тогда в дело вмешались страны НАТО, угрожая начать бомбить Белград, если не будут прекращены действия сербских сил. Это вынудило Милошевича подписать 13 октября договор с Холбруком. Документ предполагал отвод сербских сил из края, размещение в Косово 2000 наблюдателей ОБСЕ, установление режима воздушного контроля самолетов НАТО над территорией края, размещение «сил Альянса в соседних странах в случае возникновения проблем».</w:t>
      </w:r>
    </w:p>
    <w:p w:rsidR="004B5E12" w:rsidRPr="00F87AB7" w:rsidRDefault="004B5E12" w:rsidP="00312F68">
      <w:pPr>
        <w:suppressAutoHyphens/>
        <w:autoSpaceDE w:val="0"/>
        <w:autoSpaceDN w:val="0"/>
        <w:adjustRightInd w:val="0"/>
        <w:spacing w:after="0" w:line="360" w:lineRule="auto"/>
        <w:ind w:firstLine="709"/>
        <w:jc w:val="both"/>
        <w:rPr>
          <w:rFonts w:ascii="Times New Roman" w:hAnsi="Times New Roman"/>
          <w:color w:val="000000"/>
          <w:sz w:val="28"/>
          <w:szCs w:val="28"/>
          <w:lang w:eastAsia="ru-RU"/>
        </w:rPr>
      </w:pPr>
      <w:r w:rsidRPr="00F87AB7">
        <w:rPr>
          <w:rFonts w:ascii="Times New Roman" w:hAnsi="Times New Roman"/>
          <w:color w:val="000000"/>
          <w:sz w:val="28"/>
          <w:szCs w:val="28"/>
          <w:lang w:eastAsia="ru-RU"/>
        </w:rPr>
        <w:t xml:space="preserve">Когда сербские военные были выведены с территории края, то Запад не воспрепятствовал </w:t>
      </w:r>
      <w:r w:rsidRPr="00F87AB7">
        <w:rPr>
          <w:rFonts w:ascii="Times New Roman" w:hAnsi="Times New Roman"/>
          <w:color w:val="000000"/>
          <w:sz w:val="28"/>
          <w:szCs w:val="28"/>
          <w:lang w:val="en-US" w:eastAsia="ru-RU"/>
        </w:rPr>
        <w:t>OAK</w:t>
      </w:r>
      <w:r w:rsidRPr="00F87AB7">
        <w:rPr>
          <w:rFonts w:ascii="Times New Roman" w:hAnsi="Times New Roman"/>
          <w:color w:val="000000"/>
          <w:sz w:val="28"/>
          <w:szCs w:val="28"/>
          <w:lang w:eastAsia="ru-RU"/>
        </w:rPr>
        <w:t xml:space="preserve"> вновь занять значительную часть территории Косово. Таким образом, руководители НАТО от осуждения на словах сепаратистов и террористов </w:t>
      </w:r>
      <w:r w:rsidRPr="00F87AB7">
        <w:rPr>
          <w:rFonts w:ascii="Times New Roman" w:hAnsi="Times New Roman"/>
          <w:color w:val="000000"/>
          <w:sz w:val="28"/>
          <w:szCs w:val="28"/>
          <w:lang w:val="en-US" w:eastAsia="ru-RU"/>
        </w:rPr>
        <w:t>OAK</w:t>
      </w:r>
      <w:r w:rsidRPr="00F87AB7">
        <w:rPr>
          <w:rFonts w:ascii="Times New Roman" w:hAnsi="Times New Roman"/>
          <w:color w:val="000000"/>
          <w:sz w:val="28"/>
          <w:szCs w:val="28"/>
          <w:lang w:eastAsia="ru-RU"/>
        </w:rPr>
        <w:t xml:space="preserve"> открыто перешли к их поддержке и сотрудничеству. И это нашло свое подтверждение в последующих шагах натовцев.</w:t>
      </w:r>
    </w:p>
    <w:p w:rsidR="004B5E12" w:rsidRPr="00F87AB7" w:rsidRDefault="004B5E12" w:rsidP="00312F68">
      <w:pPr>
        <w:suppressAutoHyphens/>
        <w:autoSpaceDE w:val="0"/>
        <w:autoSpaceDN w:val="0"/>
        <w:adjustRightInd w:val="0"/>
        <w:spacing w:after="0" w:line="360" w:lineRule="auto"/>
        <w:ind w:firstLine="709"/>
        <w:jc w:val="both"/>
        <w:rPr>
          <w:rFonts w:ascii="Times New Roman" w:hAnsi="Times New Roman"/>
          <w:color w:val="000000"/>
          <w:sz w:val="28"/>
          <w:szCs w:val="28"/>
          <w:lang w:eastAsia="ru-RU"/>
        </w:rPr>
      </w:pPr>
      <w:r w:rsidRPr="00F87AB7">
        <w:rPr>
          <w:rFonts w:ascii="Times New Roman" w:hAnsi="Times New Roman"/>
          <w:color w:val="000000"/>
          <w:sz w:val="28"/>
          <w:szCs w:val="28"/>
          <w:lang w:eastAsia="ru-RU"/>
        </w:rPr>
        <w:t xml:space="preserve">С 7 по 23 февраля 1999 г. в местечке Рамбуйе состоялись переговоры представителей Контактной группы, Сербии и Косово. При содействии Вашингтона в Рамбуйе первую роль играли представители </w:t>
      </w:r>
      <w:r w:rsidRPr="00F87AB7">
        <w:rPr>
          <w:rFonts w:ascii="Times New Roman" w:hAnsi="Times New Roman"/>
          <w:color w:val="000000"/>
          <w:sz w:val="28"/>
          <w:szCs w:val="28"/>
          <w:lang w:val="en-US" w:eastAsia="ru-RU"/>
        </w:rPr>
        <w:t>OAK</w:t>
      </w:r>
      <w:r w:rsidRPr="00F87AB7">
        <w:rPr>
          <w:rFonts w:ascii="Times New Roman" w:hAnsi="Times New Roman"/>
          <w:color w:val="000000"/>
          <w:sz w:val="28"/>
          <w:szCs w:val="28"/>
          <w:lang w:eastAsia="ru-RU"/>
        </w:rPr>
        <w:t xml:space="preserve">, которые оттеснили на задний план «президента Республики Косово» Ибрагима Ругову. Это был признак того, что Вашингтон рассчитывал сделать </w:t>
      </w:r>
      <w:r w:rsidRPr="00F87AB7">
        <w:rPr>
          <w:rFonts w:ascii="Times New Roman" w:hAnsi="Times New Roman"/>
          <w:color w:val="000000"/>
          <w:sz w:val="28"/>
          <w:szCs w:val="28"/>
          <w:lang w:val="en-US" w:eastAsia="ru-RU"/>
        </w:rPr>
        <w:t>OAK</w:t>
      </w:r>
      <w:r w:rsidRPr="00F87AB7">
        <w:rPr>
          <w:rFonts w:ascii="Times New Roman" w:hAnsi="Times New Roman"/>
          <w:color w:val="000000"/>
          <w:sz w:val="28"/>
          <w:szCs w:val="28"/>
          <w:lang w:eastAsia="ru-RU"/>
        </w:rPr>
        <w:t xml:space="preserve"> инструментом достижения своих целей в Косово и в целом в СРЮ. Переговоры в Рамбуйе напоминали театр абсурда. Представители западных стран до прибытия в Рамбуйе согласовали без участия России главы 2, 5, 7 документа о «мирном соглашении» по Косово, названные его имплементационной частью в дополнение к политической части. Эти главы предполагали, в частности, ввод войск НАТО в Косово и фактическое отделение края от Сербии. Российский представитель предлагал изъять те главы документа, которые были включены за его спиной. Конференция в Рамбуйе закончилась безрезультатно.</w:t>
      </w:r>
    </w:p>
    <w:p w:rsidR="004B5E12" w:rsidRPr="00F87AB7" w:rsidRDefault="004B5E12" w:rsidP="00312F68">
      <w:pPr>
        <w:suppressAutoHyphens/>
        <w:autoSpaceDE w:val="0"/>
        <w:autoSpaceDN w:val="0"/>
        <w:adjustRightInd w:val="0"/>
        <w:spacing w:after="0" w:line="360" w:lineRule="auto"/>
        <w:ind w:firstLine="709"/>
        <w:jc w:val="both"/>
        <w:rPr>
          <w:rFonts w:ascii="Times New Roman" w:hAnsi="Times New Roman"/>
          <w:color w:val="000000"/>
          <w:sz w:val="28"/>
          <w:szCs w:val="28"/>
          <w:lang w:eastAsia="ru-RU"/>
        </w:rPr>
      </w:pPr>
      <w:r w:rsidRPr="00F87AB7">
        <w:rPr>
          <w:rFonts w:ascii="Times New Roman" w:hAnsi="Times New Roman"/>
          <w:color w:val="000000"/>
          <w:sz w:val="28"/>
          <w:szCs w:val="28"/>
          <w:lang w:eastAsia="ru-RU"/>
        </w:rPr>
        <w:t>С 15 по 18 марта в Париже прошел второй тур переговоров, в ходе которых представители США продолжали выдвигать неприемлемые для сербской стороны условия. При этом раздавались угрозы применения силы, если Белград не примет ультимативных требований. Создавалось впечатление о преднамеренном расчете сорвать переговоры. Так и произошло. Хотя Белград был готов продолжать поиски решения, Вашингтон, не дожидаясь формального завершения переговоров, стал готовить операцию по нанесению воздушных ударов по Югославии. Несмотря на все предупреждения со стороны России об опасных последствиях такого трагического шага, 24 марта 1999 г. началась агрессия НАТО против СРЮ.</w:t>
      </w:r>
    </w:p>
    <w:p w:rsidR="004B5E12" w:rsidRPr="00F87AB7" w:rsidRDefault="004B5E12" w:rsidP="00312F68">
      <w:pPr>
        <w:suppressAutoHyphens/>
        <w:autoSpaceDE w:val="0"/>
        <w:autoSpaceDN w:val="0"/>
        <w:adjustRightInd w:val="0"/>
        <w:spacing w:after="0" w:line="360" w:lineRule="auto"/>
        <w:ind w:firstLine="709"/>
        <w:jc w:val="both"/>
        <w:rPr>
          <w:rFonts w:ascii="Times New Roman" w:hAnsi="Times New Roman"/>
          <w:color w:val="000000"/>
          <w:sz w:val="28"/>
          <w:szCs w:val="28"/>
          <w:lang w:eastAsia="ru-RU"/>
        </w:rPr>
      </w:pPr>
      <w:r w:rsidRPr="00F87AB7">
        <w:rPr>
          <w:rFonts w:ascii="Times New Roman" w:hAnsi="Times New Roman"/>
          <w:color w:val="000000"/>
          <w:sz w:val="28"/>
          <w:szCs w:val="28"/>
          <w:lang w:eastAsia="ru-RU"/>
        </w:rPr>
        <w:t>Называют ряд причин, толкнувших администрацию Клинтона пойти на такую авантюрную операцию. Среди них был расчет, что СРЮ не сможет оказать долгого сопротивления и капитулирует. В Косово будет создана новая база НАТО, что приведет к сплочению рядов участников альянса под руководством Вашингтона. Это содействовало бы осуществлению стратегического плана США по формированию однополярного американского мира. Об этом свидетельствуют решения, принятые на юбилейной встрече в верхах с участниками Североатлантического союза 23-24 апреля, о новой стратегической концепции на XXI век.</w:t>
      </w:r>
    </w:p>
    <w:p w:rsidR="004B5E12" w:rsidRPr="00F87AB7" w:rsidRDefault="004B5E12" w:rsidP="00312F68">
      <w:pPr>
        <w:suppressAutoHyphens/>
        <w:autoSpaceDE w:val="0"/>
        <w:autoSpaceDN w:val="0"/>
        <w:adjustRightInd w:val="0"/>
        <w:spacing w:after="0" w:line="360" w:lineRule="auto"/>
        <w:ind w:firstLine="709"/>
        <w:jc w:val="both"/>
        <w:rPr>
          <w:rFonts w:ascii="Times New Roman" w:hAnsi="Times New Roman"/>
          <w:color w:val="000000"/>
          <w:sz w:val="28"/>
          <w:szCs w:val="28"/>
          <w:lang w:eastAsia="ru-RU"/>
        </w:rPr>
      </w:pPr>
      <w:r w:rsidRPr="00F87AB7">
        <w:rPr>
          <w:rFonts w:ascii="Times New Roman" w:hAnsi="Times New Roman"/>
          <w:color w:val="000000"/>
          <w:sz w:val="28"/>
          <w:szCs w:val="28"/>
          <w:lang w:eastAsia="ru-RU"/>
        </w:rPr>
        <w:t>Согласно этой новой стратегии, НАТО наделяет себя в одностороннем порядке правом вооруженного вмешательства по своему усмотрению в дела любого государства в любом регионе мира без санкций Совета Безопасности ООН. Это – заявка НАТО на роль международного жандарма, то есть на узурпирование полномочий Совета Безопасности и оттеснение на задний план ОБСЕ, Совета Европы и других региональных организаций. Ставится под сомнение жизнеспособность всей системы международных отношений, сложившихся после второй мировой войны, а также вся система международного права. Перечеркиваются положительные достижения в рамках ООН и ОБСЕ по претворению в жизнь превентивной дипломатии, миротворчества и поддержания мира. Массовые убийства и ранения гражданского населения, разрушение их домов, а также исторических памятников и другие варварские акции воздушных сил НАТО являются грубым нарушением как международного права в период вооруженных конфликтов, так и общепризнанных норм морали и религии.</w:t>
      </w:r>
    </w:p>
    <w:p w:rsidR="004B5E12" w:rsidRPr="00F87AB7" w:rsidRDefault="004B5E12" w:rsidP="00312F68">
      <w:pPr>
        <w:suppressAutoHyphens/>
        <w:autoSpaceDE w:val="0"/>
        <w:autoSpaceDN w:val="0"/>
        <w:adjustRightInd w:val="0"/>
        <w:spacing w:after="0" w:line="360" w:lineRule="auto"/>
        <w:ind w:firstLine="709"/>
        <w:jc w:val="both"/>
        <w:rPr>
          <w:rFonts w:ascii="Times New Roman" w:hAnsi="Times New Roman"/>
          <w:color w:val="000000"/>
          <w:sz w:val="28"/>
          <w:szCs w:val="28"/>
          <w:lang w:eastAsia="ru-RU"/>
        </w:rPr>
      </w:pPr>
      <w:r w:rsidRPr="00F87AB7">
        <w:rPr>
          <w:rFonts w:ascii="Times New Roman" w:hAnsi="Times New Roman"/>
          <w:color w:val="000000"/>
          <w:sz w:val="28"/>
          <w:szCs w:val="28"/>
          <w:lang w:eastAsia="ru-RU"/>
        </w:rPr>
        <w:t>Другой причиной, толкнувшей руководство НАТО осуществить нападение на СРЮ, многие политологи называют стремление оттянуть надвигающийся финансовый и экономический кризис, признаки которого обозначились в Латинской Америке, а затем и в Азии. В качестве одного из средств для достижения этой цели называется оживление военно-промышленного комплекса США и ведущих его союзников. Поэтому не случайно при осуществлении военных акций НАТО в Югославии испытывались новейшие образцы оружия. В то же время стремление США склонить Европу к перевооружению, к разработке и наращиванию новых видов оружия может вызвать очередной тур гонки вооружений, что явилось бы одним из источников угрозы миру. Такой подход есть проявление пагубного наследия прошлого в сознании определенных правящих кругов и не только стран НАТО. Он дает аргумент тем силам, в частности в Азии, чтобы выступить против соблюдения режима нераспространения ядерного оружия и других средств массового поражения. В этой связи следовало бы напомнить мысли Карла Либкнехта, изложенные в его классическом труде «Милитаризм и антимилитаризм». Выступая за отказ от военного соперничества государств и за разоружение, он отмечал, что пора исключить из сознания людей древнюю пословицу: «Если хочешь мира, готовься к войне» Он подчеркивал: «Нет большей опасности для возникновения войны, чем такой метод обеспечения мира!».</w:t>
      </w:r>
    </w:p>
    <w:p w:rsidR="004B5E12" w:rsidRPr="00F87AB7" w:rsidRDefault="004B5E12" w:rsidP="00312F68">
      <w:pPr>
        <w:suppressAutoHyphens/>
        <w:autoSpaceDE w:val="0"/>
        <w:autoSpaceDN w:val="0"/>
        <w:adjustRightInd w:val="0"/>
        <w:spacing w:after="0" w:line="360" w:lineRule="auto"/>
        <w:ind w:firstLine="709"/>
        <w:jc w:val="both"/>
        <w:rPr>
          <w:rFonts w:ascii="Times New Roman" w:hAnsi="Times New Roman"/>
          <w:color w:val="000000"/>
          <w:sz w:val="28"/>
          <w:szCs w:val="28"/>
          <w:lang w:eastAsia="ru-RU"/>
        </w:rPr>
      </w:pPr>
      <w:r w:rsidRPr="00F87AB7">
        <w:rPr>
          <w:rFonts w:ascii="Times New Roman" w:hAnsi="Times New Roman"/>
          <w:color w:val="000000"/>
          <w:sz w:val="28"/>
          <w:szCs w:val="28"/>
          <w:lang w:eastAsia="ru-RU"/>
        </w:rPr>
        <w:t>В анализе политики США упоминаются и другие мотивы: стремление помешать формированию ЕС единой экономической политики и введению единой европейской валюты – евро, которая оказалась бы серьезным соперником доллара. Касаясь этого вопроса, журнал «Евро» (1999, № 5, с. 31-32) отмечал, что военные действия НАТО в СРЮ вызвали резкое ослабление евро и способствовали укреплению доллара на мировом рынке. Имелись и соображения внутриполитического порядка в связи с предстоящими президентскими выборами: был расчет на то, что быстрая капитуляция Белграда усилит позиции Демократической партии на выборах. Однако разведывательные службы и рекомендации госдепа дали президенту Клинтону ошибочные сведения на этот счет.</w:t>
      </w:r>
    </w:p>
    <w:p w:rsidR="004B5E12" w:rsidRPr="00F87AB7" w:rsidRDefault="004B5E12" w:rsidP="00312F68">
      <w:pPr>
        <w:suppressAutoHyphens/>
        <w:autoSpaceDE w:val="0"/>
        <w:autoSpaceDN w:val="0"/>
        <w:adjustRightInd w:val="0"/>
        <w:spacing w:after="0" w:line="360" w:lineRule="auto"/>
        <w:ind w:firstLine="709"/>
        <w:jc w:val="both"/>
        <w:rPr>
          <w:rFonts w:ascii="Times New Roman" w:hAnsi="Times New Roman"/>
          <w:color w:val="000000"/>
          <w:sz w:val="28"/>
          <w:szCs w:val="28"/>
          <w:lang w:eastAsia="ru-RU"/>
        </w:rPr>
      </w:pPr>
      <w:r w:rsidRPr="00F87AB7">
        <w:rPr>
          <w:rFonts w:ascii="Times New Roman" w:hAnsi="Times New Roman"/>
          <w:color w:val="000000"/>
          <w:sz w:val="28"/>
          <w:szCs w:val="28"/>
          <w:lang w:eastAsia="ru-RU"/>
        </w:rPr>
        <w:t xml:space="preserve">НАТО проиграла также пропагандистскую войну, которую ведут ЮСИА, ЦРУ, структуры психологических операций Пентагона и соответствующие службы в других странах Североатлантического союза через средства массовой информации путем использования фабрикаций фактов и ложных сведений. Пример тому – показ по телеканалам сюжетов «бойня сербами мирных жителей в селе Рачек» (хотя телами оказались трупы боевиков из </w:t>
      </w:r>
      <w:r w:rsidRPr="00F87AB7">
        <w:rPr>
          <w:rFonts w:ascii="Times New Roman" w:hAnsi="Times New Roman"/>
          <w:color w:val="000000"/>
          <w:sz w:val="28"/>
          <w:szCs w:val="28"/>
          <w:lang w:val="en-US" w:eastAsia="ru-RU"/>
        </w:rPr>
        <w:t>OAK</w:t>
      </w:r>
      <w:r w:rsidRPr="00F87AB7">
        <w:rPr>
          <w:rFonts w:ascii="Times New Roman" w:hAnsi="Times New Roman"/>
          <w:color w:val="000000"/>
          <w:sz w:val="28"/>
          <w:szCs w:val="28"/>
          <w:lang w:eastAsia="ru-RU"/>
        </w:rPr>
        <w:t>, напавших на сербские силы), «убийство ребенка» (вместо тела которого была подложена кукла) и т.д. В современный век выхода народных масс на историческую арену и их стремления к самостоятельному политическому мышлению нельзя долго манипулировать их сознанием. Подлинная правда в конечном счете возьмет верх, а те, кто распространяет ложные сведения и клевету, окажутся в изоляции. Более того, они должны понести ответственность за нарушение резолюции ООН «Ложная или извращенная информация» от 15 ноября 1945 г., которая призывает вести борьбу с распространением ложных или извращенных известий.</w:t>
      </w:r>
    </w:p>
    <w:p w:rsidR="004B5E12" w:rsidRPr="00F87AB7" w:rsidRDefault="004B5E12" w:rsidP="00312F68">
      <w:pPr>
        <w:suppressAutoHyphens/>
        <w:autoSpaceDE w:val="0"/>
        <w:autoSpaceDN w:val="0"/>
        <w:adjustRightInd w:val="0"/>
        <w:spacing w:after="0" w:line="360" w:lineRule="auto"/>
        <w:ind w:firstLine="709"/>
        <w:jc w:val="both"/>
        <w:rPr>
          <w:rFonts w:ascii="Times New Roman" w:hAnsi="Times New Roman"/>
          <w:color w:val="000000"/>
          <w:sz w:val="28"/>
          <w:szCs w:val="28"/>
          <w:lang w:eastAsia="ru-RU"/>
        </w:rPr>
      </w:pPr>
      <w:r w:rsidRPr="00F87AB7">
        <w:rPr>
          <w:rFonts w:ascii="Times New Roman" w:hAnsi="Times New Roman"/>
          <w:color w:val="000000"/>
          <w:sz w:val="28"/>
          <w:szCs w:val="28"/>
          <w:lang w:eastAsia="ru-RU"/>
        </w:rPr>
        <w:t xml:space="preserve">Если в первые дни нападения НАТО на Югославию эта акция была осуждена половиной человечества в лице Китая, Индии, России и некоторых других стран, то впоследствии и в общественном мнении политиков и населения стран-участников НАТО стал происходить поворот в сторону требований о прекращении войны против СРЮ. С критикой действий администрации Клинтона выступил Г.Киссинджер, который отметил, что балканская кампания НАТО может подорвать единство этого союза, вызвать осложнения в отношениях США с Россией и Китаем и показать некомпетентность руководства США в международных вопросах. Операция «союзническая сила» была осуждена и известной консервативной организацией США – «Фондом наследия», который заявил, что «ни США, ни их партнеры по блоку не имеют достаточных ресурсов для </w:t>
      </w:r>
      <w:r w:rsidR="005C4F20" w:rsidRPr="00F87AB7">
        <w:rPr>
          <w:rFonts w:ascii="Times New Roman" w:hAnsi="Times New Roman"/>
          <w:color w:val="000000"/>
          <w:sz w:val="28"/>
          <w:szCs w:val="28"/>
          <w:lang w:eastAsia="ru-RU"/>
        </w:rPr>
        <w:t>военного вмешательства повсюду»</w:t>
      </w:r>
      <w:r w:rsidRPr="00F87AB7">
        <w:rPr>
          <w:rFonts w:ascii="Times New Roman" w:hAnsi="Times New Roman"/>
          <w:color w:val="000000"/>
          <w:sz w:val="28"/>
          <w:szCs w:val="28"/>
          <w:lang w:eastAsia="ru-RU"/>
        </w:rPr>
        <w:t>.</w:t>
      </w:r>
    </w:p>
    <w:p w:rsidR="004B5E12" w:rsidRPr="00F87AB7" w:rsidRDefault="004B5E12" w:rsidP="00312F68">
      <w:pPr>
        <w:suppressAutoHyphens/>
        <w:autoSpaceDE w:val="0"/>
        <w:autoSpaceDN w:val="0"/>
        <w:adjustRightInd w:val="0"/>
        <w:spacing w:after="0" w:line="360" w:lineRule="auto"/>
        <w:ind w:firstLine="709"/>
        <w:jc w:val="both"/>
        <w:rPr>
          <w:rFonts w:ascii="Times New Roman" w:hAnsi="Times New Roman"/>
          <w:color w:val="000000"/>
          <w:sz w:val="28"/>
          <w:szCs w:val="28"/>
          <w:lang w:eastAsia="ru-RU"/>
        </w:rPr>
      </w:pPr>
      <w:r w:rsidRPr="00F87AB7">
        <w:rPr>
          <w:rFonts w:ascii="Times New Roman" w:hAnsi="Times New Roman"/>
          <w:color w:val="000000"/>
          <w:sz w:val="28"/>
          <w:szCs w:val="28"/>
          <w:lang w:eastAsia="ru-RU"/>
        </w:rPr>
        <w:t>С осуждением войны НАТО против СРЮ выступил также один из претендентов на пост президента США республиканец П.Бьюкенен, бывший вице-президент США Д.Куэйл, бывшие министры юстиции США Р.Кларк и обороны Р.Макномара и другие. Папа Римский Иоан Павел II во время встречи с президентом Италии 23 марта 1999 г. заявил, что всякий акт войны – преступление против Бога.</w:t>
      </w:r>
    </w:p>
    <w:p w:rsidR="004B5E12" w:rsidRPr="00F87AB7" w:rsidRDefault="004B5E12" w:rsidP="00312F68">
      <w:pPr>
        <w:suppressAutoHyphens/>
        <w:autoSpaceDE w:val="0"/>
        <w:autoSpaceDN w:val="0"/>
        <w:adjustRightInd w:val="0"/>
        <w:spacing w:after="0" w:line="360" w:lineRule="auto"/>
        <w:ind w:firstLine="709"/>
        <w:jc w:val="both"/>
        <w:rPr>
          <w:rFonts w:ascii="Times New Roman" w:hAnsi="Times New Roman"/>
          <w:color w:val="000000"/>
          <w:sz w:val="28"/>
          <w:szCs w:val="28"/>
          <w:lang w:eastAsia="ru-RU"/>
        </w:rPr>
      </w:pPr>
      <w:r w:rsidRPr="00F87AB7">
        <w:rPr>
          <w:rFonts w:ascii="Times New Roman" w:hAnsi="Times New Roman"/>
          <w:color w:val="000000"/>
          <w:sz w:val="28"/>
          <w:szCs w:val="28"/>
          <w:lang w:eastAsia="ru-RU"/>
        </w:rPr>
        <w:t xml:space="preserve">К непредсказуемым опасным последствиям может привести блокирование США с албанскими боевиками в расчете сделать ОАК главной ударной силой в Югославии и Албании, доведя их численность до 100 тыс. чел. Это угрожает военным переворотом или возобновлением гражданской войны и в самой Албании. Ставка на албанских экстремистов с их планами «Великой Албании» приведет к расширению этнического конфликта в Македонии, где албанцы уже требуют предоставления им «статуса народа». Линия США и их союзников на образование множества «независимых» государств на территории бывшей Югославии по этническому признаку (Косово, затем Черногория, Воеводина, Санджак) превратит Балканы в «пороховую бочку». Более того, такой подход ударит рикошетом и по ряду самих европейских стран, где имеются национальные меньшинства (Испания, Франция, Великобритания, Румыния). А поддержка Вашингтоном, ФРГ и другими странами НАТО </w:t>
      </w:r>
      <w:r w:rsidRPr="00F87AB7">
        <w:rPr>
          <w:rFonts w:ascii="Times New Roman" w:hAnsi="Times New Roman"/>
          <w:color w:val="000000"/>
          <w:sz w:val="28"/>
          <w:szCs w:val="28"/>
          <w:lang w:val="en-US" w:eastAsia="ru-RU"/>
        </w:rPr>
        <w:t>OAK</w:t>
      </w:r>
      <w:r w:rsidRPr="00F87AB7">
        <w:rPr>
          <w:rFonts w:ascii="Times New Roman" w:hAnsi="Times New Roman"/>
          <w:color w:val="000000"/>
          <w:sz w:val="28"/>
          <w:szCs w:val="28"/>
          <w:lang w:eastAsia="ru-RU"/>
        </w:rPr>
        <w:t xml:space="preserve">, существующей на средства наркобизнеса и прибегающей к терроризму, является нарушением Декларации ООН о мерах по ликвидации международного терроризма от 9 декабря 1994 г., конвенции ООН о борьбе против незаконного оборота наркотических средств и психотропных веществ, Международной конвенции о борьбе с вербовкой, использованием, финансированием и обучением наемников» от 4 декабря 1989 г. В составе ОАК – наемники из Албании, Саудовской Аравии, Йемена, Афганистана, Хорватии, Боснии и других стран. Проблема </w:t>
      </w:r>
      <w:r w:rsidRPr="00F87AB7">
        <w:rPr>
          <w:rFonts w:ascii="Times New Roman" w:hAnsi="Times New Roman"/>
          <w:color w:val="000000"/>
          <w:sz w:val="28"/>
          <w:szCs w:val="28"/>
          <w:lang w:val="en-US" w:eastAsia="ru-RU"/>
        </w:rPr>
        <w:t>OAK</w:t>
      </w:r>
      <w:r w:rsidRPr="00F87AB7">
        <w:rPr>
          <w:rFonts w:ascii="Times New Roman" w:hAnsi="Times New Roman"/>
          <w:color w:val="000000"/>
          <w:sz w:val="28"/>
          <w:szCs w:val="28"/>
          <w:lang w:eastAsia="ru-RU"/>
        </w:rPr>
        <w:t xml:space="preserve"> – одна из главных в ходе проведения миротворческой операции в Косово. В первую очередь надо добиться полного разоружения ее подразделений и выдворения из Косово всех наемников из других стран. Без этого не может быть мирного будущего не только в Косово, но и на Балканах в целом.</w:t>
      </w:r>
    </w:p>
    <w:p w:rsidR="004B5E12" w:rsidRPr="00F87AB7" w:rsidRDefault="004B5E12" w:rsidP="00312F68">
      <w:pPr>
        <w:suppressAutoHyphens/>
        <w:autoSpaceDE w:val="0"/>
        <w:autoSpaceDN w:val="0"/>
        <w:adjustRightInd w:val="0"/>
        <w:spacing w:after="0" w:line="360" w:lineRule="auto"/>
        <w:ind w:firstLine="709"/>
        <w:jc w:val="both"/>
        <w:rPr>
          <w:rFonts w:ascii="Times New Roman" w:hAnsi="Times New Roman"/>
          <w:color w:val="000000"/>
          <w:sz w:val="28"/>
          <w:szCs w:val="28"/>
          <w:lang w:eastAsia="ru-RU"/>
        </w:rPr>
      </w:pPr>
      <w:r w:rsidRPr="00F87AB7">
        <w:rPr>
          <w:rFonts w:ascii="Times New Roman" w:hAnsi="Times New Roman"/>
          <w:color w:val="000000"/>
          <w:sz w:val="28"/>
          <w:szCs w:val="28"/>
          <w:lang w:eastAsia="ru-RU"/>
        </w:rPr>
        <w:t>Югославский кризис и последовавшие за ним события показали, что политика воинственных фракций США и НАТО и их попытка разрушить сложившуюся систему международных отношений и международного права дала осечку. Опыт истории вновь подтвердил несостоятельность и опасность политики с позиции силы. Бесплодными оказались намерения утвердить однополюсный миропорядок, в котором судьбы народов вершились бы из Вашингтона. В основе стремления установить однополярный мир лежит политика силы и гегемонии, которая была осуждена международным сообществом в Уставе ООН, в резолюциях этой организации о недопустимости применения силы или угрозы силой, а также в резолюции ООН от 14 декабря 1979 г. о недопустимости политики гегемонизма в международных отношениях. В ней подчеркивалось: «Гегемонизм является проявлением политики государства или группы государств, стремящихся политическим, экономически, идеологическим или военным образом контролировать, доминировать или подчинять себе другие государства, народы или районы мира». Силы мира и сотрудничества оказались сильнее, чем демонические силы зла и насилия.</w:t>
      </w:r>
    </w:p>
    <w:p w:rsidR="004B5E12" w:rsidRPr="00F87AB7" w:rsidRDefault="004B5E12" w:rsidP="00312F68">
      <w:pPr>
        <w:suppressAutoHyphens/>
        <w:autoSpaceDE w:val="0"/>
        <w:autoSpaceDN w:val="0"/>
        <w:adjustRightInd w:val="0"/>
        <w:spacing w:after="0" w:line="360" w:lineRule="auto"/>
        <w:ind w:firstLine="709"/>
        <w:jc w:val="both"/>
        <w:rPr>
          <w:rFonts w:ascii="Times New Roman" w:hAnsi="Times New Roman"/>
          <w:color w:val="000000"/>
          <w:sz w:val="28"/>
          <w:szCs w:val="28"/>
          <w:lang w:eastAsia="ru-RU"/>
        </w:rPr>
      </w:pPr>
      <w:r w:rsidRPr="00F87AB7">
        <w:rPr>
          <w:rFonts w:ascii="Times New Roman" w:hAnsi="Times New Roman"/>
          <w:color w:val="000000"/>
          <w:sz w:val="28"/>
          <w:szCs w:val="28"/>
          <w:lang w:eastAsia="ru-RU"/>
        </w:rPr>
        <w:t>Вместе с тем трагические события на Балканах показали, как отмечалось в Заявлении МИД России от 27 апреля 1999 года, что «реальной трансформации НАТО из военной в преимущественно политическую организацию, о чем столько говорилось в последние годы, так и не произошло». Военная операция НАТО в СРЮ, комментировал американский журнал «Ньюсуик» от 5 апреля 1999 г., означала кардинальное изменение союза, его переход от права на индивидуальную или коллективную самооборону для отражения агрессии извне к наступательному союзу для поддержки одной из сторон во внутреннем гражданском или этническом конфликте. Таким образом, перечеркиваются статьи 1, 5 и 7 Североатлантического договора, утрачивается сама правовая основа его существования и подрывается репутация НАТО с правом выступать в роли партнера для сохранения мира.</w:t>
      </w:r>
    </w:p>
    <w:p w:rsidR="004B5E12" w:rsidRPr="00F87AB7" w:rsidRDefault="004B5E12" w:rsidP="00312F68">
      <w:pPr>
        <w:suppressAutoHyphens/>
        <w:autoSpaceDE w:val="0"/>
        <w:autoSpaceDN w:val="0"/>
        <w:adjustRightInd w:val="0"/>
        <w:spacing w:after="0" w:line="360" w:lineRule="auto"/>
        <w:ind w:firstLine="709"/>
        <w:jc w:val="both"/>
        <w:rPr>
          <w:rFonts w:ascii="Times New Roman" w:hAnsi="Times New Roman"/>
          <w:color w:val="000000"/>
          <w:sz w:val="28"/>
          <w:szCs w:val="28"/>
          <w:lang w:eastAsia="ru-RU"/>
        </w:rPr>
      </w:pPr>
      <w:r w:rsidRPr="00F87AB7">
        <w:rPr>
          <w:rFonts w:ascii="Times New Roman" w:hAnsi="Times New Roman"/>
          <w:color w:val="000000"/>
          <w:sz w:val="28"/>
          <w:szCs w:val="28"/>
          <w:lang w:eastAsia="ru-RU"/>
        </w:rPr>
        <w:t>На страницах таких известных американских журналов, как «ФоринАфферс», «ФоринПолиси», «Интернэшнл Афферс», французских изданий «ДефансНасиональ», «Ле Монд дипломатик», «Ле Монд» и других стали появляться критические статьи о деятельности НАТО и о гегемонизме США. Так, в октябрьском номере «ДефансНасиональ» была опубликована статья генерального контролера вооруженных сил Франции А.Колле «Балканы – театр войны». Автор отмечает, что «одностороннее развязывание НАТО военных операций означает возвращение к биполярному миру «холодной войны и вновь вызывает на свет призрак третьей мировой войны». В ноябрьском номере журнала «Ле Монд дипломатик» появилась статья известного американского историка Г.Колко «Уроки войны. Косово: военный успех и политическое поражение». Автор статьи пишет, что война НАТО против СРЮ подорвала «репутацию» союза, внесла разногласия как среди его участников, так и внутри них, особенно в Италии, Германии и США. Война была осуждена мировым общественным мнением, что явилось «решающим фактором ее прекращения». США «вышли из этой новой трагедии более изолированными» как в Европе, так и во всем мире». Сходную оценку дал и известный американский политолог Ф.Хантингтон в статье «Одинокая сверхдержава» в «ФоринАфферс» (март-апрель 1999 г.). Анализируя ряд вышедших в США книг о положении на Балканах, консультант из «Рэндкорпорейшен» М.ВанХеувен сделал заключение, что основным выводом для Запада должно быть умение вести дела с Сербией, поскольку она представляет главное действующее лицо на Балканах. Значительный отклик во Франции и не только в ней вызвала статья Реже Дебре в газете «Монд.» Р.Дебре – писатель, философ, бывший советник Миттерана – побывал в Косово и сделал вывод, что средства пропаганды НАТО распространяют фальшивые сведения и клевету в отношении сербов.</w:t>
      </w:r>
    </w:p>
    <w:p w:rsidR="004B5E12" w:rsidRPr="00F87AB7" w:rsidRDefault="004B5E12" w:rsidP="00312F68">
      <w:pPr>
        <w:suppressAutoHyphens/>
        <w:autoSpaceDE w:val="0"/>
        <w:autoSpaceDN w:val="0"/>
        <w:adjustRightInd w:val="0"/>
        <w:spacing w:after="0" w:line="360" w:lineRule="auto"/>
        <w:ind w:firstLine="709"/>
        <w:jc w:val="both"/>
        <w:rPr>
          <w:rFonts w:ascii="Times New Roman" w:hAnsi="Times New Roman"/>
          <w:color w:val="000000"/>
          <w:sz w:val="28"/>
          <w:szCs w:val="28"/>
          <w:lang w:eastAsia="ru-RU"/>
        </w:rPr>
      </w:pPr>
      <w:r w:rsidRPr="00F87AB7">
        <w:rPr>
          <w:rFonts w:ascii="Times New Roman" w:hAnsi="Times New Roman"/>
          <w:color w:val="000000"/>
          <w:sz w:val="28"/>
          <w:szCs w:val="28"/>
          <w:lang w:eastAsia="ru-RU"/>
        </w:rPr>
        <w:t>В силу приведенных выше данных стал происходить сдвиг в правящих кругах ведущих стран НАТО в сторону более реалистической оценки своих возможностей, осознания бесперспективности решения косовской проблемы военной силой и установления однополюсного мира под гегемонией США.</w:t>
      </w:r>
    </w:p>
    <w:p w:rsidR="004B5E12" w:rsidRPr="00F87AB7" w:rsidRDefault="004B5E12" w:rsidP="00312F68">
      <w:pPr>
        <w:suppressAutoHyphens/>
        <w:autoSpaceDE w:val="0"/>
        <w:autoSpaceDN w:val="0"/>
        <w:adjustRightInd w:val="0"/>
        <w:spacing w:after="0" w:line="360" w:lineRule="auto"/>
        <w:ind w:firstLine="709"/>
        <w:jc w:val="both"/>
        <w:rPr>
          <w:rFonts w:ascii="Times New Roman" w:hAnsi="Times New Roman"/>
          <w:color w:val="000000"/>
          <w:sz w:val="28"/>
          <w:szCs w:val="28"/>
          <w:lang w:eastAsia="ru-RU"/>
        </w:rPr>
      </w:pPr>
      <w:r w:rsidRPr="00F87AB7">
        <w:rPr>
          <w:rFonts w:ascii="Times New Roman" w:hAnsi="Times New Roman"/>
          <w:color w:val="000000"/>
          <w:sz w:val="28"/>
          <w:szCs w:val="28"/>
          <w:lang w:eastAsia="ru-RU"/>
        </w:rPr>
        <w:t>В этой обстановке должное понимание нашло заявление Президента Б.Ельцина на церемонии вручения верительных грамот группой послов в конце августа 1999 г. о том, что главной задачей мирового сообщества в XXI веке является создание прочного многополюсного мира на демократической основе. 12-13 мая 1999 г. по инициативе французской стороны в России находился Президент Франции Жак Ширак. В ходе встречи президентов России и Франции была подчеркнута важность построения многополярной модели мира, усиления роли и авторитета ООН и верховенства международного права.</w:t>
      </w:r>
    </w:p>
    <w:p w:rsidR="004B5E12" w:rsidRPr="00F87AB7" w:rsidRDefault="004B5E12" w:rsidP="00312F68">
      <w:pPr>
        <w:suppressAutoHyphens/>
        <w:autoSpaceDE w:val="0"/>
        <w:autoSpaceDN w:val="0"/>
        <w:adjustRightInd w:val="0"/>
        <w:spacing w:after="0" w:line="360" w:lineRule="auto"/>
        <w:ind w:firstLine="709"/>
        <w:jc w:val="both"/>
        <w:rPr>
          <w:rFonts w:ascii="Times New Roman" w:hAnsi="Times New Roman"/>
          <w:color w:val="000000"/>
          <w:sz w:val="28"/>
          <w:szCs w:val="28"/>
          <w:lang w:eastAsia="ru-RU"/>
        </w:rPr>
      </w:pPr>
      <w:r w:rsidRPr="00F87AB7">
        <w:rPr>
          <w:rFonts w:ascii="Times New Roman" w:hAnsi="Times New Roman"/>
          <w:color w:val="000000"/>
          <w:sz w:val="28"/>
          <w:szCs w:val="28"/>
          <w:lang w:eastAsia="ru-RU"/>
        </w:rPr>
        <w:t>Следовательно, линия на возврат решения острых международных проблем, в том числе и косовской, в политико-правовое поле ООН, на повышение роли ОБСЕ и других региональных организаций, несмотря на все препятствия, набирает силу.</w:t>
      </w:r>
    </w:p>
    <w:p w:rsidR="004B5E12" w:rsidRPr="00F87AB7" w:rsidRDefault="004B5E12" w:rsidP="00312F68">
      <w:pPr>
        <w:suppressAutoHyphens/>
        <w:autoSpaceDE w:val="0"/>
        <w:autoSpaceDN w:val="0"/>
        <w:adjustRightInd w:val="0"/>
        <w:spacing w:after="0" w:line="360" w:lineRule="auto"/>
        <w:ind w:firstLine="709"/>
        <w:jc w:val="both"/>
        <w:rPr>
          <w:rFonts w:ascii="Times New Roman" w:hAnsi="Times New Roman"/>
          <w:color w:val="000000"/>
          <w:sz w:val="28"/>
          <w:szCs w:val="28"/>
          <w:lang w:eastAsia="ru-RU"/>
        </w:rPr>
      </w:pPr>
      <w:r w:rsidRPr="00F87AB7">
        <w:rPr>
          <w:rFonts w:ascii="Times New Roman" w:hAnsi="Times New Roman"/>
          <w:color w:val="000000"/>
          <w:sz w:val="28"/>
          <w:szCs w:val="28"/>
          <w:lang w:eastAsia="ru-RU"/>
        </w:rPr>
        <w:t xml:space="preserve">В этом плане можно рассматривать решение совета министров иностранных дел группы «восьмерки» от 6 мая 1999 г. и резолюцию СБ ООН 1244 от 10 июня по Косово, в которых говорилось о самоуправлении Косово при соблюдении принципов суверенитета и территориальной целостности СРЮ, а также о необходимости разоружения </w:t>
      </w:r>
      <w:r w:rsidRPr="00F87AB7">
        <w:rPr>
          <w:rFonts w:ascii="Times New Roman" w:hAnsi="Times New Roman"/>
          <w:color w:val="000000"/>
          <w:sz w:val="28"/>
          <w:szCs w:val="28"/>
          <w:lang w:val="en-US" w:eastAsia="ru-RU"/>
        </w:rPr>
        <w:t>OAK</w:t>
      </w:r>
      <w:r w:rsidRPr="00F87AB7">
        <w:rPr>
          <w:rFonts w:ascii="Times New Roman" w:hAnsi="Times New Roman"/>
          <w:color w:val="000000"/>
          <w:sz w:val="28"/>
          <w:szCs w:val="28"/>
          <w:lang w:eastAsia="ru-RU"/>
        </w:rPr>
        <w:t>. Эти обязательства были подтверждены на совещании МИД «группы восьми» в Кельне 10 июня, а позднее на встрече «большой восьмерки» в Кельне 18-20 июня 1999 года. На этих форумах были рассмотрены и другие вопросы, относящиеся к безопасности и сотрудничеству в Средиземноморье и Юго-Восточной Европе.</w:t>
      </w:r>
    </w:p>
    <w:p w:rsidR="004B5E12" w:rsidRPr="00F87AB7" w:rsidRDefault="004B5E12" w:rsidP="00312F68">
      <w:pPr>
        <w:suppressAutoHyphens/>
        <w:autoSpaceDE w:val="0"/>
        <w:autoSpaceDN w:val="0"/>
        <w:adjustRightInd w:val="0"/>
        <w:spacing w:after="0" w:line="360" w:lineRule="auto"/>
        <w:ind w:firstLine="709"/>
        <w:jc w:val="both"/>
        <w:rPr>
          <w:rFonts w:ascii="Times New Roman" w:hAnsi="Times New Roman"/>
          <w:color w:val="000000"/>
          <w:sz w:val="28"/>
          <w:szCs w:val="28"/>
          <w:lang w:eastAsia="ru-RU"/>
        </w:rPr>
      </w:pPr>
      <w:r w:rsidRPr="00F87AB7">
        <w:rPr>
          <w:rFonts w:ascii="Times New Roman" w:hAnsi="Times New Roman"/>
          <w:color w:val="000000"/>
          <w:sz w:val="28"/>
          <w:szCs w:val="28"/>
          <w:lang w:eastAsia="ru-RU"/>
        </w:rPr>
        <w:t>О кипрском урегулировании. В июле 1974 г. афинской военной хунтой была осуществлена попытка устроить на Кипре государственный переворот. В ответ Турция как «гарант» обеспечения безопасности турко-кипрской общины ввела на остров войска. В 1983 г. в условиях размещения на Кипре турецких войск было провозглашено создание так называемой «Турецкой Республики Северного Кипра». Ее признала только Турция, а ООН осудила этот акт.</w:t>
      </w:r>
    </w:p>
    <w:p w:rsidR="004B5E12" w:rsidRPr="00F87AB7" w:rsidRDefault="004B5E12" w:rsidP="00312F68">
      <w:pPr>
        <w:suppressAutoHyphens/>
        <w:autoSpaceDE w:val="0"/>
        <w:autoSpaceDN w:val="0"/>
        <w:adjustRightInd w:val="0"/>
        <w:spacing w:after="0" w:line="360" w:lineRule="auto"/>
        <w:ind w:firstLine="709"/>
        <w:jc w:val="both"/>
        <w:rPr>
          <w:rFonts w:ascii="Times New Roman" w:hAnsi="Times New Roman"/>
          <w:color w:val="000000"/>
          <w:sz w:val="28"/>
          <w:szCs w:val="28"/>
          <w:lang w:eastAsia="ru-RU"/>
        </w:rPr>
      </w:pPr>
      <w:r w:rsidRPr="00F87AB7">
        <w:rPr>
          <w:rFonts w:ascii="Times New Roman" w:hAnsi="Times New Roman"/>
          <w:color w:val="000000"/>
          <w:sz w:val="28"/>
          <w:szCs w:val="28"/>
          <w:lang w:eastAsia="ru-RU"/>
        </w:rPr>
        <w:t>Совет Безопасности ООН в резолюции 1092 от 23 декабря 1996 г. по инициативе России поставил задачу добиваться возобновления межобщинного переговорного процесса. В апреле 1997 г. российская сторона выдвинула предложения относительно «Базисных принципов урегулирования на Кипре», которые учитывались кипрскими сторонами в ходе их диалога.</w:t>
      </w:r>
    </w:p>
    <w:p w:rsidR="004B5E12" w:rsidRPr="00F87AB7" w:rsidRDefault="004B5E12" w:rsidP="00312F68">
      <w:pPr>
        <w:suppressAutoHyphens/>
        <w:autoSpaceDE w:val="0"/>
        <w:autoSpaceDN w:val="0"/>
        <w:adjustRightInd w:val="0"/>
        <w:spacing w:after="0" w:line="360" w:lineRule="auto"/>
        <w:ind w:firstLine="709"/>
        <w:jc w:val="both"/>
        <w:rPr>
          <w:rFonts w:ascii="Times New Roman" w:hAnsi="Times New Roman"/>
          <w:color w:val="000000"/>
          <w:sz w:val="28"/>
          <w:szCs w:val="28"/>
          <w:lang w:eastAsia="ru-RU"/>
        </w:rPr>
      </w:pPr>
      <w:r w:rsidRPr="00F87AB7">
        <w:rPr>
          <w:rFonts w:ascii="Times New Roman" w:hAnsi="Times New Roman"/>
          <w:color w:val="000000"/>
          <w:sz w:val="28"/>
          <w:szCs w:val="28"/>
          <w:lang w:eastAsia="ru-RU"/>
        </w:rPr>
        <w:t>В Заявлении «группы восьми» по региональным вопросам, сделанном в июне 1999 г. в Кельне, содержался призыв к генеральному секретарю ООН на основе соответствующих резолюций СБ ООН пригласить лидеров обеих общин на переговоры при принятии или на себя обязательства соблюдать следующие принципы: 1) невыдвижение каких-либо предварительных условий; 2) вынесение на обсуждение всех вопросов; 3) добросовестное ведение переговоров до достижения урегулирования; 4) полное следование соответствующим резолюциям ООН и договорам.</w:t>
      </w:r>
    </w:p>
    <w:p w:rsidR="004B5E12" w:rsidRPr="00F87AB7" w:rsidRDefault="004B5E12" w:rsidP="00312F68">
      <w:pPr>
        <w:suppressAutoHyphens/>
        <w:autoSpaceDE w:val="0"/>
        <w:autoSpaceDN w:val="0"/>
        <w:adjustRightInd w:val="0"/>
        <w:spacing w:after="0" w:line="360" w:lineRule="auto"/>
        <w:ind w:firstLine="709"/>
        <w:jc w:val="both"/>
        <w:rPr>
          <w:rFonts w:ascii="Times New Roman" w:hAnsi="Times New Roman"/>
          <w:color w:val="000000"/>
          <w:sz w:val="28"/>
          <w:szCs w:val="28"/>
          <w:lang w:eastAsia="ru-RU"/>
        </w:rPr>
      </w:pPr>
      <w:r w:rsidRPr="00F87AB7">
        <w:rPr>
          <w:rFonts w:ascii="Times New Roman" w:hAnsi="Times New Roman"/>
          <w:color w:val="000000"/>
          <w:sz w:val="28"/>
          <w:szCs w:val="28"/>
          <w:lang w:eastAsia="ru-RU"/>
        </w:rPr>
        <w:t>Ближневосточное урегулирование. Россия наряду с США является коспонсором ближневосточного мирного процесса (СССР и США сопредседательствовали на Мадридской встрече). Вслед за состоявшейся в 1991 г. Мадридской мирной конференцией по Ближнему Востоку были начаты двусторонние арабо-израильские (по палестинскому, иорданскому, сирийскому и ливанскому направлениям) и многосторонние (по общерегиональной проблематике) переговоры. В 1994 г. был заключен мирный договор между Израилем и Иорданией. Между Израилем и ООП были подписаны в 1993 г. Декларация о принципах и в 1995 г. Временное соглашение, в соответствии с которыми в секторе Газа и на части Западного берега р. Иордан была создана Палестинская национальная администрация (палестинское самоуправление).</w:t>
      </w:r>
    </w:p>
    <w:p w:rsidR="004B5E12" w:rsidRPr="00F87AB7" w:rsidRDefault="004B5E12" w:rsidP="00312F68">
      <w:pPr>
        <w:suppressAutoHyphens/>
        <w:autoSpaceDE w:val="0"/>
        <w:autoSpaceDN w:val="0"/>
        <w:adjustRightInd w:val="0"/>
        <w:spacing w:after="0" w:line="360" w:lineRule="auto"/>
        <w:ind w:firstLine="709"/>
        <w:jc w:val="both"/>
        <w:rPr>
          <w:rFonts w:ascii="Times New Roman" w:hAnsi="Times New Roman"/>
          <w:color w:val="000000"/>
          <w:sz w:val="28"/>
          <w:szCs w:val="28"/>
          <w:lang w:eastAsia="ru-RU"/>
        </w:rPr>
      </w:pPr>
      <w:r w:rsidRPr="00F87AB7">
        <w:rPr>
          <w:rFonts w:ascii="Times New Roman" w:hAnsi="Times New Roman"/>
          <w:color w:val="000000"/>
          <w:sz w:val="28"/>
          <w:szCs w:val="28"/>
          <w:lang w:eastAsia="ru-RU"/>
        </w:rPr>
        <w:t>Во время нахождения у власти в Израиле правительства во главе с Б.Нетаньяху (май 1996 г. – май 1999 г.) мирный процесс переживал кризис. Были прерваны двусторонние переговоры с Сирией и Ливаном, а также многосторонние переговоры по общерегиональной проблематике.</w:t>
      </w:r>
    </w:p>
    <w:p w:rsidR="004B5E12" w:rsidRPr="00F87AB7" w:rsidRDefault="004B5E12" w:rsidP="00312F68">
      <w:pPr>
        <w:suppressAutoHyphens/>
        <w:autoSpaceDE w:val="0"/>
        <w:autoSpaceDN w:val="0"/>
        <w:adjustRightInd w:val="0"/>
        <w:spacing w:after="0" w:line="360" w:lineRule="auto"/>
        <w:ind w:firstLine="709"/>
        <w:jc w:val="both"/>
        <w:rPr>
          <w:rFonts w:ascii="Times New Roman" w:hAnsi="Times New Roman"/>
          <w:color w:val="000000"/>
          <w:sz w:val="28"/>
          <w:szCs w:val="28"/>
          <w:lang w:eastAsia="ru-RU"/>
        </w:rPr>
      </w:pPr>
      <w:r w:rsidRPr="00F87AB7">
        <w:rPr>
          <w:rFonts w:ascii="Times New Roman" w:hAnsi="Times New Roman"/>
          <w:color w:val="000000"/>
          <w:sz w:val="28"/>
          <w:szCs w:val="28"/>
          <w:lang w:eastAsia="ru-RU"/>
        </w:rPr>
        <w:t>23 октября 1998 г. в Вашингтоне был подписан палестино-израильский Уай Меморандум о передислокации израильских войск в течение 12 недель тремя фазами с 13% территории Западного берега р. Иордан, 20 декабря 1998 г. правительство Б.Нетаньяху приостановило его реализацию (осуществлена лишь первая из трех фаз передислокации), обвинив палестинцев в невыполнении договоренностей, прежде всего в сфере безопасности.</w:t>
      </w:r>
    </w:p>
    <w:p w:rsidR="004B5E12" w:rsidRPr="00F87AB7" w:rsidRDefault="004B5E12" w:rsidP="00312F68">
      <w:pPr>
        <w:suppressAutoHyphens/>
        <w:autoSpaceDE w:val="0"/>
        <w:autoSpaceDN w:val="0"/>
        <w:adjustRightInd w:val="0"/>
        <w:spacing w:after="0" w:line="360" w:lineRule="auto"/>
        <w:ind w:firstLine="709"/>
        <w:jc w:val="both"/>
        <w:rPr>
          <w:rFonts w:ascii="Times New Roman" w:hAnsi="Times New Roman"/>
          <w:color w:val="000000"/>
          <w:sz w:val="28"/>
          <w:szCs w:val="28"/>
          <w:lang w:eastAsia="ru-RU"/>
        </w:rPr>
      </w:pPr>
      <w:r w:rsidRPr="00F87AB7">
        <w:rPr>
          <w:rFonts w:ascii="Times New Roman" w:hAnsi="Times New Roman"/>
          <w:color w:val="000000"/>
          <w:sz w:val="28"/>
          <w:szCs w:val="28"/>
          <w:lang w:eastAsia="ru-RU"/>
        </w:rPr>
        <w:t>На выборах в Израиле 17 мая 1999 г. новым премьер-министром избран лидер Партии труда Э.Барак, который высказывается за возобновление мирного процесса на всех треках. Во время визита в США в июле 1999 г. он заявил, что завершить переговоры с палестинцами по окончательному статусу и достичь соглашений с Сирией и Ливаном можно было бы за 15 месяцев, к ноябрю 2000 г. Э.Барак не исключил возможности создания палестинского государства, но высказался против компромисса по Иерусалиму, демонтажа израильских поселений и возвращения палестинских беженцев 1948 г. Премьер-министр Израиля допустил возможность подвижек навстречу сирийцам в вопросе о Голанах и учета взаимосвязи урегулирования с Сирией и вывода израильских войск с юга Ливана. На палестинском треке Э.Барак предлагает сразу перейти к переговорам об окончательном статусе, тогда как палестинцы настаивают на завершении сначала передислокации израильских войск на Западном берегу в соответствии с Уай Меморандумом.</w:t>
      </w:r>
    </w:p>
    <w:p w:rsidR="004B5E12" w:rsidRPr="00F87AB7" w:rsidRDefault="004B5E12" w:rsidP="00312F68">
      <w:pPr>
        <w:suppressAutoHyphens/>
        <w:autoSpaceDE w:val="0"/>
        <w:autoSpaceDN w:val="0"/>
        <w:adjustRightInd w:val="0"/>
        <w:spacing w:after="0" w:line="360" w:lineRule="auto"/>
        <w:ind w:firstLine="709"/>
        <w:jc w:val="both"/>
        <w:rPr>
          <w:rFonts w:ascii="Times New Roman" w:hAnsi="Times New Roman"/>
          <w:color w:val="000000"/>
          <w:sz w:val="28"/>
          <w:szCs w:val="28"/>
          <w:lang w:eastAsia="ru-RU"/>
        </w:rPr>
      </w:pPr>
      <w:r w:rsidRPr="00F87AB7">
        <w:rPr>
          <w:rFonts w:ascii="Times New Roman" w:hAnsi="Times New Roman"/>
          <w:color w:val="000000"/>
          <w:sz w:val="28"/>
          <w:szCs w:val="28"/>
          <w:lang w:eastAsia="ru-RU"/>
        </w:rPr>
        <w:t>В заявлении «группы восьми» по региональным вопросам содержится призыв к израильской и палестинской сторонам в полной мере и незамедлительно выполнить положения Уай Меморандума и в течение приблизительно года завершить переговоры по вопросу о постоянном статусе. Предлагалось также вернуться к скорейшему возобновлению переговоров между Израилем, Сирией и Ливаном в целях достижения мирных соглашений.</w:t>
      </w:r>
    </w:p>
    <w:p w:rsidR="004B5E12" w:rsidRPr="00F87AB7" w:rsidRDefault="004B5E12" w:rsidP="00312F68">
      <w:pPr>
        <w:suppressAutoHyphens/>
        <w:autoSpaceDE w:val="0"/>
        <w:autoSpaceDN w:val="0"/>
        <w:adjustRightInd w:val="0"/>
        <w:spacing w:after="0" w:line="360" w:lineRule="auto"/>
        <w:ind w:firstLine="709"/>
        <w:jc w:val="both"/>
        <w:rPr>
          <w:rFonts w:ascii="Times New Roman" w:hAnsi="Times New Roman"/>
          <w:color w:val="000000"/>
          <w:sz w:val="28"/>
          <w:szCs w:val="28"/>
          <w:lang w:eastAsia="ru-RU"/>
        </w:rPr>
      </w:pPr>
      <w:r w:rsidRPr="00F87AB7">
        <w:rPr>
          <w:rFonts w:ascii="Times New Roman" w:hAnsi="Times New Roman"/>
          <w:color w:val="000000"/>
          <w:sz w:val="28"/>
          <w:szCs w:val="28"/>
          <w:lang w:eastAsia="ru-RU"/>
        </w:rPr>
        <w:t>Пакт стабильности для Юго-Восточной Европы был предложен в конце марта 1999 г. Германией и поддержан ЕС. 30 июля в Сараево по инициативе ЕС состоялась встреча глав государств и правительств, участвующих и содействующих международных и региональных организаций, принявших Пакт стабильности. Россия была одним из соавторов Пакта стабильности. Благодаря ее участию удалось снять неприемлемые положения его первоначального проекта при сохранении его главной направленности – содействие международного сообщества, прежде всего Евросоюза, постконфликтному восстановлению на Балканах и долгосрочной работе в интересах стабилизации обстановки в регионе. Предусматривается создание в ближайшие месяцы регионального стола и рабочих столов по безопасности, экономике и гуманитарным вопросам, на которых будет весомо представлена Россия. При этом российская сторона высказалась за скорейшее присоединение к Пакту Югославии, без чего он не сможет оправдать возлагаемых на него надежд.</w:t>
      </w:r>
    </w:p>
    <w:p w:rsidR="004B5E12" w:rsidRPr="00F87AB7" w:rsidRDefault="004B5E12" w:rsidP="00312F68">
      <w:pPr>
        <w:suppressAutoHyphens/>
        <w:autoSpaceDE w:val="0"/>
        <w:autoSpaceDN w:val="0"/>
        <w:adjustRightInd w:val="0"/>
        <w:spacing w:after="0" w:line="360" w:lineRule="auto"/>
        <w:ind w:firstLine="709"/>
        <w:jc w:val="both"/>
        <w:rPr>
          <w:rFonts w:ascii="Times New Roman" w:hAnsi="Times New Roman"/>
          <w:color w:val="000000"/>
          <w:sz w:val="28"/>
          <w:szCs w:val="28"/>
          <w:lang w:eastAsia="ru-RU"/>
        </w:rPr>
      </w:pPr>
      <w:r w:rsidRPr="00F87AB7">
        <w:rPr>
          <w:rFonts w:ascii="Times New Roman" w:hAnsi="Times New Roman"/>
          <w:color w:val="000000"/>
          <w:sz w:val="28"/>
          <w:szCs w:val="28"/>
          <w:lang w:eastAsia="ru-RU"/>
        </w:rPr>
        <w:t>В настоящее время одним из направлений обеспечения безопасности и сотрудничества в Средиземноморье является развитие евросредиземноморского партнерства. 15-16 апреля 1999 г. в Штутгарте произошла встреча 27 министров иностранных дел Евросоюза и Средиземноморья, которая одобрила документ «Основные направления разработки евросредиземноморской Хартии мира и стабильности». В послании участникам конференции министр иностранных дел РФ И.С.Иванов отметил, что созыв этой конференции свидетельствует о том, что набирает силу тенденция к осуществлению провозглашенной в ноябре 1995 г. в Барселоне цели превращения Средиземноморья в зону мира, стабильности и партнерства с участием всех заинтересованных государств. На международном семинаре на острове Форментор (остров Мальорка) И.Иванов сказал, что Россия готова внести вклад в подготовку Хартии мира и стабильности в Средиземноморье, которая стала бы кодексом поведения средиземноморских государств в XXI веке.</w:t>
      </w:r>
    </w:p>
    <w:p w:rsidR="004B5E12" w:rsidRPr="00F87AB7" w:rsidRDefault="004B5E12" w:rsidP="00312F68">
      <w:pPr>
        <w:suppressAutoHyphens/>
        <w:autoSpaceDE w:val="0"/>
        <w:autoSpaceDN w:val="0"/>
        <w:adjustRightInd w:val="0"/>
        <w:spacing w:after="0" w:line="360" w:lineRule="auto"/>
        <w:ind w:firstLine="709"/>
        <w:jc w:val="both"/>
        <w:rPr>
          <w:rFonts w:ascii="Times New Roman" w:hAnsi="Times New Roman"/>
          <w:color w:val="000000"/>
          <w:sz w:val="28"/>
          <w:szCs w:val="28"/>
          <w:lang w:eastAsia="ru-RU"/>
        </w:rPr>
      </w:pPr>
      <w:r w:rsidRPr="00F87AB7">
        <w:rPr>
          <w:rFonts w:ascii="Times New Roman" w:hAnsi="Times New Roman"/>
          <w:color w:val="000000"/>
          <w:sz w:val="28"/>
          <w:szCs w:val="28"/>
          <w:lang w:eastAsia="ru-RU"/>
        </w:rPr>
        <w:t>В последнее время в ряде средиземноморских стран высказывались различные мнения относительно путей решения проблемы безопасности данного района. Так, свои взгляды изложили представители Средиземноморского фонда стратегических исследований, находящегося во Франции. Его директор Ф.Гутманн подчеркнул, что невозможно решать человеческие, культурные, исторические, а также экономические аспекты безопасности Средиземноморья без участия самих стран региона, включая государства, примыкающие к каспийскому морю. Таким образом, происходит как бы возврат к идее созыва в новых исторических условиях совещания по безопасности и сотрудничеству в Средиземноморье (СБСС), которая была конкретизирована в известном предложении Франции, Италии, Испании и Португалии в 1991 году и поддержана большинством заинтересованных государств. Да иного и не может быть, поскольку эта идея представляет собой наиболее правильный ответ на вызов исторических перемен средиземноморского процесса.</w:t>
      </w:r>
    </w:p>
    <w:p w:rsidR="004B5E12" w:rsidRPr="00F87AB7" w:rsidRDefault="004B5E12" w:rsidP="00312F68">
      <w:pPr>
        <w:suppressAutoHyphens/>
        <w:autoSpaceDE w:val="0"/>
        <w:autoSpaceDN w:val="0"/>
        <w:adjustRightInd w:val="0"/>
        <w:spacing w:after="0" w:line="360" w:lineRule="auto"/>
        <w:ind w:firstLine="709"/>
        <w:jc w:val="both"/>
        <w:rPr>
          <w:rFonts w:ascii="Times New Roman" w:hAnsi="Times New Roman"/>
          <w:color w:val="000000"/>
          <w:sz w:val="28"/>
          <w:szCs w:val="28"/>
          <w:lang w:eastAsia="ru-RU"/>
        </w:rPr>
      </w:pPr>
      <w:r w:rsidRPr="00F87AB7">
        <w:rPr>
          <w:rFonts w:ascii="Times New Roman" w:hAnsi="Times New Roman"/>
          <w:color w:val="000000"/>
          <w:sz w:val="28"/>
          <w:szCs w:val="28"/>
          <w:lang w:eastAsia="ru-RU"/>
        </w:rPr>
        <w:t>Другой руководитель упомянутого фонда Ж.-Ф.Дагузан выступил за использование опыта как ОБСЕ по миротворчеству и предупреждению кризисов, так и заключения Пакта стабильности в Европе. В частности, он предложил начать разработку Средиземноморского Пакта стабильности, который увенчал бы усилия по обеспечению безопасности и сотрудничеству в регионе и стал бы основой для создания соответствующего «постоянного органа». В этом плане предлагается в соответствии с п. 13 Мадридской декларации НАТО по безопасности и сотрудничеству от 8 июля 1997 года перестроить деятельность Североатлантического союза в направлении диалога и партнерства на более широкой основе8.</w:t>
      </w:r>
    </w:p>
    <w:p w:rsidR="004B5E12" w:rsidRPr="00F87AB7" w:rsidRDefault="004B5E12" w:rsidP="00312F68">
      <w:pPr>
        <w:suppressAutoHyphens/>
        <w:autoSpaceDE w:val="0"/>
        <w:autoSpaceDN w:val="0"/>
        <w:adjustRightInd w:val="0"/>
        <w:spacing w:after="0" w:line="360" w:lineRule="auto"/>
        <w:ind w:firstLine="709"/>
        <w:jc w:val="both"/>
        <w:rPr>
          <w:rFonts w:ascii="Times New Roman" w:hAnsi="Times New Roman"/>
          <w:color w:val="000000"/>
          <w:sz w:val="28"/>
          <w:szCs w:val="28"/>
          <w:lang w:eastAsia="ru-RU"/>
        </w:rPr>
      </w:pPr>
      <w:r w:rsidRPr="00F87AB7">
        <w:rPr>
          <w:rFonts w:ascii="Times New Roman" w:hAnsi="Times New Roman"/>
          <w:color w:val="000000"/>
          <w:sz w:val="28"/>
          <w:szCs w:val="28"/>
          <w:lang w:eastAsia="ru-RU"/>
        </w:rPr>
        <w:t>Возобновление переговоров относительно организации СБСС было бы желательно начать на различных уровнях: консультации по линии МИД, межпарламентское сотрудничество и контакты между неправительственными организациями, в частности между научными кругами.</w:t>
      </w:r>
    </w:p>
    <w:p w:rsidR="004B5E12" w:rsidRPr="00F87AB7" w:rsidRDefault="004B5E12" w:rsidP="00312F68">
      <w:pPr>
        <w:suppressAutoHyphens/>
        <w:autoSpaceDE w:val="0"/>
        <w:autoSpaceDN w:val="0"/>
        <w:adjustRightInd w:val="0"/>
        <w:spacing w:after="0" w:line="360" w:lineRule="auto"/>
        <w:ind w:firstLine="709"/>
        <w:jc w:val="both"/>
        <w:rPr>
          <w:rFonts w:ascii="Times New Roman" w:hAnsi="Times New Roman"/>
          <w:color w:val="000000"/>
          <w:sz w:val="28"/>
          <w:szCs w:val="28"/>
          <w:lang w:eastAsia="ru-RU"/>
        </w:rPr>
      </w:pPr>
      <w:r w:rsidRPr="00F87AB7">
        <w:rPr>
          <w:rFonts w:ascii="Times New Roman" w:hAnsi="Times New Roman"/>
          <w:color w:val="000000"/>
          <w:sz w:val="28"/>
          <w:szCs w:val="28"/>
          <w:lang w:eastAsia="ru-RU"/>
        </w:rPr>
        <w:t>В связи с формированием многополярного мира возрастает значение регионов, сотрудничества между ними по поддержанию и обеспечению международного мира и безопасности, а также повышение роли региональных соглашений, в том числе и в усилении влияния ООН. Для этого необходимо создать эффективные структуры и институты региональных систем государств, приступить к институализации региональных процессов. Такое решение представляет собой императивный ответ на объективный вызов всемирно-исторического процесса перемен в международном сообществе. При этом неотложность институализации средиземноморского процесса диктуется и фактором времени. Опыт истории говорит о том, что выработка региональных соглашений и создание региональных организаций требуют длительных переговоров. Европейским странам, США и Канаде понадобились многие годы упорных переговоров для того, чтобы пройти нелегкий путь от выдвижения самой идеи общеевропейского совещания до завершения его на высшем уровне с подписанием в 1975 г. в Хельсинки Заключительного акта.</w:t>
      </w:r>
    </w:p>
    <w:p w:rsidR="004B5E12" w:rsidRPr="00F87AB7" w:rsidRDefault="004B5E12" w:rsidP="00312F68">
      <w:pPr>
        <w:suppressAutoHyphens/>
        <w:autoSpaceDE w:val="0"/>
        <w:autoSpaceDN w:val="0"/>
        <w:adjustRightInd w:val="0"/>
        <w:spacing w:after="0" w:line="360" w:lineRule="auto"/>
        <w:ind w:firstLine="709"/>
        <w:jc w:val="both"/>
        <w:rPr>
          <w:rFonts w:ascii="Times New Roman" w:hAnsi="Times New Roman"/>
          <w:color w:val="000000"/>
          <w:sz w:val="28"/>
          <w:szCs w:val="28"/>
          <w:lang w:eastAsia="ru-RU"/>
        </w:rPr>
      </w:pPr>
      <w:r w:rsidRPr="00F87AB7">
        <w:rPr>
          <w:rFonts w:ascii="Times New Roman" w:hAnsi="Times New Roman"/>
          <w:color w:val="000000"/>
          <w:sz w:val="28"/>
          <w:szCs w:val="28"/>
          <w:lang w:eastAsia="ru-RU"/>
        </w:rPr>
        <w:t>В итоге следует сказать, что проблему безопасности данного региона необходимо решать на основе учета новых черт международных позитивных закономерностей современного развития самого средиземноморского процесса в целом и особенностей каждой страны региона. Поэтому нельзя подходить к средиземноморской проблеме лишь с мерками безопасности одной какой-либо страны или отдельных групп государств.</w:t>
      </w:r>
    </w:p>
    <w:p w:rsidR="004B5E12" w:rsidRPr="00F87AB7" w:rsidRDefault="004B5E12" w:rsidP="00312F68">
      <w:pPr>
        <w:suppressAutoHyphens/>
        <w:autoSpaceDE w:val="0"/>
        <w:autoSpaceDN w:val="0"/>
        <w:adjustRightInd w:val="0"/>
        <w:spacing w:after="0" w:line="360" w:lineRule="auto"/>
        <w:ind w:firstLine="709"/>
        <w:jc w:val="both"/>
        <w:rPr>
          <w:rFonts w:ascii="Times New Roman" w:hAnsi="Times New Roman"/>
          <w:color w:val="000000"/>
          <w:sz w:val="28"/>
          <w:szCs w:val="28"/>
          <w:lang w:eastAsia="ru-RU"/>
        </w:rPr>
      </w:pPr>
      <w:r w:rsidRPr="00F87AB7">
        <w:rPr>
          <w:rFonts w:ascii="Times New Roman" w:hAnsi="Times New Roman"/>
          <w:color w:val="000000"/>
          <w:sz w:val="28"/>
          <w:szCs w:val="28"/>
          <w:lang w:eastAsia="ru-RU"/>
        </w:rPr>
        <w:t>В силу цикличности исторического процесса не исключено, что возрождение Средиземноморья как зоны мира и стабильности позволит ему вновь стать одним из важнейших центров развития человечества.</w:t>
      </w:r>
    </w:p>
    <w:p w:rsidR="00312F68" w:rsidRPr="00F87AB7" w:rsidRDefault="00312F68" w:rsidP="00312F68">
      <w:pPr>
        <w:suppressAutoHyphens/>
        <w:spacing w:after="0" w:line="360" w:lineRule="auto"/>
        <w:ind w:firstLine="709"/>
        <w:rPr>
          <w:rFonts w:ascii="Times New Roman" w:hAnsi="Times New Roman"/>
          <w:color w:val="000000"/>
          <w:sz w:val="28"/>
          <w:szCs w:val="28"/>
          <w:lang w:eastAsia="ru-RU"/>
        </w:rPr>
      </w:pPr>
    </w:p>
    <w:p w:rsidR="004B5E12" w:rsidRPr="00F87AB7" w:rsidRDefault="007E497E" w:rsidP="00312F68">
      <w:pPr>
        <w:suppressAutoHyphens/>
        <w:spacing w:after="0" w:line="360" w:lineRule="auto"/>
        <w:jc w:val="center"/>
        <w:rPr>
          <w:rFonts w:ascii="Times New Roman" w:hAnsi="Times New Roman"/>
          <w:b/>
          <w:bCs/>
          <w:color w:val="000000"/>
          <w:sz w:val="28"/>
          <w:szCs w:val="28"/>
          <w:lang w:eastAsia="ru-RU"/>
        </w:rPr>
      </w:pPr>
      <w:r w:rsidRPr="00F87AB7">
        <w:rPr>
          <w:rFonts w:ascii="Times New Roman" w:hAnsi="Times New Roman"/>
          <w:color w:val="000000"/>
          <w:sz w:val="28"/>
          <w:szCs w:val="28"/>
          <w:lang w:eastAsia="ru-RU"/>
        </w:rPr>
        <w:br w:type="page"/>
      </w:r>
      <w:r w:rsidRPr="00F87AB7">
        <w:rPr>
          <w:rFonts w:ascii="Times New Roman" w:hAnsi="Times New Roman"/>
          <w:b/>
          <w:bCs/>
          <w:color w:val="000000"/>
          <w:sz w:val="28"/>
          <w:szCs w:val="28"/>
          <w:lang w:eastAsia="ru-RU"/>
        </w:rPr>
        <w:t>Литература</w:t>
      </w:r>
    </w:p>
    <w:p w:rsidR="007E497E" w:rsidRPr="00F87AB7" w:rsidRDefault="00C27E64" w:rsidP="00C27E64">
      <w:pPr>
        <w:suppressAutoHyphens/>
        <w:autoSpaceDE w:val="0"/>
        <w:autoSpaceDN w:val="0"/>
        <w:adjustRightInd w:val="0"/>
        <w:spacing w:after="0" w:line="360" w:lineRule="auto"/>
        <w:jc w:val="center"/>
        <w:rPr>
          <w:rFonts w:ascii="Times New Roman" w:hAnsi="Times New Roman"/>
          <w:color w:val="FFFFFF"/>
          <w:sz w:val="28"/>
          <w:szCs w:val="28"/>
          <w:lang w:eastAsia="ru-RU"/>
        </w:rPr>
      </w:pPr>
      <w:r w:rsidRPr="00F87AB7">
        <w:rPr>
          <w:rFonts w:ascii="Times New Roman" w:hAnsi="Times New Roman"/>
          <w:color w:val="FFFFFF"/>
          <w:sz w:val="28"/>
        </w:rPr>
        <w:t>средиземноморье сотрудничество стабильность безопасность</w:t>
      </w:r>
    </w:p>
    <w:p w:rsidR="004B5E12" w:rsidRPr="00F87AB7" w:rsidRDefault="004B5E12" w:rsidP="00312F68">
      <w:pPr>
        <w:suppressAutoHyphens/>
        <w:autoSpaceDE w:val="0"/>
        <w:autoSpaceDN w:val="0"/>
        <w:adjustRightInd w:val="0"/>
        <w:spacing w:after="0" w:line="360" w:lineRule="auto"/>
        <w:outlineLvl w:val="6"/>
        <w:rPr>
          <w:rFonts w:ascii="Times New Roman" w:hAnsi="Times New Roman"/>
          <w:color w:val="000000"/>
          <w:sz w:val="28"/>
          <w:szCs w:val="28"/>
          <w:lang w:eastAsia="ru-RU"/>
        </w:rPr>
      </w:pPr>
      <w:r w:rsidRPr="00F87AB7">
        <w:rPr>
          <w:rFonts w:ascii="Times New Roman" w:hAnsi="Times New Roman"/>
          <w:color w:val="000000"/>
          <w:sz w:val="28"/>
          <w:szCs w:val="28"/>
          <w:lang w:eastAsia="ru-RU"/>
        </w:rPr>
        <w:t>1 Кейнс, Дж. Майнард. Пересмотр Версальского договора. – Петербург. 1992. – С. 9 и 20.</w:t>
      </w:r>
    </w:p>
    <w:p w:rsidR="004B5E12" w:rsidRPr="00F87AB7" w:rsidRDefault="004B5E12" w:rsidP="00312F68">
      <w:pPr>
        <w:suppressAutoHyphens/>
        <w:autoSpaceDE w:val="0"/>
        <w:autoSpaceDN w:val="0"/>
        <w:adjustRightInd w:val="0"/>
        <w:spacing w:after="0" w:line="360" w:lineRule="auto"/>
        <w:outlineLvl w:val="6"/>
        <w:rPr>
          <w:rFonts w:ascii="Times New Roman" w:hAnsi="Times New Roman"/>
          <w:color w:val="000000"/>
          <w:sz w:val="28"/>
          <w:szCs w:val="28"/>
          <w:lang w:eastAsia="ru-RU"/>
        </w:rPr>
      </w:pPr>
      <w:r w:rsidRPr="00F87AB7">
        <w:rPr>
          <w:rFonts w:ascii="Times New Roman" w:hAnsi="Times New Roman"/>
          <w:color w:val="000000"/>
          <w:sz w:val="28"/>
          <w:szCs w:val="28"/>
          <w:lang w:eastAsia="ru-RU"/>
        </w:rPr>
        <w:t>2 Уткин А. За кулисами югославской стратегии. // Свободная мысль. – 1999. – № 2. – С. 48.</w:t>
      </w:r>
    </w:p>
    <w:p w:rsidR="004B5E12" w:rsidRPr="00F87AB7" w:rsidRDefault="004B5E12" w:rsidP="00312F68">
      <w:pPr>
        <w:suppressAutoHyphens/>
        <w:autoSpaceDE w:val="0"/>
        <w:autoSpaceDN w:val="0"/>
        <w:adjustRightInd w:val="0"/>
        <w:spacing w:after="0" w:line="360" w:lineRule="auto"/>
        <w:outlineLvl w:val="6"/>
        <w:rPr>
          <w:rFonts w:ascii="Times New Roman" w:hAnsi="Times New Roman"/>
          <w:color w:val="000000"/>
          <w:sz w:val="28"/>
          <w:szCs w:val="28"/>
          <w:lang w:val="en-US" w:eastAsia="ru-RU"/>
        </w:rPr>
      </w:pPr>
      <w:r w:rsidRPr="00F87AB7">
        <w:rPr>
          <w:rFonts w:ascii="Times New Roman" w:hAnsi="Times New Roman"/>
          <w:color w:val="000000"/>
          <w:sz w:val="28"/>
          <w:szCs w:val="28"/>
          <w:lang w:val="en-US" w:eastAsia="ru-RU"/>
        </w:rPr>
        <w:t xml:space="preserve">3 Le Monde Diplomatique, Fevrier 1991, </w:t>
      </w:r>
      <w:r w:rsidRPr="00F87AB7">
        <w:rPr>
          <w:rFonts w:ascii="Times New Roman" w:hAnsi="Times New Roman"/>
          <w:color w:val="000000"/>
          <w:sz w:val="28"/>
          <w:szCs w:val="28"/>
          <w:lang w:eastAsia="ru-RU"/>
        </w:rPr>
        <w:t>с</w:t>
      </w:r>
      <w:r w:rsidRPr="00F87AB7">
        <w:rPr>
          <w:rFonts w:ascii="Times New Roman" w:hAnsi="Times New Roman"/>
          <w:color w:val="000000"/>
          <w:sz w:val="28"/>
          <w:szCs w:val="28"/>
          <w:lang w:val="en-US" w:eastAsia="ru-RU"/>
        </w:rPr>
        <w:t>. 1.</w:t>
      </w:r>
    </w:p>
    <w:p w:rsidR="004B5E12" w:rsidRPr="00F87AB7" w:rsidRDefault="004B5E12" w:rsidP="00312F68">
      <w:pPr>
        <w:suppressAutoHyphens/>
        <w:autoSpaceDE w:val="0"/>
        <w:autoSpaceDN w:val="0"/>
        <w:adjustRightInd w:val="0"/>
        <w:spacing w:after="0" w:line="360" w:lineRule="auto"/>
        <w:outlineLvl w:val="6"/>
        <w:rPr>
          <w:rFonts w:ascii="Times New Roman" w:hAnsi="Times New Roman"/>
          <w:color w:val="000000"/>
          <w:sz w:val="28"/>
          <w:szCs w:val="28"/>
          <w:lang w:eastAsia="ru-RU"/>
        </w:rPr>
      </w:pPr>
      <w:r w:rsidRPr="00F87AB7">
        <w:rPr>
          <w:rFonts w:ascii="Times New Roman" w:hAnsi="Times New Roman"/>
          <w:color w:val="000000"/>
          <w:sz w:val="28"/>
          <w:szCs w:val="28"/>
          <w:lang w:eastAsia="ru-RU"/>
        </w:rPr>
        <w:t>4 Терзин С. Сербский вопрос в истории и ныне. // Международная жизнь. – 1998. – № 4. – С. 77.</w:t>
      </w:r>
    </w:p>
    <w:p w:rsidR="004B5E12" w:rsidRPr="00F87AB7" w:rsidRDefault="004B5E12" w:rsidP="00312F68">
      <w:pPr>
        <w:suppressAutoHyphens/>
        <w:autoSpaceDE w:val="0"/>
        <w:autoSpaceDN w:val="0"/>
        <w:adjustRightInd w:val="0"/>
        <w:spacing w:after="0" w:line="360" w:lineRule="auto"/>
        <w:outlineLvl w:val="6"/>
        <w:rPr>
          <w:rFonts w:ascii="Times New Roman" w:hAnsi="Times New Roman"/>
          <w:color w:val="000000"/>
          <w:sz w:val="28"/>
          <w:szCs w:val="28"/>
          <w:lang w:val="en-US" w:eastAsia="ru-RU"/>
        </w:rPr>
      </w:pPr>
      <w:r w:rsidRPr="00F87AB7">
        <w:rPr>
          <w:rFonts w:ascii="Times New Roman" w:hAnsi="Times New Roman"/>
          <w:color w:val="000000"/>
          <w:sz w:val="28"/>
          <w:szCs w:val="28"/>
          <w:lang w:val="en-US" w:eastAsia="ru-RU"/>
        </w:rPr>
        <w:t xml:space="preserve">5 Magnuszewski, Pierre «Bosnie; vuessurIepasse, images du present, perspectives.» // «Defencenationale». – 1999. – № 3.– </w:t>
      </w:r>
      <w:r w:rsidRPr="00F87AB7">
        <w:rPr>
          <w:rFonts w:ascii="Times New Roman" w:hAnsi="Times New Roman"/>
          <w:color w:val="000000"/>
          <w:sz w:val="28"/>
          <w:szCs w:val="28"/>
          <w:lang w:eastAsia="ru-RU"/>
        </w:rPr>
        <w:t>С</w:t>
      </w:r>
      <w:r w:rsidRPr="00F87AB7">
        <w:rPr>
          <w:rFonts w:ascii="Times New Roman" w:hAnsi="Times New Roman"/>
          <w:color w:val="000000"/>
          <w:sz w:val="28"/>
          <w:szCs w:val="28"/>
          <w:lang w:val="en-US" w:eastAsia="ru-RU"/>
        </w:rPr>
        <w:t>. 114, 119.</w:t>
      </w:r>
    </w:p>
    <w:p w:rsidR="004B5E12" w:rsidRPr="00F87AB7" w:rsidRDefault="004B5E12" w:rsidP="00312F68">
      <w:pPr>
        <w:suppressAutoHyphens/>
        <w:autoSpaceDE w:val="0"/>
        <w:autoSpaceDN w:val="0"/>
        <w:adjustRightInd w:val="0"/>
        <w:spacing w:after="0" w:line="360" w:lineRule="auto"/>
        <w:outlineLvl w:val="6"/>
        <w:rPr>
          <w:rFonts w:ascii="Times New Roman" w:hAnsi="Times New Roman"/>
          <w:color w:val="000000"/>
          <w:sz w:val="28"/>
          <w:szCs w:val="28"/>
          <w:lang w:val="en-US" w:eastAsia="ru-RU"/>
        </w:rPr>
      </w:pPr>
      <w:r w:rsidRPr="00F87AB7">
        <w:rPr>
          <w:rFonts w:ascii="Times New Roman" w:hAnsi="Times New Roman"/>
          <w:color w:val="000000"/>
          <w:sz w:val="28"/>
          <w:szCs w:val="28"/>
          <w:lang w:val="en-US" w:eastAsia="ru-RU"/>
        </w:rPr>
        <w:t xml:space="preserve">6 </w:t>
      </w:r>
      <w:r w:rsidRPr="00F87AB7">
        <w:rPr>
          <w:rFonts w:ascii="Times New Roman" w:hAnsi="Times New Roman"/>
          <w:color w:val="000000"/>
          <w:sz w:val="28"/>
          <w:szCs w:val="28"/>
          <w:lang w:eastAsia="ru-RU"/>
        </w:rPr>
        <w:t>Дипломатический</w:t>
      </w:r>
      <w:r w:rsidRPr="00F87AB7">
        <w:rPr>
          <w:rFonts w:ascii="Times New Roman" w:hAnsi="Times New Roman"/>
          <w:color w:val="000000"/>
          <w:sz w:val="28"/>
          <w:szCs w:val="28"/>
          <w:lang w:val="en-US" w:eastAsia="ru-RU"/>
        </w:rPr>
        <w:t xml:space="preserve"> </w:t>
      </w:r>
      <w:r w:rsidRPr="00F87AB7">
        <w:rPr>
          <w:rFonts w:ascii="Times New Roman" w:hAnsi="Times New Roman"/>
          <w:color w:val="000000"/>
          <w:sz w:val="28"/>
          <w:szCs w:val="28"/>
          <w:lang w:eastAsia="ru-RU"/>
        </w:rPr>
        <w:t>вестник</w:t>
      </w:r>
      <w:r w:rsidRPr="00F87AB7">
        <w:rPr>
          <w:rFonts w:ascii="Times New Roman" w:hAnsi="Times New Roman"/>
          <w:color w:val="000000"/>
          <w:sz w:val="28"/>
          <w:szCs w:val="28"/>
          <w:lang w:val="en-US" w:eastAsia="ru-RU"/>
        </w:rPr>
        <w:t xml:space="preserve">. – 1999. – № 1. – </w:t>
      </w:r>
      <w:r w:rsidRPr="00F87AB7">
        <w:rPr>
          <w:rFonts w:ascii="Times New Roman" w:hAnsi="Times New Roman"/>
          <w:color w:val="000000"/>
          <w:sz w:val="28"/>
          <w:szCs w:val="28"/>
          <w:lang w:eastAsia="ru-RU"/>
        </w:rPr>
        <w:t>С</w:t>
      </w:r>
      <w:r w:rsidRPr="00F87AB7">
        <w:rPr>
          <w:rFonts w:ascii="Times New Roman" w:hAnsi="Times New Roman"/>
          <w:color w:val="000000"/>
          <w:sz w:val="28"/>
          <w:szCs w:val="28"/>
          <w:lang w:val="en-US" w:eastAsia="ru-RU"/>
        </w:rPr>
        <w:t>. 22-23.</w:t>
      </w:r>
    </w:p>
    <w:p w:rsidR="004B5E12" w:rsidRPr="00F87AB7" w:rsidRDefault="004B5E12" w:rsidP="00312F68">
      <w:pPr>
        <w:suppressAutoHyphens/>
        <w:autoSpaceDE w:val="0"/>
        <w:autoSpaceDN w:val="0"/>
        <w:adjustRightInd w:val="0"/>
        <w:spacing w:after="0" w:line="360" w:lineRule="auto"/>
        <w:outlineLvl w:val="6"/>
        <w:rPr>
          <w:rFonts w:ascii="Times New Roman" w:hAnsi="Times New Roman"/>
          <w:color w:val="000000"/>
          <w:sz w:val="28"/>
          <w:szCs w:val="28"/>
          <w:lang w:val="en-US" w:eastAsia="ru-RU"/>
        </w:rPr>
      </w:pPr>
      <w:r w:rsidRPr="00F87AB7">
        <w:rPr>
          <w:rFonts w:ascii="Times New Roman" w:hAnsi="Times New Roman"/>
          <w:color w:val="000000"/>
          <w:sz w:val="28"/>
          <w:szCs w:val="28"/>
          <w:lang w:val="en-US" w:eastAsia="ru-RU"/>
        </w:rPr>
        <w:t xml:space="preserve">7 </w:t>
      </w:r>
      <w:r w:rsidRPr="00F87AB7">
        <w:rPr>
          <w:rFonts w:ascii="Times New Roman" w:hAnsi="Times New Roman"/>
          <w:color w:val="000000"/>
          <w:sz w:val="28"/>
          <w:szCs w:val="28"/>
          <w:lang w:eastAsia="ru-RU"/>
        </w:rPr>
        <w:t>Независимое</w:t>
      </w:r>
      <w:r w:rsidRPr="00F87AB7">
        <w:rPr>
          <w:rFonts w:ascii="Times New Roman" w:hAnsi="Times New Roman"/>
          <w:color w:val="000000"/>
          <w:sz w:val="28"/>
          <w:szCs w:val="28"/>
          <w:lang w:val="en-US" w:eastAsia="ru-RU"/>
        </w:rPr>
        <w:t xml:space="preserve"> </w:t>
      </w:r>
      <w:r w:rsidRPr="00F87AB7">
        <w:rPr>
          <w:rFonts w:ascii="Times New Roman" w:hAnsi="Times New Roman"/>
          <w:color w:val="000000"/>
          <w:sz w:val="28"/>
          <w:szCs w:val="28"/>
          <w:lang w:eastAsia="ru-RU"/>
        </w:rPr>
        <w:t>военное</w:t>
      </w:r>
      <w:r w:rsidRPr="00F87AB7">
        <w:rPr>
          <w:rFonts w:ascii="Times New Roman" w:hAnsi="Times New Roman"/>
          <w:color w:val="000000"/>
          <w:sz w:val="28"/>
          <w:szCs w:val="28"/>
          <w:lang w:val="en-US" w:eastAsia="ru-RU"/>
        </w:rPr>
        <w:t xml:space="preserve"> </w:t>
      </w:r>
      <w:r w:rsidRPr="00F87AB7">
        <w:rPr>
          <w:rFonts w:ascii="Times New Roman" w:hAnsi="Times New Roman"/>
          <w:color w:val="000000"/>
          <w:sz w:val="28"/>
          <w:szCs w:val="28"/>
          <w:lang w:eastAsia="ru-RU"/>
        </w:rPr>
        <w:t>обозрение</w:t>
      </w:r>
      <w:r w:rsidRPr="00F87AB7">
        <w:rPr>
          <w:rFonts w:ascii="Times New Roman" w:hAnsi="Times New Roman"/>
          <w:color w:val="000000"/>
          <w:sz w:val="28"/>
          <w:szCs w:val="28"/>
          <w:lang w:val="en-US" w:eastAsia="ru-RU"/>
        </w:rPr>
        <w:t xml:space="preserve">. – 15-21 </w:t>
      </w:r>
      <w:r w:rsidRPr="00F87AB7">
        <w:rPr>
          <w:rFonts w:ascii="Times New Roman" w:hAnsi="Times New Roman"/>
          <w:color w:val="000000"/>
          <w:sz w:val="28"/>
          <w:szCs w:val="28"/>
          <w:lang w:eastAsia="ru-RU"/>
        </w:rPr>
        <w:t>октября</w:t>
      </w:r>
      <w:r w:rsidRPr="00F87AB7">
        <w:rPr>
          <w:rFonts w:ascii="Times New Roman" w:hAnsi="Times New Roman"/>
          <w:color w:val="000000"/>
          <w:sz w:val="28"/>
          <w:szCs w:val="28"/>
          <w:lang w:val="en-US" w:eastAsia="ru-RU"/>
        </w:rPr>
        <w:t xml:space="preserve"> 1999 – № 40.</w:t>
      </w:r>
    </w:p>
    <w:p w:rsidR="00420ADD" w:rsidRPr="00F87AB7" w:rsidRDefault="004B5E12" w:rsidP="00312F68">
      <w:pPr>
        <w:suppressAutoHyphens/>
        <w:autoSpaceDE w:val="0"/>
        <w:autoSpaceDN w:val="0"/>
        <w:adjustRightInd w:val="0"/>
        <w:spacing w:after="0" w:line="360" w:lineRule="auto"/>
        <w:outlineLvl w:val="6"/>
        <w:rPr>
          <w:rFonts w:ascii="Times New Roman" w:hAnsi="Times New Roman"/>
          <w:color w:val="000000"/>
          <w:sz w:val="28"/>
          <w:szCs w:val="28"/>
          <w:lang w:val="en-US" w:eastAsia="ru-RU"/>
        </w:rPr>
      </w:pPr>
      <w:r w:rsidRPr="00F87AB7">
        <w:rPr>
          <w:rFonts w:ascii="Times New Roman" w:hAnsi="Times New Roman"/>
          <w:color w:val="000000"/>
          <w:sz w:val="28"/>
          <w:szCs w:val="28"/>
          <w:lang w:val="en-US" w:eastAsia="ru-RU"/>
        </w:rPr>
        <w:t xml:space="preserve">8 Gutmann, Francis La Méditerrannee, mythesetréalites. Daguzan, Jean– Francais La Mériderrannée en queted'aneorganisation politico-strategique. // «Défensenationale». – Octobre 1977. – </w:t>
      </w:r>
      <w:r w:rsidRPr="00F87AB7">
        <w:rPr>
          <w:rFonts w:ascii="Times New Roman" w:hAnsi="Times New Roman"/>
          <w:color w:val="000000"/>
          <w:sz w:val="28"/>
          <w:szCs w:val="28"/>
          <w:lang w:eastAsia="ru-RU"/>
        </w:rPr>
        <w:t>С</w:t>
      </w:r>
      <w:r w:rsidRPr="00F87AB7">
        <w:rPr>
          <w:rFonts w:ascii="Times New Roman" w:hAnsi="Times New Roman"/>
          <w:color w:val="000000"/>
          <w:sz w:val="28"/>
          <w:szCs w:val="28"/>
          <w:lang w:val="en-US" w:eastAsia="ru-RU"/>
        </w:rPr>
        <w:t>. 6, 23-24.</w:t>
      </w:r>
    </w:p>
    <w:p w:rsidR="00312F68" w:rsidRPr="00F87AB7" w:rsidRDefault="00312F68" w:rsidP="00312F68">
      <w:pPr>
        <w:suppressAutoHyphens/>
        <w:autoSpaceDE w:val="0"/>
        <w:autoSpaceDN w:val="0"/>
        <w:adjustRightInd w:val="0"/>
        <w:spacing w:after="0" w:line="360" w:lineRule="auto"/>
        <w:jc w:val="center"/>
        <w:rPr>
          <w:rFonts w:ascii="Times New Roman" w:hAnsi="Times New Roman"/>
          <w:color w:val="FFFFFF"/>
          <w:sz w:val="28"/>
          <w:szCs w:val="28"/>
          <w:lang w:val="en-US" w:eastAsia="ru-RU"/>
        </w:rPr>
      </w:pPr>
    </w:p>
    <w:p w:rsidR="00312F68" w:rsidRPr="00F87AB7" w:rsidRDefault="00312F68" w:rsidP="00312F68">
      <w:pPr>
        <w:suppressAutoHyphens/>
        <w:autoSpaceDE w:val="0"/>
        <w:autoSpaceDN w:val="0"/>
        <w:adjustRightInd w:val="0"/>
        <w:spacing w:after="0" w:line="360" w:lineRule="auto"/>
        <w:jc w:val="center"/>
        <w:rPr>
          <w:rFonts w:ascii="Times New Roman" w:hAnsi="Times New Roman"/>
          <w:color w:val="FFFFFF"/>
          <w:sz w:val="28"/>
          <w:szCs w:val="28"/>
        </w:rPr>
      </w:pPr>
      <w:bookmarkStart w:id="0" w:name="_GoBack"/>
      <w:bookmarkEnd w:id="0"/>
    </w:p>
    <w:sectPr w:rsidR="00312F68" w:rsidRPr="00F87AB7" w:rsidSect="00312F68">
      <w:headerReference w:type="default" r:id="rId6"/>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507C" w:rsidRDefault="0056507C" w:rsidP="007E497E">
      <w:pPr>
        <w:spacing w:after="0" w:line="240" w:lineRule="auto"/>
      </w:pPr>
      <w:r>
        <w:separator/>
      </w:r>
    </w:p>
  </w:endnote>
  <w:endnote w:type="continuationSeparator" w:id="0">
    <w:p w:rsidR="0056507C" w:rsidRDefault="0056507C" w:rsidP="007E49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507C" w:rsidRDefault="0056507C" w:rsidP="007E497E">
      <w:pPr>
        <w:spacing w:after="0" w:line="240" w:lineRule="auto"/>
      </w:pPr>
      <w:r>
        <w:separator/>
      </w:r>
    </w:p>
  </w:footnote>
  <w:footnote w:type="continuationSeparator" w:id="0">
    <w:p w:rsidR="0056507C" w:rsidRDefault="0056507C" w:rsidP="007E49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2F68" w:rsidRPr="00312F68" w:rsidRDefault="00312F68" w:rsidP="00312F68">
    <w:pPr>
      <w:pStyle w:val="a3"/>
      <w:suppressAutoHyphens/>
      <w:spacing w:line="360" w:lineRule="auto"/>
      <w:jc w:val="center"/>
      <w:rPr>
        <w:rFonts w:ascii="Times New Roman" w:hAnsi="Times New Roman"/>
        <w:sz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0056"/>
    <w:rsid w:val="002F18CB"/>
    <w:rsid w:val="00300155"/>
    <w:rsid w:val="00312F68"/>
    <w:rsid w:val="00420ADD"/>
    <w:rsid w:val="00422EA6"/>
    <w:rsid w:val="004B5E12"/>
    <w:rsid w:val="0056507C"/>
    <w:rsid w:val="005C4F20"/>
    <w:rsid w:val="007E497E"/>
    <w:rsid w:val="00935449"/>
    <w:rsid w:val="00C27E64"/>
    <w:rsid w:val="00E87E8F"/>
    <w:rsid w:val="00F50056"/>
    <w:rsid w:val="00F87A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365021D-82CF-4AC0-A302-32DB052D4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5449"/>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497E"/>
    <w:pPr>
      <w:tabs>
        <w:tab w:val="center" w:pos="4677"/>
        <w:tab w:val="right" w:pos="9355"/>
      </w:tabs>
      <w:spacing w:after="0" w:line="240" w:lineRule="auto"/>
    </w:pPr>
  </w:style>
  <w:style w:type="character" w:customStyle="1" w:styleId="a4">
    <w:name w:val="Верхний колонтитул Знак"/>
    <w:link w:val="a3"/>
    <w:uiPriority w:val="99"/>
    <w:locked/>
    <w:rsid w:val="007E497E"/>
    <w:rPr>
      <w:rFonts w:cs="Times New Roman"/>
    </w:rPr>
  </w:style>
  <w:style w:type="paragraph" w:styleId="a5">
    <w:name w:val="footer"/>
    <w:basedOn w:val="a"/>
    <w:link w:val="a6"/>
    <w:uiPriority w:val="99"/>
    <w:unhideWhenUsed/>
    <w:rsid w:val="007E497E"/>
    <w:pPr>
      <w:tabs>
        <w:tab w:val="center" w:pos="4677"/>
        <w:tab w:val="right" w:pos="9355"/>
      </w:tabs>
      <w:spacing w:after="0" w:line="240" w:lineRule="auto"/>
    </w:pPr>
  </w:style>
  <w:style w:type="character" w:customStyle="1" w:styleId="a6">
    <w:name w:val="Нижний колонтитул Знак"/>
    <w:link w:val="a5"/>
    <w:uiPriority w:val="99"/>
    <w:locked/>
    <w:rsid w:val="007E497E"/>
    <w:rPr>
      <w:rFonts w:cs="Times New Roman"/>
    </w:rPr>
  </w:style>
  <w:style w:type="paragraph" w:styleId="a7">
    <w:name w:val="Balloon Text"/>
    <w:basedOn w:val="a"/>
    <w:link w:val="a8"/>
    <w:uiPriority w:val="99"/>
    <w:semiHidden/>
    <w:unhideWhenUsed/>
    <w:rsid w:val="00312F68"/>
    <w:pPr>
      <w:spacing w:after="0" w:line="240" w:lineRule="auto"/>
    </w:pPr>
    <w:rPr>
      <w:rFonts w:ascii="Tahoma" w:hAnsi="Tahoma" w:cs="Tahoma"/>
      <w:sz w:val="16"/>
      <w:szCs w:val="16"/>
    </w:rPr>
  </w:style>
  <w:style w:type="character" w:customStyle="1" w:styleId="a8">
    <w:name w:val="Текст выноски Знак"/>
    <w:link w:val="a7"/>
    <w:uiPriority w:val="99"/>
    <w:semiHidden/>
    <w:locked/>
    <w:rsid w:val="00312F6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6364</Words>
  <Characters>36278</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42557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Боб</dc:creator>
  <cp:keywords/>
  <dc:description/>
  <cp:lastModifiedBy>admin</cp:lastModifiedBy>
  <cp:revision>2</cp:revision>
  <dcterms:created xsi:type="dcterms:W3CDTF">2014-03-25T02:26:00Z</dcterms:created>
  <dcterms:modified xsi:type="dcterms:W3CDTF">2014-03-25T02:26:00Z</dcterms:modified>
</cp:coreProperties>
</file>