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4B1" w:rsidRPr="00F93987" w:rsidRDefault="00152003" w:rsidP="00195B8C">
      <w:pPr>
        <w:widowControl w:val="0"/>
        <w:autoSpaceDE w:val="0"/>
        <w:autoSpaceDN w:val="0"/>
        <w:adjustRightInd w:val="0"/>
        <w:spacing w:line="360" w:lineRule="auto"/>
        <w:ind w:firstLine="709"/>
        <w:jc w:val="center"/>
        <w:rPr>
          <w:b/>
          <w:bCs/>
          <w:sz w:val="28"/>
          <w:szCs w:val="28"/>
        </w:rPr>
      </w:pPr>
      <w:r w:rsidRPr="00F93987">
        <w:rPr>
          <w:b/>
          <w:bCs/>
          <w:color w:val="000000"/>
          <w:sz w:val="28"/>
          <w:szCs w:val="28"/>
        </w:rPr>
        <w:t>Экономическое развитие Иракской республики после свержения режима Саддама Хусейна</w:t>
      </w:r>
    </w:p>
    <w:p w:rsidR="00F134B1" w:rsidRPr="00F93987" w:rsidRDefault="00F134B1" w:rsidP="00195B8C">
      <w:pPr>
        <w:widowControl w:val="0"/>
        <w:autoSpaceDE w:val="0"/>
        <w:autoSpaceDN w:val="0"/>
        <w:adjustRightInd w:val="0"/>
        <w:spacing w:line="360" w:lineRule="auto"/>
        <w:ind w:firstLine="709"/>
        <w:jc w:val="both"/>
        <w:rPr>
          <w:color w:val="000000"/>
          <w:sz w:val="28"/>
          <w:szCs w:val="28"/>
        </w:rPr>
      </w:pP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 xml:space="preserve">Иракская экономика с 80-х годов испытывала на себе значительное влияние различных факторов. На экономическое развитие страны оказали воздействие восьмилетняя ирано-иракская война 1980–1988 гг., иракско-кувейтский кризис 1990–1991 гг., а также последние военные действия американо-британской коалиции. Постоянная милитаризация страны требовала масштабных расходов. К тому же для иракской экономики было характерно чрезмерное вмешательство государства в хозяйственную жизнь, а введение экономических санкций ООН привело к экономической и политической изоляции страны. Из-за этого ВВП на душу населения упал с 3600 долл. в начале 80-х годов до 596 долл. в </w:t>
      </w:r>
      <w:smartTag w:uri="urn:schemas-microsoft-com:office:smarttags" w:element="metricconverter">
        <w:smartTagPr>
          <w:attr w:name="ProductID" w:val="2002 г"/>
        </w:smartTagPr>
        <w:r w:rsidRPr="00F93987">
          <w:rPr>
            <w:color w:val="000000"/>
            <w:sz w:val="28"/>
            <w:szCs w:val="28"/>
          </w:rPr>
          <w:t>2002 г</w:t>
        </w:r>
      </w:smartTag>
      <w:r w:rsidRPr="00F93987">
        <w:rPr>
          <w:color w:val="000000"/>
          <w:sz w:val="28"/>
          <w:szCs w:val="28"/>
        </w:rPr>
        <w:t xml:space="preserve">. Только с 2001 по </w:t>
      </w:r>
      <w:smartTag w:uri="urn:schemas-microsoft-com:office:smarttags" w:element="metricconverter">
        <w:smartTagPr>
          <w:attr w:name="ProductID" w:val="2002 г"/>
        </w:smartTagPr>
        <w:r w:rsidRPr="00F93987">
          <w:rPr>
            <w:color w:val="000000"/>
            <w:sz w:val="28"/>
            <w:szCs w:val="28"/>
          </w:rPr>
          <w:t>2002 г</w:t>
        </w:r>
      </w:smartTag>
      <w:r w:rsidRPr="00F93987">
        <w:rPr>
          <w:color w:val="000000"/>
          <w:sz w:val="28"/>
          <w:szCs w:val="28"/>
        </w:rPr>
        <w:t xml:space="preserve">. ВВП Ирака снизился с 19,1 млрд. долл. до 15,2 млрд. Уровень безработицы достиг, по официальным данным, 17,5% (1997), инфляция составила в </w:t>
      </w:r>
      <w:smartTag w:uri="urn:schemas-microsoft-com:office:smarttags" w:element="metricconverter">
        <w:smartTagPr>
          <w:attr w:name="ProductID" w:val="2001 г"/>
        </w:smartTagPr>
        <w:r w:rsidRPr="00F93987">
          <w:rPr>
            <w:color w:val="000000"/>
            <w:sz w:val="28"/>
            <w:szCs w:val="28"/>
          </w:rPr>
          <w:t>2001 г</w:t>
        </w:r>
      </w:smartTag>
      <w:r w:rsidRPr="00F93987">
        <w:rPr>
          <w:color w:val="000000"/>
          <w:sz w:val="28"/>
          <w:szCs w:val="28"/>
        </w:rPr>
        <w:t xml:space="preserve">. 29%. Дефицит государственного бюджета к началу </w:t>
      </w:r>
      <w:smartTag w:uri="urn:schemas-microsoft-com:office:smarttags" w:element="metricconverter">
        <w:smartTagPr>
          <w:attr w:name="ProductID" w:val="2003 г"/>
        </w:smartTagPr>
        <w:r w:rsidRPr="00F93987">
          <w:rPr>
            <w:color w:val="000000"/>
            <w:sz w:val="28"/>
            <w:szCs w:val="28"/>
          </w:rPr>
          <w:t>2003 г</w:t>
        </w:r>
      </w:smartTag>
      <w:r w:rsidRPr="00F93987">
        <w:rPr>
          <w:color w:val="000000"/>
          <w:sz w:val="28"/>
          <w:szCs w:val="28"/>
        </w:rPr>
        <w:t>. достиг 8 млрд. долл. или 55% ВВП Ирака. По оценке экспертов ООН и вашингтонского Центра стратегических исследований, внешний долг страны вырос до 127 млрд. долл., что составило почти 900% от его ВВП или 1000% от экспортных доходов, которые значительно снизились после введения экономических санкций ООН. Часть доходов от экспорта присваивалась правящим режимом, который в нарушение международных санкций занимался контрабандой нефти через соседние страны и свои морские порты. По некоторым данным, иракские власти ежегодно получали от этих операций 2–2,5 млрд. долл.</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Фактическое отсутствие реальной информации о состоянии отраслей экономики Ирака, кроме нефтяной, не позволяет представить полную картину. Из-за вмешательства государства в экономику и малоэффективного управления ее рентабельность и конкурентоспособность были низкими, это усугублялось и уменьшением выделяемых госпредприятиям бюджетных средств. Только за последние пять лет крах потерпели примерно 600 государственных компаний. Частный сектор не играл большой роли и был представлен мелкими фермерскими хозяйствами и семейными торговыми предприятиями. Засуха 1999–2000 гг. еще больше ухудшила положение в сельском хозяйстве, а импорт продовольствия в рамках программы ООН «Нефть в обмен на продовольствие» (резолюция СБ ООН № 986) привел к</w:t>
      </w:r>
      <w:r w:rsidRPr="00F93987">
        <w:rPr>
          <w:sz w:val="28"/>
          <w:szCs w:val="28"/>
        </w:rPr>
        <w:t xml:space="preserve"> </w:t>
      </w:r>
      <w:r w:rsidRPr="00F93987">
        <w:rPr>
          <w:color w:val="000000"/>
          <w:sz w:val="28"/>
          <w:szCs w:val="28"/>
        </w:rPr>
        <w:t>снижению цен на местную сельхозпродукцию и сделал ее производство невыгодным.</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 xml:space="preserve">Основу иракской экономики составляет нефтяная промышленность. Нефть является фактически единственным источником доходов страны. На нее приходилось ѕ ВВП в </w:t>
      </w:r>
      <w:smartTag w:uri="urn:schemas-microsoft-com:office:smarttags" w:element="metricconverter">
        <w:smartTagPr>
          <w:attr w:name="ProductID" w:val="2002 г"/>
        </w:smartTagPr>
        <w:r w:rsidRPr="00F93987">
          <w:rPr>
            <w:color w:val="000000"/>
            <w:sz w:val="28"/>
            <w:szCs w:val="28"/>
          </w:rPr>
          <w:t>2002 г</w:t>
        </w:r>
      </w:smartTag>
      <w:r w:rsidRPr="00F93987">
        <w:rPr>
          <w:color w:val="000000"/>
          <w:sz w:val="28"/>
          <w:szCs w:val="28"/>
        </w:rPr>
        <w:t xml:space="preserve">. По доказанным запасам нефти (примерно 112 млрд. баррелей) Ирак стоит на втором месте в мире после Саудовской Аравии. Кроме того, по некоторым оценкам, в стране имеется еще 220 млрд. баррелей возможных запасов нефти. Иракская нефть, добываемая на доступных для разработки нефтяных полях, характеризуется низкой себестоимостью добычи (от 1 до 1,5 долл. за баррель) и высоким качеством. В </w:t>
      </w:r>
      <w:smartTag w:uri="urn:schemas-microsoft-com:office:smarttags" w:element="metricconverter">
        <w:smartTagPr>
          <w:attr w:name="ProductID" w:val="2002 г"/>
        </w:smartTagPr>
        <w:r w:rsidRPr="00F93987">
          <w:rPr>
            <w:color w:val="000000"/>
            <w:sz w:val="28"/>
            <w:szCs w:val="28"/>
          </w:rPr>
          <w:t>2002 г</w:t>
        </w:r>
      </w:smartTag>
      <w:r w:rsidRPr="00F93987">
        <w:rPr>
          <w:color w:val="000000"/>
          <w:sz w:val="28"/>
          <w:szCs w:val="28"/>
        </w:rPr>
        <w:t xml:space="preserve">. добыча нефти в Ираке снизилась до 2 млн. баррелей в сутки (в </w:t>
      </w:r>
      <w:smartTag w:uri="urn:schemas-microsoft-com:office:smarttags" w:element="metricconverter">
        <w:smartTagPr>
          <w:attr w:name="ProductID" w:val="2000 г"/>
        </w:smartTagPr>
        <w:r w:rsidRPr="00F93987">
          <w:rPr>
            <w:color w:val="000000"/>
            <w:sz w:val="28"/>
            <w:szCs w:val="28"/>
          </w:rPr>
          <w:t>2000 г</w:t>
        </w:r>
      </w:smartTag>
      <w:r w:rsidRPr="00F93987">
        <w:rPr>
          <w:color w:val="000000"/>
          <w:sz w:val="28"/>
          <w:szCs w:val="28"/>
        </w:rPr>
        <w:t>. она составляла 2,5 млн.). Ежедневно внутри страны потреблялось около 0,5 млн. баррелей. По оценке Международного энергетического агентства, на Ирак до войны приходилось около 3% мирового нефтяного рынка. Развитие других отраслей экономики находилось под влиянием многих факторов, связанных с международными санкциями, государственным вмешательством и падением инвестиций.</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 xml:space="preserve">По мнению экспертов МВФ, у Ирака до </w:t>
      </w:r>
      <w:smartTag w:uri="urn:schemas-microsoft-com:office:smarttags" w:element="metricconverter">
        <w:smartTagPr>
          <w:attr w:name="ProductID" w:val="2003 г"/>
        </w:smartTagPr>
        <w:r w:rsidRPr="00F93987">
          <w:rPr>
            <w:color w:val="000000"/>
            <w:sz w:val="28"/>
            <w:szCs w:val="28"/>
          </w:rPr>
          <w:t>2003 г</w:t>
        </w:r>
      </w:smartTag>
      <w:r w:rsidRPr="00F93987">
        <w:rPr>
          <w:color w:val="000000"/>
          <w:sz w:val="28"/>
          <w:szCs w:val="28"/>
        </w:rPr>
        <w:t xml:space="preserve">. существовало несколько бюджетов: инвестиционные и текущие расходы, расходы в рамках программы «Нефть в обмен на продовольствие» и отдельный бюджет трех северных провинций. Дефицит официального бюджета Ирака покрывался в основном за счет выпуска казначейских векселей, покупаемых крупными государственными банками. Доходы страны в </w:t>
      </w:r>
      <w:smartTag w:uri="urn:schemas-microsoft-com:office:smarttags" w:element="metricconverter">
        <w:smartTagPr>
          <w:attr w:name="ProductID" w:val="2002 г"/>
        </w:smartTagPr>
        <w:r w:rsidRPr="00F93987">
          <w:rPr>
            <w:color w:val="000000"/>
            <w:sz w:val="28"/>
            <w:szCs w:val="28"/>
          </w:rPr>
          <w:t>2002 г</w:t>
        </w:r>
      </w:smartTag>
      <w:r w:rsidRPr="00F93987">
        <w:rPr>
          <w:color w:val="000000"/>
          <w:sz w:val="28"/>
          <w:szCs w:val="28"/>
        </w:rPr>
        <w:t>. (кроме нефтяных) составляли 725 млн. долл., из них 169 млн. приходилось на прибыль госпредприятий, 171 млн. – доходы от услуг, 260 млн. составляли налоговые поступления.</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 xml:space="preserve">Денежно-кредитная политика страны была тесно связана в последние годы с налоговыми интересами. Безналичная система расчетов отличалась неэффективностью и практически отсутствовала, все финансовые сделки осуществлялись в основном наличными. Выпуск местной валюты фактически не контролировался Центральным банком, поэтому отсутствуют данные о количестве денежной массы в обращении в довоенный период. В обращении были два вида банкнот – иракский динар, выпускаемый ЦБ Ирака с </w:t>
      </w:r>
      <w:smartTag w:uri="urn:schemas-microsoft-com:office:smarttags" w:element="metricconverter">
        <w:smartTagPr>
          <w:attr w:name="ProductID" w:val="1990 г"/>
        </w:smartTagPr>
        <w:r w:rsidRPr="00F93987">
          <w:rPr>
            <w:color w:val="000000"/>
            <w:sz w:val="28"/>
            <w:szCs w:val="28"/>
          </w:rPr>
          <w:t>1990 г</w:t>
        </w:r>
      </w:smartTag>
      <w:r w:rsidRPr="00F93987">
        <w:rPr>
          <w:color w:val="000000"/>
          <w:sz w:val="28"/>
          <w:szCs w:val="28"/>
        </w:rPr>
        <w:t>., и «швейцарский динар», выпущенный в 1979–89 гг. и находившийся в обращении в северных курдских провинциях.</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После окончания военной операции временные коалиционные власти и новая гражданская администрация Ирака сконцентрировали свои усилия на восстановлении экономики страны. Из-за военных действий добыча нефти сократилась на 40%, производство электроэнергии – на 30%, более 50% госпредприятий было закрыто, часть из них разрушена. По мнению некоторых экспертов, восстановительный период продлится, как минимум, пять лет. Переориентацию командно-административной экономики Ирака на рыночную будет трудно осуществить, если не удастся обеспечить эффективность ее управления и достичь политической стабильности внутри страны.</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 xml:space="preserve">Основные усилия по восстановлению и развитию экономики страны в </w:t>
      </w:r>
      <w:smartTag w:uri="urn:schemas-microsoft-com:office:smarttags" w:element="metricconverter">
        <w:smartTagPr>
          <w:attr w:name="ProductID" w:val="2003 г"/>
        </w:smartTagPr>
        <w:r w:rsidRPr="00F93987">
          <w:rPr>
            <w:color w:val="000000"/>
            <w:sz w:val="28"/>
            <w:szCs w:val="28"/>
          </w:rPr>
          <w:t>2003 г</w:t>
        </w:r>
      </w:smartTag>
      <w:r w:rsidRPr="00F93987">
        <w:rPr>
          <w:color w:val="000000"/>
          <w:sz w:val="28"/>
          <w:szCs w:val="28"/>
        </w:rPr>
        <w:t xml:space="preserve">. были направлены на возобновление хозяйственной деятельности, либерализацию цен, укрепление денежного обращения и ликвидности, восстановление добычи и экспорта нефти, а также деятельности ЦБ и финансовой системы, исполнения бюджета и пр. Примерно 1/3 госпредприятий снова стала функционировать и получать небольшие дотации из бюджета. Но основная часть средств на эти цели должна поступить с иракских счетов, ранее «замороженных» в США и других странах (они составляют примерно 1,7 млрд. долл.). В конце августа </w:t>
      </w:r>
      <w:smartTag w:uri="urn:schemas-microsoft-com:office:smarttags" w:element="metricconverter">
        <w:smartTagPr>
          <w:attr w:name="ProductID" w:val="2003 г"/>
        </w:smartTagPr>
        <w:r w:rsidRPr="00F93987">
          <w:rPr>
            <w:color w:val="000000"/>
            <w:sz w:val="28"/>
            <w:szCs w:val="28"/>
          </w:rPr>
          <w:t>2003 г</w:t>
        </w:r>
      </w:smartTag>
      <w:r w:rsidRPr="00F93987">
        <w:rPr>
          <w:color w:val="000000"/>
          <w:sz w:val="28"/>
          <w:szCs w:val="28"/>
        </w:rPr>
        <w:t xml:space="preserve">. США разработали программу «Iraqi jump-start program», в которой предусмотрено восстановление нефтедобычи, распределение ключевых контрактов в телекоммуникационной сфере и предоставление займов мелкому бизнесу для укрепления роли частного сектора. В октябре </w:t>
      </w:r>
      <w:smartTag w:uri="urn:schemas-microsoft-com:office:smarttags" w:element="metricconverter">
        <w:smartTagPr>
          <w:attr w:name="ProductID" w:val="2003 г"/>
        </w:smartTagPr>
        <w:r w:rsidRPr="00F93987">
          <w:rPr>
            <w:color w:val="000000"/>
            <w:sz w:val="28"/>
            <w:szCs w:val="28"/>
          </w:rPr>
          <w:t>2003 г</w:t>
        </w:r>
      </w:smartTag>
      <w:r w:rsidRPr="00F93987">
        <w:rPr>
          <w:color w:val="000000"/>
          <w:sz w:val="28"/>
          <w:szCs w:val="28"/>
        </w:rPr>
        <w:t>. был принят закон, разрешающий 100%-ное иностранное участие в иракских предприятиях во всех отраслях, кроме нефтяной. В нем предусмотрено, что иракцы должны составлять не менее 80% от числа работающих на этих предприятиях.</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 xml:space="preserve">После окончания военных действий основная часть госслужащих приступила к работе, была также осуществлена реорганизация основных министерств. Чиновники и сотрудники силовых ведомств второго и более низких уровней были востребованы новой властью благодаря их знаниям и опыту. Временная администрация Ирака рассчитывает с их помощью создать эффективную систему управления страной. С мая </w:t>
      </w:r>
      <w:smartTag w:uri="urn:schemas-microsoft-com:office:smarttags" w:element="metricconverter">
        <w:smartTagPr>
          <w:attr w:name="ProductID" w:val="2003 г"/>
        </w:smartTagPr>
        <w:r w:rsidRPr="00F93987">
          <w:rPr>
            <w:color w:val="000000"/>
            <w:sz w:val="28"/>
            <w:szCs w:val="28"/>
          </w:rPr>
          <w:t>2003 г</w:t>
        </w:r>
      </w:smartTag>
      <w:r w:rsidRPr="00F93987">
        <w:rPr>
          <w:color w:val="000000"/>
          <w:sz w:val="28"/>
          <w:szCs w:val="28"/>
        </w:rPr>
        <w:t>. начались регулярные выплаты заработной платы в министерствах и ведомствах и на государственных предприятиях. По имеющимся официальным данным, в Ираке насчитывается 1 млн. госслужащих, 496 тыс. работников госпредприятий и 996 тыс. пенсионеров.</w:t>
      </w:r>
      <w:r w:rsidRPr="00F93987">
        <w:rPr>
          <w:sz w:val="28"/>
          <w:szCs w:val="28"/>
        </w:rPr>
        <w:t xml:space="preserve"> </w:t>
      </w:r>
      <w:r w:rsidRPr="00F93987">
        <w:rPr>
          <w:color w:val="000000"/>
          <w:sz w:val="28"/>
          <w:szCs w:val="28"/>
        </w:rPr>
        <w:t>Расходы на первоначальные разовые выплаты составили примерно 40 млн. долл.</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 xml:space="preserve">С июня </w:t>
      </w:r>
      <w:smartTag w:uri="urn:schemas-microsoft-com:office:smarttags" w:element="metricconverter">
        <w:smartTagPr>
          <w:attr w:name="ProductID" w:val="2003 г"/>
        </w:smartTagPr>
        <w:r w:rsidRPr="00F93987">
          <w:rPr>
            <w:color w:val="000000"/>
            <w:sz w:val="28"/>
            <w:szCs w:val="28"/>
          </w:rPr>
          <w:t>2003 г</w:t>
        </w:r>
      </w:smartTag>
      <w:r w:rsidRPr="00F93987">
        <w:rPr>
          <w:color w:val="000000"/>
          <w:sz w:val="28"/>
          <w:szCs w:val="28"/>
        </w:rPr>
        <w:t xml:space="preserve">. Центральный банк приступил к выпуску новых банкнот достоинством в 250 динар, а с июля этого же года было разрешено обменивать населению старые банкноты на доллары США, но не более чем по 2 тыс. долл. на человека. Программа по выпуску новой иракской валюты фактически завершилась в январе </w:t>
      </w:r>
      <w:smartTag w:uri="urn:schemas-microsoft-com:office:smarttags" w:element="metricconverter">
        <w:smartTagPr>
          <w:attr w:name="ProductID" w:val="2004 г"/>
        </w:smartTagPr>
        <w:r w:rsidRPr="00F93987">
          <w:rPr>
            <w:color w:val="000000"/>
            <w:sz w:val="28"/>
            <w:szCs w:val="28"/>
          </w:rPr>
          <w:t>2004 г</w:t>
        </w:r>
      </w:smartTag>
      <w:r w:rsidRPr="00F93987">
        <w:rPr>
          <w:color w:val="000000"/>
          <w:sz w:val="28"/>
          <w:szCs w:val="28"/>
        </w:rPr>
        <w:t xml:space="preserve">. Планируется также пустить в свободное обращение в Ираке доллары США, евро, сирийские фунты и кувейтские динары. В октябре </w:t>
      </w:r>
      <w:smartTag w:uri="urn:schemas-microsoft-com:office:smarttags" w:element="metricconverter">
        <w:smartTagPr>
          <w:attr w:name="ProductID" w:val="2003 г"/>
        </w:smartTagPr>
        <w:r w:rsidRPr="00F93987">
          <w:rPr>
            <w:color w:val="000000"/>
            <w:sz w:val="28"/>
            <w:szCs w:val="28"/>
          </w:rPr>
          <w:t>2003 г</w:t>
        </w:r>
      </w:smartTag>
      <w:r w:rsidRPr="00F93987">
        <w:rPr>
          <w:color w:val="000000"/>
          <w:sz w:val="28"/>
          <w:szCs w:val="28"/>
        </w:rPr>
        <w:t xml:space="preserve">. обменный курс иракского динара составил примерно 2100 за 1 долл. США. Международные валютные резервы ЦБ Ирака в июле </w:t>
      </w:r>
      <w:smartTag w:uri="urn:schemas-microsoft-com:office:smarttags" w:element="metricconverter">
        <w:smartTagPr>
          <w:attr w:name="ProductID" w:val="2003 г"/>
        </w:smartTagPr>
        <w:r w:rsidRPr="00F93987">
          <w:rPr>
            <w:color w:val="000000"/>
            <w:sz w:val="28"/>
            <w:szCs w:val="28"/>
          </w:rPr>
          <w:t>2003 г</w:t>
        </w:r>
      </w:smartTag>
      <w:r w:rsidRPr="00F93987">
        <w:rPr>
          <w:color w:val="000000"/>
          <w:sz w:val="28"/>
          <w:szCs w:val="28"/>
        </w:rPr>
        <w:t>. составляли около 500 млн. долл. В настоящее время готовится новый закон, регулирующий деятельность ЦБ. Однако восстановление денежно-кредитной системы и обменного курса сдерживается отсутствием соответствующих финансовых инструментов, нормальной банковской инфраструктуры, частично разрушенной во время военной операции, незначительными размерами международных валютных резервов Ирака.</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Ранее около 90% всех банковских активов страны было сосредоточено в двух крупных государственных банках – «Рафидейн» и «Аль-Рашид». В основном они были размещены в казначейские векселя или кредиты, выданные госпредприятиям. В настоящее время эксперты МВФ оценивают общие активы банковской системы Ирака в 2 млрд. долл. Ряд иностранных банков предложил свое участие в реструктуризации банковской системы страны. Предполагается в ближайшем будущем разрешить иностранным банкам инвестировать средства в иракскую экономику и участвовать в банковском капитале. Эксперты МВФ предложили шести иностранным банкам в течение ближайших пяти лет участвовать в капитале иракских банков, включая «Рафидейн» и «Аль-Рашид», вплоть до выкупа ими 100% акций. Остальные иностранные банки будут иметь возможность выкупать до 50% акций местных банков. В дальнейшем планируется постепенно приватизировать банковский сектор, ввести минимальный размер банковского капитала в 25 млн. долл., внедрить новые банковские технологии и др.</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 xml:space="preserve">Приоритетное внимание Временная коалиционная администрация и новые иракские власти будут уделять развитию нефтяной промышленности. Добыча нефти была восстановлена уже в июле </w:t>
      </w:r>
      <w:smartTag w:uri="urn:schemas-microsoft-com:office:smarttags" w:element="metricconverter">
        <w:smartTagPr>
          <w:attr w:name="ProductID" w:val="2003 г"/>
        </w:smartTagPr>
        <w:r w:rsidRPr="00F93987">
          <w:rPr>
            <w:color w:val="000000"/>
            <w:sz w:val="28"/>
            <w:szCs w:val="28"/>
          </w:rPr>
          <w:t>2003 г</w:t>
        </w:r>
      </w:smartTag>
      <w:r w:rsidRPr="00F93987">
        <w:rPr>
          <w:color w:val="000000"/>
          <w:sz w:val="28"/>
          <w:szCs w:val="28"/>
        </w:rPr>
        <w:t>., так как ущерб от боевых</w:t>
      </w:r>
      <w:r w:rsidRPr="00F93987">
        <w:rPr>
          <w:sz w:val="28"/>
          <w:szCs w:val="28"/>
        </w:rPr>
        <w:t xml:space="preserve"> </w:t>
      </w:r>
      <w:r w:rsidRPr="00F93987">
        <w:rPr>
          <w:color w:val="000000"/>
          <w:sz w:val="28"/>
          <w:szCs w:val="28"/>
        </w:rPr>
        <w:t xml:space="preserve">действий для нефтяных промыслов удалось свести в минимуму. Она составила в конце августа </w:t>
      </w:r>
      <w:smartTag w:uri="urn:schemas-microsoft-com:office:smarttags" w:element="metricconverter">
        <w:smartTagPr>
          <w:attr w:name="ProductID" w:val="2003 г"/>
        </w:smartTagPr>
        <w:r w:rsidRPr="00F93987">
          <w:rPr>
            <w:color w:val="000000"/>
            <w:sz w:val="28"/>
            <w:szCs w:val="28"/>
          </w:rPr>
          <w:t>2003 г</w:t>
        </w:r>
      </w:smartTag>
      <w:r w:rsidRPr="00F93987">
        <w:rPr>
          <w:color w:val="000000"/>
          <w:sz w:val="28"/>
          <w:szCs w:val="28"/>
        </w:rPr>
        <w:t xml:space="preserve">. 1,3 млн. баррелей в сутки, а в декабре должна была достигнуть 2,0 млн. По прогнозам Временной коалиционной администрации, экспорт иракской нефти в </w:t>
      </w:r>
      <w:smartTag w:uri="urn:schemas-microsoft-com:office:smarttags" w:element="metricconverter">
        <w:smartTagPr>
          <w:attr w:name="ProductID" w:val="2003 г"/>
        </w:smartTagPr>
        <w:r w:rsidRPr="00F93987">
          <w:rPr>
            <w:color w:val="000000"/>
            <w:sz w:val="28"/>
            <w:szCs w:val="28"/>
          </w:rPr>
          <w:t>2003 г</w:t>
        </w:r>
      </w:smartTag>
      <w:r w:rsidRPr="00F93987">
        <w:rPr>
          <w:color w:val="000000"/>
          <w:sz w:val="28"/>
          <w:szCs w:val="28"/>
        </w:rPr>
        <w:t xml:space="preserve">. должен был составить 325 млн. баррелей (в </w:t>
      </w:r>
      <w:smartTag w:uri="urn:schemas-microsoft-com:office:smarttags" w:element="metricconverter">
        <w:smartTagPr>
          <w:attr w:name="ProductID" w:val="2002 г"/>
        </w:smartTagPr>
        <w:r w:rsidRPr="00F93987">
          <w:rPr>
            <w:color w:val="000000"/>
            <w:sz w:val="28"/>
            <w:szCs w:val="28"/>
          </w:rPr>
          <w:t>2002 г</w:t>
        </w:r>
      </w:smartTag>
      <w:r w:rsidRPr="00F93987">
        <w:rPr>
          <w:color w:val="000000"/>
          <w:sz w:val="28"/>
          <w:szCs w:val="28"/>
        </w:rPr>
        <w:t xml:space="preserve">. эта цифра была 500 млн. баррелей), а доходы от экспорта – 9,3 млрд. долл. Эти нефтедоллары предполагалось направить на финансирование восстановительных работ в иракской экономике. Резолюция СБ ООН № 1483 от 22 мая </w:t>
      </w:r>
      <w:smartTag w:uri="urn:schemas-microsoft-com:office:smarttags" w:element="metricconverter">
        <w:smartTagPr>
          <w:attr w:name="ProductID" w:val="2003 г"/>
        </w:smartTagPr>
        <w:r w:rsidRPr="00F93987">
          <w:rPr>
            <w:color w:val="000000"/>
            <w:sz w:val="28"/>
            <w:szCs w:val="28"/>
          </w:rPr>
          <w:t>2003 г</w:t>
        </w:r>
      </w:smartTag>
      <w:r w:rsidRPr="00F93987">
        <w:rPr>
          <w:color w:val="000000"/>
          <w:sz w:val="28"/>
          <w:szCs w:val="28"/>
        </w:rPr>
        <w:t>. предусматривала создание фонда развития Ирака для сбора доходов от нефти и завершения оставшихся контрактов в рамках программы ООН «Нефть в обмен на продовольствие». Этот фонд находится под контролем Временной коалиционной администрации, МВФ, Всемирного банка и ООН.</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 xml:space="preserve">В конце июня </w:t>
      </w:r>
      <w:smartTag w:uri="urn:schemas-microsoft-com:office:smarttags" w:element="metricconverter">
        <w:smartTagPr>
          <w:attr w:name="ProductID" w:val="2003 г"/>
        </w:smartTagPr>
        <w:r w:rsidRPr="00F93987">
          <w:rPr>
            <w:color w:val="000000"/>
            <w:sz w:val="28"/>
            <w:szCs w:val="28"/>
          </w:rPr>
          <w:t>2003 г</w:t>
        </w:r>
      </w:smartTag>
      <w:r w:rsidRPr="00F93987">
        <w:rPr>
          <w:color w:val="000000"/>
          <w:sz w:val="28"/>
          <w:szCs w:val="28"/>
        </w:rPr>
        <w:t xml:space="preserve">. на рассмотрение Временной коалиционной администрации был представлен проект бюджета на вторую половину </w:t>
      </w:r>
      <w:smartTag w:uri="urn:schemas-microsoft-com:office:smarttags" w:element="metricconverter">
        <w:smartTagPr>
          <w:attr w:name="ProductID" w:val="2003 г"/>
        </w:smartTagPr>
        <w:r w:rsidRPr="00F93987">
          <w:rPr>
            <w:color w:val="000000"/>
            <w:sz w:val="28"/>
            <w:szCs w:val="28"/>
          </w:rPr>
          <w:t>2003 г</w:t>
        </w:r>
      </w:smartTag>
      <w:r w:rsidRPr="00F93987">
        <w:rPr>
          <w:color w:val="000000"/>
          <w:sz w:val="28"/>
          <w:szCs w:val="28"/>
        </w:rPr>
        <w:t xml:space="preserve">. Его доходы состоят из поступлений от экспорта нефти в размере 2,5 млрд. долл., 0,3 млрд. – отчисления от прибыли госпредприятий и 2,7 млрд. – субсидии США. Расходная часть состоит из текущих расходов, включая импорт товаров в рамках программы «Нефть в обмен на продовольствие» (9,3 млрд. долл.) и расходы на выплату зарплаты госслужащим и инвестиции – 4,5 млрд. долл. Предполагаемый бюджетный дефицит в 2,3 млрд. долл. будет погашаться за счет контрактов в рамках программы «Нефть в обмен на продовольствие» (0,8 млрд. долл.) и финансовых средств Ирака, находящихся за границей. По инициативе Временной администрации в июле </w:t>
      </w:r>
      <w:smartTag w:uri="urn:schemas-microsoft-com:office:smarttags" w:element="metricconverter">
        <w:smartTagPr>
          <w:attr w:name="ProductID" w:val="2003 г"/>
        </w:smartTagPr>
        <w:r w:rsidRPr="00F93987">
          <w:rPr>
            <w:color w:val="000000"/>
            <w:sz w:val="28"/>
            <w:szCs w:val="28"/>
          </w:rPr>
          <w:t>2003 г</w:t>
        </w:r>
      </w:smartTag>
      <w:r w:rsidRPr="00F93987">
        <w:rPr>
          <w:color w:val="000000"/>
          <w:sz w:val="28"/>
          <w:szCs w:val="28"/>
        </w:rPr>
        <w:t>. был создан Торговый банк Ирака для финансирования импортных операций иракских компаний и предприятий и осуществления связи между ними и иностранными поставщиками товаров и услуг. Этот банк должен работать вместе с консорциумом иностранных банков и отвечать за эмиссию торговых аккредитивов.</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 xml:space="preserve">На конференции стран-доноров в Мадриде, состоявшейся 23–24 октября </w:t>
      </w:r>
      <w:smartTag w:uri="urn:schemas-microsoft-com:office:smarttags" w:element="metricconverter">
        <w:smartTagPr>
          <w:attr w:name="ProductID" w:val="2003 г"/>
        </w:smartTagPr>
        <w:r w:rsidRPr="00F93987">
          <w:rPr>
            <w:color w:val="000000"/>
            <w:sz w:val="28"/>
            <w:szCs w:val="28"/>
          </w:rPr>
          <w:t>2003 г</w:t>
        </w:r>
      </w:smartTag>
      <w:r w:rsidRPr="00F93987">
        <w:rPr>
          <w:color w:val="000000"/>
          <w:sz w:val="28"/>
          <w:szCs w:val="28"/>
        </w:rPr>
        <w:t>. в Мадриде, эксперты МВФ предложили амбициозную программу восстановления и развития иракской экономики на 2003–2004 гг. Она направлена на создание рыночной экономики, либерализацию цен, приватизацию и доступ иностранных инвестиций. Однако реализация этой программы сдерживается отсутствием стабильности в стране в целом, адекватной институциональной основы, нормального энерго- и водоснабжения, притока внешних финансовых ресурсов, так необходимых для восстановления экономики Ирака.</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 xml:space="preserve">В начале сентября </w:t>
      </w:r>
      <w:smartTag w:uri="urn:schemas-microsoft-com:office:smarttags" w:element="metricconverter">
        <w:smartTagPr>
          <w:attr w:name="ProductID" w:val="2003 г"/>
        </w:smartTagPr>
        <w:r w:rsidRPr="00F93987">
          <w:rPr>
            <w:color w:val="000000"/>
            <w:sz w:val="28"/>
            <w:szCs w:val="28"/>
          </w:rPr>
          <w:t>2003 г</w:t>
        </w:r>
      </w:smartTag>
      <w:r w:rsidRPr="00F93987">
        <w:rPr>
          <w:color w:val="000000"/>
          <w:sz w:val="28"/>
          <w:szCs w:val="28"/>
        </w:rPr>
        <w:t xml:space="preserve">. Временная коалиционная администрация и министерство финансов Ирака подготовили бюджет страны на </w:t>
      </w:r>
      <w:smartTag w:uri="urn:schemas-microsoft-com:office:smarttags" w:element="metricconverter">
        <w:smartTagPr>
          <w:attr w:name="ProductID" w:val="2004 г"/>
        </w:smartTagPr>
        <w:r w:rsidRPr="00F93987">
          <w:rPr>
            <w:color w:val="000000"/>
            <w:sz w:val="28"/>
            <w:szCs w:val="28"/>
          </w:rPr>
          <w:t>2004 г</w:t>
        </w:r>
      </w:smartTag>
      <w:r w:rsidRPr="00F93987">
        <w:rPr>
          <w:color w:val="000000"/>
          <w:sz w:val="28"/>
          <w:szCs w:val="28"/>
        </w:rPr>
        <w:t xml:space="preserve">., в который были внесены некоторые изменения после его рассмотрения Управляющим советом и предложений стран-доноров на конференции в Мадриде. Впервые за много лет в этот документ были включены три северные провинции Ирака. Доходы от нефти планируются в размере 12 млрд. долл. с учетом восстановления нефтедобычи на уровне 2,7 млн. баррелей в сутки к концу </w:t>
      </w:r>
      <w:smartTag w:uri="urn:schemas-microsoft-com:office:smarttags" w:element="metricconverter">
        <w:smartTagPr>
          <w:attr w:name="ProductID" w:val="2004 г"/>
        </w:smartTagPr>
        <w:r w:rsidRPr="00F93987">
          <w:rPr>
            <w:color w:val="000000"/>
            <w:sz w:val="28"/>
            <w:szCs w:val="28"/>
          </w:rPr>
          <w:t>2004 г</w:t>
        </w:r>
      </w:smartTag>
      <w:r w:rsidRPr="00F93987">
        <w:rPr>
          <w:color w:val="000000"/>
          <w:sz w:val="28"/>
          <w:szCs w:val="28"/>
        </w:rPr>
        <w:t xml:space="preserve">. Налоговые поступления должны составить только 0,8 млрд. долл., так как Временная коалиционная администрация считает, что введение низких налоговых ставок будет стимулировать экономический рост, предусмотренный предложенной МВФ программой макроэкономического развития страны на </w:t>
      </w:r>
      <w:smartTag w:uri="urn:schemas-microsoft-com:office:smarttags" w:element="metricconverter">
        <w:smartTagPr>
          <w:attr w:name="ProductID" w:val="2004 г"/>
        </w:smartTagPr>
        <w:r w:rsidRPr="00F93987">
          <w:rPr>
            <w:color w:val="000000"/>
            <w:sz w:val="28"/>
            <w:szCs w:val="28"/>
          </w:rPr>
          <w:t>2004 г</w:t>
        </w:r>
      </w:smartTag>
      <w:r w:rsidRPr="00F93987">
        <w:rPr>
          <w:color w:val="000000"/>
          <w:sz w:val="28"/>
          <w:szCs w:val="28"/>
        </w:rPr>
        <w:t>. в пределах 7–12% в год.</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 xml:space="preserve">Расходная часть бюджета на </w:t>
      </w:r>
      <w:smartTag w:uri="urn:schemas-microsoft-com:office:smarttags" w:element="metricconverter">
        <w:smartTagPr>
          <w:attr w:name="ProductID" w:val="2004 г"/>
        </w:smartTagPr>
        <w:r w:rsidRPr="00F93987">
          <w:rPr>
            <w:color w:val="000000"/>
            <w:sz w:val="28"/>
            <w:szCs w:val="28"/>
          </w:rPr>
          <w:t>2004 г</w:t>
        </w:r>
      </w:smartTag>
      <w:r w:rsidRPr="00F93987">
        <w:rPr>
          <w:color w:val="000000"/>
          <w:sz w:val="28"/>
          <w:szCs w:val="28"/>
        </w:rPr>
        <w:t>. планируется в размере 21,322 млрд. долл., из них 8,75 млрд. пойдет на приобретение товаров и услуг, которое на 70% будет финансироваться за счет существующих контрактов в рамках программы «Нефть в обмен на продовольствие». На инвестиционные расходы придется лишь 1,4 млрд. долл., так как ожидается, что основная часть проектов по восстановлению иракской экономики будет финансироваться за счет стран-доноров.</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 xml:space="preserve">Дефицит госбюджета на </w:t>
      </w:r>
      <w:smartTag w:uri="urn:schemas-microsoft-com:office:smarttags" w:element="metricconverter">
        <w:smartTagPr>
          <w:attr w:name="ProductID" w:val="2004 г"/>
        </w:smartTagPr>
        <w:r w:rsidRPr="00F93987">
          <w:rPr>
            <w:color w:val="000000"/>
            <w:sz w:val="28"/>
            <w:szCs w:val="28"/>
          </w:rPr>
          <w:t>2004 г</w:t>
        </w:r>
      </w:smartTag>
      <w:r w:rsidRPr="00F93987">
        <w:rPr>
          <w:color w:val="000000"/>
          <w:sz w:val="28"/>
          <w:szCs w:val="28"/>
        </w:rPr>
        <w:t>. предусматривается в размере 8,5 млрд. долл. или 55% ВВП, он будет покрываться за счет контрактов программы «Нефть в обмен на продовольствие» (7,8 млрд. долл.) и части иракских активов, «замороженных» за границей (0,7 млрд. долл.).</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 xml:space="preserve">По оценке экспертов Всемирного банка, ООН, иракских временных властей и администрации США для восстановления экономики Ирака хотя бы до уровня </w:t>
      </w:r>
      <w:smartTag w:uri="urn:schemas-microsoft-com:office:smarttags" w:element="metricconverter">
        <w:smartTagPr>
          <w:attr w:name="ProductID" w:val="2003 г"/>
        </w:smartTagPr>
        <w:r w:rsidRPr="00F93987">
          <w:rPr>
            <w:color w:val="000000"/>
            <w:sz w:val="28"/>
            <w:szCs w:val="28"/>
          </w:rPr>
          <w:t>2003 г</w:t>
        </w:r>
      </w:smartTag>
      <w:r w:rsidRPr="00F93987">
        <w:rPr>
          <w:color w:val="000000"/>
          <w:sz w:val="28"/>
          <w:szCs w:val="28"/>
        </w:rPr>
        <w:t xml:space="preserve">. потребуется 9 млрд. долл. в </w:t>
      </w:r>
      <w:smartTag w:uri="urn:schemas-microsoft-com:office:smarttags" w:element="metricconverter">
        <w:smartTagPr>
          <w:attr w:name="ProductID" w:val="2004 г"/>
        </w:smartTagPr>
        <w:r w:rsidRPr="00F93987">
          <w:rPr>
            <w:color w:val="000000"/>
            <w:sz w:val="28"/>
            <w:szCs w:val="28"/>
          </w:rPr>
          <w:t>2004 г</w:t>
        </w:r>
      </w:smartTag>
      <w:r w:rsidRPr="00F93987">
        <w:rPr>
          <w:color w:val="000000"/>
          <w:sz w:val="28"/>
          <w:szCs w:val="28"/>
        </w:rPr>
        <w:t>. и 26 млрд. долл. в 2005–2007 гг. Реализация этих планов во многом зависит от стабилизации внутренней обстановки в Ираке, способности нынешних институтов власти планировать и реализовывать эти проекты, а также от состояния инфраструктуры и электроснабжения. Пока Всемирный банк проанализировал и рассмотрел лишь 19 проектов на сумму в 5,2 млрд. долл.</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 xml:space="preserve">В рамках погашения и обслуживания иракской задолженности в бюджете </w:t>
      </w:r>
      <w:smartTag w:uri="urn:schemas-microsoft-com:office:smarttags" w:element="metricconverter">
        <w:smartTagPr>
          <w:attr w:name="ProductID" w:val="2004 г"/>
        </w:smartTagPr>
        <w:r w:rsidRPr="00F93987">
          <w:rPr>
            <w:color w:val="000000"/>
            <w:sz w:val="28"/>
            <w:szCs w:val="28"/>
          </w:rPr>
          <w:t>2004 г</w:t>
        </w:r>
      </w:smartTag>
      <w:r w:rsidRPr="00F93987">
        <w:rPr>
          <w:color w:val="000000"/>
          <w:sz w:val="28"/>
          <w:szCs w:val="28"/>
        </w:rPr>
        <w:t xml:space="preserve">. предусмотрена лишь выплата процентов по казначейским обязательствам (1,5 млрд. долл.) и военных репараций в рамках резолюции № 1483 СБ ООН (0,6 млрд. долл.). По соглашению с Парижским клубом погашение остальных долговых платежей приостановлено до конца </w:t>
      </w:r>
      <w:smartTag w:uri="urn:schemas-microsoft-com:office:smarttags" w:element="metricconverter">
        <w:smartTagPr>
          <w:attr w:name="ProductID" w:val="2004 г"/>
        </w:smartTagPr>
        <w:r w:rsidRPr="00F93987">
          <w:rPr>
            <w:color w:val="000000"/>
            <w:sz w:val="28"/>
            <w:szCs w:val="28"/>
          </w:rPr>
          <w:t>2004 г</w:t>
        </w:r>
      </w:smartTag>
      <w:r w:rsidRPr="00F93987">
        <w:rPr>
          <w:color w:val="000000"/>
          <w:sz w:val="28"/>
          <w:szCs w:val="28"/>
        </w:rPr>
        <w:t xml:space="preserve">. Переговоры о реструктуризации иракских долгов продолжаются, этот процесс, как ожидается, будет сложным, длительным и спорным и, возможно, не будет завершен к концу </w:t>
      </w:r>
      <w:smartTag w:uri="urn:schemas-microsoft-com:office:smarttags" w:element="metricconverter">
        <w:smartTagPr>
          <w:attr w:name="ProductID" w:val="2004 г"/>
        </w:smartTagPr>
        <w:r w:rsidRPr="00F93987">
          <w:rPr>
            <w:color w:val="000000"/>
            <w:sz w:val="28"/>
            <w:szCs w:val="28"/>
          </w:rPr>
          <w:t>2004 г</w:t>
        </w:r>
      </w:smartTag>
      <w:r w:rsidRPr="00F93987">
        <w:rPr>
          <w:color w:val="000000"/>
          <w:sz w:val="28"/>
          <w:szCs w:val="28"/>
        </w:rPr>
        <w:t>., как этого хочет Парижский клуб. Предполагается, что около 60% задолженности будет списано, так как долг только тормозит рост иракской экономики. Кредиторами Ирака являются 15 стран, к крупнейшим из них относятся Саудовская Аравия – 25 млрд. долл., Россия – 9 млрд. долл., Германия – 4,3 млрд., Франция – 1,8 млрд. На эти страны со стороны США и Великобритании, осуществляющих в настоящее время контроль в Ираке, но не являющихся его кредиторами, будет оказано давление с требованием списания долгов, Россия, Германия и Франция отказались войти в число доноров по восстановлению Ирака. К нему будут допущены в основном американские и английские компании, поэтому страны-кредиторы надеются найти компромисс с США и Великобританией и пойти по пути реструктуризации, а не списания задолженности.</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 xml:space="preserve">Бюджет </w:t>
      </w:r>
      <w:smartTag w:uri="urn:schemas-microsoft-com:office:smarttags" w:element="metricconverter">
        <w:smartTagPr>
          <w:attr w:name="ProductID" w:val="2004 г"/>
        </w:smartTagPr>
        <w:r w:rsidRPr="00F93987">
          <w:rPr>
            <w:color w:val="000000"/>
            <w:sz w:val="28"/>
            <w:szCs w:val="28"/>
          </w:rPr>
          <w:t>2004 г</w:t>
        </w:r>
      </w:smartTag>
      <w:r w:rsidRPr="00F93987">
        <w:rPr>
          <w:color w:val="000000"/>
          <w:sz w:val="28"/>
          <w:szCs w:val="28"/>
        </w:rPr>
        <w:t xml:space="preserve">. отражает пока еще ведущую роль государства в экономике Ирака. Так, на социальные нужды планируется направить 4,9 млрд. долл., а госпредприятиям – 1 млрд. долл. На субсидирование нефтяной промышленности должно пойти 33% планируемого на </w:t>
      </w:r>
      <w:smartTag w:uri="urn:schemas-microsoft-com:office:smarttags" w:element="metricconverter">
        <w:smartTagPr>
          <w:attr w:name="ProductID" w:val="2004 г"/>
        </w:smartTagPr>
        <w:r w:rsidRPr="00F93987">
          <w:rPr>
            <w:color w:val="000000"/>
            <w:sz w:val="28"/>
            <w:szCs w:val="28"/>
          </w:rPr>
          <w:t>2004 г</w:t>
        </w:r>
      </w:smartTag>
      <w:r w:rsidRPr="00F93987">
        <w:rPr>
          <w:color w:val="000000"/>
          <w:sz w:val="28"/>
          <w:szCs w:val="28"/>
        </w:rPr>
        <w:t>. ВВП. По оценкам МВФ и ВБ, от поставок товаров по программе «Нефть в обмен на продовольствие» пока продолжает зависеть до 60% населения страны</w:t>
      </w:r>
      <w:r w:rsidRPr="00F93987">
        <w:rPr>
          <w:color w:val="000000"/>
          <w:sz w:val="28"/>
          <w:szCs w:val="28"/>
          <w:vertAlign w:val="superscript"/>
        </w:rPr>
        <w:t>12</w:t>
      </w:r>
      <w:r w:rsidRPr="00F93987">
        <w:rPr>
          <w:color w:val="000000"/>
          <w:sz w:val="28"/>
          <w:szCs w:val="28"/>
        </w:rPr>
        <w:t>. Сложившаяся система обеспечения товарами первой необходимости сдерживает развитие частной инициативы, но резкая ее перестройка может привести к ухудшению положения в социальной сфере. Поэтому Управляющий совет Ирака и Временная коалиционная администрация предусматривают поэтапный переход от программы «Нефть в обмен на продовольствие» к системе оплаты товаров и услуг за наличный расчет. Первый этап перестройки распределительной системы начнется с ее постепенной приватизации.</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Программа денежной политики Ирака из-за отсутствия данных о наличной денежной массе в обращении, нестабильного спроса на валюту,</w:t>
      </w:r>
      <w:r w:rsidRPr="00F93987">
        <w:rPr>
          <w:sz w:val="28"/>
          <w:szCs w:val="28"/>
        </w:rPr>
        <w:t xml:space="preserve"> </w:t>
      </w:r>
      <w:r w:rsidRPr="00F93987">
        <w:rPr>
          <w:color w:val="000000"/>
          <w:sz w:val="28"/>
          <w:szCs w:val="28"/>
        </w:rPr>
        <w:t>нехватки инструментов ее осуществления требует постоянного пересмотра и доработки с тем, чтобы избежать нежелательных отклонений от намеченного уровня инфляции. Пока речь идет о введении гибкого курса иракской валюты в условиях сильной зависимости иракской экономики от нефтяной отрасли, временного отсутствия адекватной налоговой системы и небольших валютных резервов. Поэтому ЦБ Ирака должен аккумулировать валютные резервы и осуществлять продажу иностранной валюты на торгах, чтобы направить часть нефтяных доходов на развитие частного сектора, тем самым поощряя нормальное денежное обращение. Для поддержания денежно-валютной стабильности и усиления резервного фонда ЦБ Ирака будет переведено 1,2 млрд. долл. из иракских активов, «замороженных» за границей.</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 xml:space="preserve">Временная коалиционная администрация и переходные иракские власти уже приступили к разработке экономической стратегии развития страны до </w:t>
      </w:r>
      <w:smartTag w:uri="urn:schemas-microsoft-com:office:smarttags" w:element="metricconverter">
        <w:smartTagPr>
          <w:attr w:name="ProductID" w:val="2005 г"/>
        </w:smartTagPr>
        <w:r w:rsidRPr="00F93987">
          <w:rPr>
            <w:color w:val="000000"/>
            <w:sz w:val="28"/>
            <w:szCs w:val="28"/>
          </w:rPr>
          <w:t>2005 г</w:t>
        </w:r>
      </w:smartTag>
      <w:r w:rsidRPr="00F93987">
        <w:rPr>
          <w:color w:val="000000"/>
          <w:sz w:val="28"/>
          <w:szCs w:val="28"/>
        </w:rPr>
        <w:t>. Она заключается в восстановлении экономического роста на базе рыночной политики, включая либерализацию цен, приток иностранных инвестиций, регулирование банковской системы, снижение дотаций госпредприятиям и налогов. В закон об иностранных инвестициях планируется внести статьи об усилении роли частного сектора и особенно иностранных инвесторов для оздоровления хозяйственной деятельности. Однако Управляющий совет Ирака, являющийся не вполне легитимным органом власти, вряд ли сможет в полной мере осуществлять контроль за проведением в жизнь новых законов, в том числе в экономической сфере, а реализация рыночных реформ будет сдерживаться рядом факторов. Во-первых, стратегия экономического развития страны в основном базируется на нефтяных доходах и притоке иностранной помощи, объемы которой могут оказаться гораздо меньше планируемых, в том числе из-за политической нестабильности и регулярных терактов. Во-вторых, нестабильность может привести к падению экономической активности и сдерживать участие стран-доноров в восстановлении страны, не говоря уже о частных инвесторах. В-третьих, непоследовательное осуществление реформ и недостаточно сильная государственная власть могут привести к макроэкономической нестабильности и социальным беспорядкам и затормозить долговременный экономический подъем. В-четвертых, отсутствие адекватной институциональной системы, поддерживающей функционирование рыночной экономики и банковской системы, сведет на нет проведение реформ.</w:t>
      </w:r>
      <w:r w:rsidRPr="00F93987">
        <w:rPr>
          <w:sz w:val="28"/>
          <w:szCs w:val="28"/>
        </w:rPr>
        <w:t xml:space="preserve"> </w:t>
      </w:r>
      <w:r w:rsidRPr="00F93987">
        <w:rPr>
          <w:color w:val="000000"/>
          <w:sz w:val="28"/>
          <w:szCs w:val="28"/>
        </w:rPr>
        <w:t>В-пятых, отсутствие достоверных данных по Ираку осложняет составление и осуществление среднесрочной экономической стратегии.</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 xml:space="preserve">В связи с этим эксперты МВФ предлагают обратить внимание на введение новой системы налогообложения, в том числе повышения ряда налогов, включая налог на импорт от 5 до 10%, учитывая масштабы восстановительных работ. Они также считают необходимым исключить в будущем систему дотаций госпредприятий. Но с учетом трудностей восстановления и развития инфраструктуры и высокого уровня безработицы (до 70% по некоторым данным) этот процесс, по мнению МВФ, займет определенный период времени, и в </w:t>
      </w:r>
      <w:smartTag w:uri="urn:schemas-microsoft-com:office:smarttags" w:element="metricconverter">
        <w:smartTagPr>
          <w:attr w:name="ProductID" w:val="2004 г"/>
        </w:smartTagPr>
        <w:r w:rsidRPr="00F93987">
          <w:rPr>
            <w:color w:val="000000"/>
            <w:sz w:val="28"/>
            <w:szCs w:val="28"/>
          </w:rPr>
          <w:t>2004 г</w:t>
        </w:r>
      </w:smartTag>
      <w:r w:rsidRPr="00F93987">
        <w:rPr>
          <w:color w:val="000000"/>
          <w:sz w:val="28"/>
          <w:szCs w:val="28"/>
        </w:rPr>
        <w:t>. большинство госпредприятий вряд ли будет закрыто. Одним из предложений фонда является также поэтапное снижение субсидирования внутренних цен на нефтепродукты, чтобы избежать социальной напряженности.</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 xml:space="preserve">На конференции стран-доноров в Мадриде было обещано собрать на восстановление иракской экономики 32 млрд. долл., из них 22 млрд. – это безвозмездная помощь. По оценке некоторых экспертов, всего Ираку потребуется до конца </w:t>
      </w:r>
      <w:smartTag w:uri="urn:schemas-microsoft-com:office:smarttags" w:element="metricconverter">
        <w:smartTagPr>
          <w:attr w:name="ProductID" w:val="2007 г"/>
        </w:smartTagPr>
        <w:r w:rsidRPr="00F93987">
          <w:rPr>
            <w:color w:val="000000"/>
            <w:sz w:val="28"/>
            <w:szCs w:val="28"/>
          </w:rPr>
          <w:t>2007 г</w:t>
        </w:r>
      </w:smartTag>
      <w:r w:rsidRPr="00F93987">
        <w:rPr>
          <w:color w:val="000000"/>
          <w:sz w:val="28"/>
          <w:szCs w:val="28"/>
        </w:rPr>
        <w:t>. 56 млрд. долл. США обещали выделить 18,6 млрд. долл., Япония – 1,5 млрд. Всемирный банк, отвечающий за программу реконструкции Ирака, заявил о создании траст-фонда, в котором будут аккумулироваться деньги стран-доноров. В рамках этой программы уже рассмотрено 700 проектов на общую сумму 7 млрд. долл. На конференции также был создан новый, независимый от Временной коалиционной администрации фонд восстановления Ирака с общей суммой контрактов на 13 млрд. долл.</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Отмена санкций ООН открыла путь к возвращению в Ирак иностранных компаний. Большинство контрактов, подписанных иностранными компаниями с иракским правительством в 90-е годы (на сумму в 57 млрд. долл.), в основном в области энергетики, может быть аннулировано, в том числе контракты с российскими фирмами. Поэтому страны-кредиторы Ирака в определенной степени заинтересованы договориться о размене иракской задолженности на участие своих компаний в восстановлении иракской экономики или же на возобновление подписанных ранее контрактов.</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В настоящее время администрация США работает над созданием механизма финансирования восстановительных работ в Ираке. Схема,</w:t>
      </w:r>
      <w:r w:rsidRPr="00F93987">
        <w:rPr>
          <w:sz w:val="28"/>
          <w:szCs w:val="28"/>
        </w:rPr>
        <w:t xml:space="preserve"> </w:t>
      </w:r>
      <w:r w:rsidRPr="00F93987">
        <w:rPr>
          <w:color w:val="000000"/>
          <w:sz w:val="28"/>
          <w:szCs w:val="28"/>
        </w:rPr>
        <w:t>предложенная Вашингтоном, напоминает использованную в 90-е годы в России, когда у нее был ограниченный доступ на мировой рынок капиталов. В качестве обеспечения полученных иностранных кредитов выступали доходы от продажи нефти и газа, находившиеся на валютных счетах.</w:t>
      </w:r>
    </w:p>
    <w:p w:rsidR="00F134B1" w:rsidRPr="00F93987" w:rsidRDefault="00F134B1" w:rsidP="00195B8C">
      <w:pPr>
        <w:widowControl w:val="0"/>
        <w:autoSpaceDE w:val="0"/>
        <w:autoSpaceDN w:val="0"/>
        <w:adjustRightInd w:val="0"/>
        <w:spacing w:line="360" w:lineRule="auto"/>
        <w:ind w:firstLine="709"/>
        <w:jc w:val="both"/>
        <w:rPr>
          <w:sz w:val="28"/>
          <w:szCs w:val="28"/>
        </w:rPr>
      </w:pPr>
      <w:r w:rsidRPr="00F93987">
        <w:rPr>
          <w:color w:val="000000"/>
          <w:sz w:val="28"/>
          <w:szCs w:val="28"/>
        </w:rPr>
        <w:t xml:space="preserve">В начале </w:t>
      </w:r>
      <w:smartTag w:uri="urn:schemas-microsoft-com:office:smarttags" w:element="metricconverter">
        <w:smartTagPr>
          <w:attr w:name="ProductID" w:val="2004 г"/>
        </w:smartTagPr>
        <w:r w:rsidRPr="00F93987">
          <w:rPr>
            <w:color w:val="000000"/>
            <w:sz w:val="28"/>
            <w:szCs w:val="28"/>
          </w:rPr>
          <w:t>2004 г</w:t>
        </w:r>
      </w:smartTag>
      <w:r w:rsidRPr="00F93987">
        <w:rPr>
          <w:color w:val="000000"/>
          <w:sz w:val="28"/>
          <w:szCs w:val="28"/>
        </w:rPr>
        <w:t>. Бюро по управлению программами Ирака объявило о приеме предложений по 17 контрактам на сумму 5 млрд. долл. по восстановлению иракской экономики. Наиболее крупных контрактов в Ираке добились пока американские компании Bechtel и Halliburton (ее возглавлял в 1995–2000 гг. нынешний вице-президент США Р.Чейни), а также KBR, дочерняя структура последней, их общая стоимость уже превысила 7 млрд. долл. Эти контракты напрямую связаны с восстановлением нефтеперегонных заводов и энергетической системы Ирака.</w:t>
      </w:r>
    </w:p>
    <w:p w:rsidR="00F134B1" w:rsidRDefault="00F134B1" w:rsidP="00195B8C">
      <w:pPr>
        <w:widowControl w:val="0"/>
        <w:autoSpaceDE w:val="0"/>
        <w:autoSpaceDN w:val="0"/>
        <w:adjustRightInd w:val="0"/>
        <w:spacing w:line="360" w:lineRule="auto"/>
        <w:ind w:firstLine="709"/>
        <w:jc w:val="both"/>
        <w:rPr>
          <w:color w:val="000000"/>
          <w:sz w:val="28"/>
          <w:szCs w:val="28"/>
        </w:rPr>
      </w:pPr>
      <w:r w:rsidRPr="00F93987">
        <w:rPr>
          <w:color w:val="000000"/>
          <w:sz w:val="28"/>
          <w:szCs w:val="28"/>
        </w:rPr>
        <w:t xml:space="preserve">На состоявшейся в Абу-Даби в конце февраля встрече стран – доноров Ирака было принято решение о внесении 1 млрд. долл. в два траст-фонда для их последующего инвестирования в экономику Ирака в </w:t>
      </w:r>
      <w:smartTag w:uri="urn:schemas-microsoft-com:office:smarttags" w:element="metricconverter">
        <w:smartTagPr>
          <w:attr w:name="ProductID" w:val="2004 г"/>
        </w:smartTagPr>
        <w:r w:rsidRPr="00F93987">
          <w:rPr>
            <w:color w:val="000000"/>
            <w:sz w:val="28"/>
            <w:szCs w:val="28"/>
          </w:rPr>
          <w:t>2004 г</w:t>
        </w:r>
      </w:smartTag>
      <w:r w:rsidRPr="00F93987">
        <w:rPr>
          <w:color w:val="000000"/>
          <w:sz w:val="28"/>
          <w:szCs w:val="28"/>
        </w:rPr>
        <w:t>. Однако временные иракские власти жалуются, что из общей суммы в 32 млрд. долл., обещанной на конференции в Мадриде, пока ни один доллар не был инвестирован в иракскую экономику. Это сильно тормозит осуществление программы реконструкции и восстановления страны, усиливает и без того сложную политическую и социальную обстановку в Ираке.</w:t>
      </w:r>
    </w:p>
    <w:p w:rsidR="00DB4FEB" w:rsidRPr="00C82126" w:rsidRDefault="00DB4FEB" w:rsidP="00195B8C">
      <w:pPr>
        <w:widowControl w:val="0"/>
        <w:autoSpaceDE w:val="0"/>
        <w:autoSpaceDN w:val="0"/>
        <w:adjustRightInd w:val="0"/>
        <w:spacing w:line="360" w:lineRule="auto"/>
        <w:ind w:firstLine="709"/>
        <w:jc w:val="both"/>
        <w:rPr>
          <w:color w:val="FFFFFF"/>
          <w:sz w:val="28"/>
          <w:szCs w:val="28"/>
        </w:rPr>
      </w:pPr>
      <w:r w:rsidRPr="00C82126">
        <w:rPr>
          <w:color w:val="FFFFFF"/>
          <w:sz w:val="28"/>
          <w:szCs w:val="28"/>
        </w:rPr>
        <w:t>ирак хусейн национальный нефтяной</w:t>
      </w:r>
    </w:p>
    <w:p w:rsidR="00F134B1" w:rsidRPr="00F93987" w:rsidRDefault="00042D8A" w:rsidP="00195B8C">
      <w:pPr>
        <w:widowControl w:val="0"/>
        <w:spacing w:line="360" w:lineRule="auto"/>
        <w:ind w:firstLine="709"/>
        <w:jc w:val="center"/>
        <w:rPr>
          <w:b/>
          <w:bCs/>
          <w:color w:val="000000"/>
          <w:sz w:val="28"/>
          <w:szCs w:val="28"/>
          <w:lang w:val="en-US"/>
        </w:rPr>
      </w:pPr>
      <w:r w:rsidRPr="00F93987">
        <w:rPr>
          <w:color w:val="000000"/>
          <w:sz w:val="28"/>
          <w:szCs w:val="28"/>
        </w:rPr>
        <w:br w:type="page"/>
      </w:r>
      <w:r w:rsidRPr="00F93987">
        <w:rPr>
          <w:b/>
          <w:bCs/>
          <w:color w:val="000000"/>
          <w:sz w:val="28"/>
          <w:szCs w:val="28"/>
        </w:rPr>
        <w:t>Список</w:t>
      </w:r>
      <w:r w:rsidRPr="00F93987">
        <w:rPr>
          <w:b/>
          <w:bCs/>
          <w:color w:val="000000"/>
          <w:sz w:val="28"/>
          <w:szCs w:val="28"/>
          <w:lang w:val="en-US"/>
        </w:rPr>
        <w:t xml:space="preserve"> </w:t>
      </w:r>
      <w:r w:rsidRPr="00F93987">
        <w:rPr>
          <w:b/>
          <w:bCs/>
          <w:color w:val="000000"/>
          <w:sz w:val="28"/>
          <w:szCs w:val="28"/>
        </w:rPr>
        <w:t>источников</w:t>
      </w:r>
      <w:r w:rsidRPr="00F93987">
        <w:rPr>
          <w:b/>
          <w:bCs/>
          <w:color w:val="000000"/>
          <w:sz w:val="28"/>
          <w:szCs w:val="28"/>
          <w:lang w:val="en-US"/>
        </w:rPr>
        <w:t xml:space="preserve"> </w:t>
      </w:r>
      <w:r w:rsidRPr="00F93987">
        <w:rPr>
          <w:b/>
          <w:bCs/>
          <w:color w:val="000000"/>
          <w:sz w:val="28"/>
          <w:szCs w:val="28"/>
        </w:rPr>
        <w:t>и</w:t>
      </w:r>
      <w:r w:rsidRPr="00F93987">
        <w:rPr>
          <w:b/>
          <w:bCs/>
          <w:color w:val="000000"/>
          <w:sz w:val="28"/>
          <w:szCs w:val="28"/>
          <w:lang w:val="en-US"/>
        </w:rPr>
        <w:t xml:space="preserve"> </w:t>
      </w:r>
      <w:r w:rsidRPr="00F93987">
        <w:rPr>
          <w:b/>
          <w:bCs/>
          <w:color w:val="000000"/>
          <w:sz w:val="28"/>
          <w:szCs w:val="28"/>
        </w:rPr>
        <w:t>литературы</w:t>
      </w:r>
    </w:p>
    <w:p w:rsidR="00042D8A" w:rsidRPr="00F93987" w:rsidRDefault="00042D8A" w:rsidP="00195B8C">
      <w:pPr>
        <w:widowControl w:val="0"/>
        <w:autoSpaceDE w:val="0"/>
        <w:autoSpaceDN w:val="0"/>
        <w:adjustRightInd w:val="0"/>
        <w:spacing w:line="360" w:lineRule="auto"/>
        <w:ind w:firstLine="709"/>
        <w:jc w:val="both"/>
        <w:rPr>
          <w:b/>
          <w:bCs/>
          <w:color w:val="000000"/>
          <w:sz w:val="28"/>
          <w:szCs w:val="28"/>
        </w:rPr>
      </w:pPr>
    </w:p>
    <w:p w:rsidR="00152003" w:rsidRPr="00F93987" w:rsidRDefault="00152003" w:rsidP="00DB4FEB">
      <w:pPr>
        <w:pStyle w:val="a7"/>
        <w:widowControl w:val="0"/>
        <w:numPr>
          <w:ilvl w:val="0"/>
          <w:numId w:val="1"/>
        </w:numPr>
        <w:autoSpaceDE w:val="0"/>
        <w:autoSpaceDN w:val="0"/>
        <w:adjustRightInd w:val="0"/>
        <w:spacing w:line="360" w:lineRule="auto"/>
        <w:ind w:left="0" w:firstLine="0"/>
        <w:jc w:val="both"/>
        <w:rPr>
          <w:color w:val="000000"/>
          <w:sz w:val="28"/>
          <w:szCs w:val="28"/>
        </w:rPr>
      </w:pPr>
      <w:r w:rsidRPr="00F93987">
        <w:rPr>
          <w:color w:val="000000"/>
          <w:sz w:val="28"/>
          <w:szCs w:val="28"/>
        </w:rPr>
        <w:t>История Востока. – М., 2009</w:t>
      </w:r>
    </w:p>
    <w:p w:rsidR="00152003" w:rsidRPr="00F93987" w:rsidRDefault="00152003" w:rsidP="00DB4FEB">
      <w:pPr>
        <w:pStyle w:val="a7"/>
        <w:widowControl w:val="0"/>
        <w:numPr>
          <w:ilvl w:val="0"/>
          <w:numId w:val="1"/>
        </w:numPr>
        <w:autoSpaceDE w:val="0"/>
        <w:autoSpaceDN w:val="0"/>
        <w:adjustRightInd w:val="0"/>
        <w:spacing w:line="360" w:lineRule="auto"/>
        <w:ind w:left="0" w:firstLine="0"/>
        <w:jc w:val="both"/>
        <w:rPr>
          <w:color w:val="000000"/>
          <w:sz w:val="28"/>
          <w:szCs w:val="28"/>
        </w:rPr>
      </w:pPr>
      <w:r w:rsidRPr="00F93987">
        <w:rPr>
          <w:color w:val="000000"/>
          <w:sz w:val="28"/>
          <w:szCs w:val="28"/>
        </w:rPr>
        <w:t xml:space="preserve">Экономика Ирака в постсаддамовский период. – Ближний Восток и современность. Вып. </w:t>
      </w:r>
      <w:smartTag w:uri="urn:schemas-microsoft-com:office:smarttags" w:element="metricconverter">
        <w:smartTagPr>
          <w:attr w:name="ProductID" w:val="17. М"/>
        </w:smartTagPr>
        <w:r w:rsidRPr="00F93987">
          <w:rPr>
            <w:color w:val="000000"/>
            <w:sz w:val="28"/>
            <w:szCs w:val="28"/>
          </w:rPr>
          <w:t>17. М</w:t>
        </w:r>
      </w:smartTag>
      <w:r w:rsidRPr="00F93987">
        <w:rPr>
          <w:color w:val="000000"/>
          <w:sz w:val="28"/>
          <w:szCs w:val="28"/>
        </w:rPr>
        <w:t>., 2009. С. 17–128.</w:t>
      </w:r>
    </w:p>
    <w:p w:rsidR="00152003" w:rsidRPr="00F93987" w:rsidRDefault="00152003" w:rsidP="00DB4FEB">
      <w:pPr>
        <w:pStyle w:val="a7"/>
        <w:widowControl w:val="0"/>
        <w:numPr>
          <w:ilvl w:val="0"/>
          <w:numId w:val="1"/>
        </w:numPr>
        <w:autoSpaceDE w:val="0"/>
        <w:autoSpaceDN w:val="0"/>
        <w:adjustRightInd w:val="0"/>
        <w:spacing w:line="360" w:lineRule="auto"/>
        <w:ind w:left="0" w:firstLine="0"/>
        <w:jc w:val="both"/>
        <w:rPr>
          <w:color w:val="000000"/>
          <w:sz w:val="28"/>
          <w:szCs w:val="28"/>
        </w:rPr>
      </w:pPr>
      <w:r w:rsidRPr="00F93987">
        <w:rPr>
          <w:color w:val="000000"/>
          <w:sz w:val="28"/>
          <w:szCs w:val="28"/>
        </w:rPr>
        <w:t xml:space="preserve">Иракско-американское торговое сотрудничество. Ближний Восток и современность. Вып. </w:t>
      </w:r>
      <w:smartTag w:uri="urn:schemas-microsoft-com:office:smarttags" w:element="metricconverter">
        <w:smartTagPr>
          <w:attr w:name="ProductID" w:val="18. М"/>
        </w:smartTagPr>
        <w:r w:rsidRPr="00F93987">
          <w:rPr>
            <w:color w:val="000000"/>
            <w:sz w:val="28"/>
            <w:szCs w:val="28"/>
          </w:rPr>
          <w:t>18. М</w:t>
        </w:r>
      </w:smartTag>
      <w:r w:rsidRPr="00F93987">
        <w:rPr>
          <w:color w:val="000000"/>
          <w:sz w:val="28"/>
          <w:szCs w:val="28"/>
        </w:rPr>
        <w:t>., 2008. С. 111–118.</w:t>
      </w:r>
    </w:p>
    <w:p w:rsidR="00152003" w:rsidRPr="00F93987" w:rsidRDefault="00152003" w:rsidP="00DB4FEB">
      <w:pPr>
        <w:pStyle w:val="a7"/>
        <w:widowControl w:val="0"/>
        <w:numPr>
          <w:ilvl w:val="0"/>
          <w:numId w:val="1"/>
        </w:numPr>
        <w:spacing w:line="360" w:lineRule="auto"/>
        <w:ind w:left="0" w:firstLine="0"/>
        <w:jc w:val="both"/>
        <w:rPr>
          <w:color w:val="000000"/>
          <w:sz w:val="28"/>
          <w:szCs w:val="28"/>
        </w:rPr>
      </w:pPr>
      <w:r w:rsidRPr="00F93987">
        <w:rPr>
          <w:color w:val="000000"/>
          <w:sz w:val="28"/>
          <w:szCs w:val="28"/>
        </w:rPr>
        <w:t>США в урегулировании иракского кризиса. Ближний Восток и соврем</w:t>
      </w:r>
      <w:r w:rsidR="007374DC" w:rsidRPr="00F93987">
        <w:rPr>
          <w:color w:val="000000"/>
          <w:sz w:val="28"/>
          <w:szCs w:val="28"/>
        </w:rPr>
        <w:t xml:space="preserve">енность. Вып. </w:t>
      </w:r>
      <w:smartTag w:uri="urn:schemas-microsoft-com:office:smarttags" w:element="metricconverter">
        <w:smartTagPr>
          <w:attr w:name="ProductID" w:val="17. М"/>
        </w:smartTagPr>
        <w:r w:rsidR="007374DC" w:rsidRPr="00F93987">
          <w:rPr>
            <w:color w:val="000000"/>
            <w:sz w:val="28"/>
            <w:szCs w:val="28"/>
          </w:rPr>
          <w:t>17. М</w:t>
        </w:r>
      </w:smartTag>
      <w:r w:rsidR="007374DC" w:rsidRPr="00F93987">
        <w:rPr>
          <w:color w:val="000000"/>
          <w:sz w:val="28"/>
          <w:szCs w:val="28"/>
        </w:rPr>
        <w:t>., 2009. С. 67–79</w:t>
      </w:r>
      <w:r w:rsidRPr="00F93987">
        <w:rPr>
          <w:color w:val="000000"/>
          <w:sz w:val="28"/>
          <w:szCs w:val="28"/>
        </w:rPr>
        <w:t>.</w:t>
      </w:r>
    </w:p>
    <w:p w:rsidR="00152003" w:rsidRDefault="00152003" w:rsidP="00195B8C">
      <w:pPr>
        <w:pStyle w:val="a7"/>
        <w:widowControl w:val="0"/>
        <w:autoSpaceDE w:val="0"/>
        <w:autoSpaceDN w:val="0"/>
        <w:adjustRightInd w:val="0"/>
        <w:spacing w:line="360" w:lineRule="auto"/>
        <w:ind w:left="0"/>
        <w:rPr>
          <w:color w:val="000000"/>
          <w:sz w:val="28"/>
          <w:szCs w:val="28"/>
        </w:rPr>
      </w:pPr>
    </w:p>
    <w:p w:rsidR="00286017" w:rsidRPr="00286017" w:rsidRDefault="00286017" w:rsidP="00195B8C">
      <w:pPr>
        <w:pStyle w:val="a7"/>
        <w:widowControl w:val="0"/>
        <w:autoSpaceDE w:val="0"/>
        <w:autoSpaceDN w:val="0"/>
        <w:adjustRightInd w:val="0"/>
        <w:spacing w:line="360" w:lineRule="auto"/>
        <w:ind w:left="0"/>
        <w:jc w:val="center"/>
        <w:rPr>
          <w:color w:val="FFFFFF"/>
          <w:sz w:val="28"/>
          <w:szCs w:val="28"/>
        </w:rPr>
      </w:pPr>
      <w:bookmarkStart w:id="0" w:name="_GoBack"/>
      <w:bookmarkEnd w:id="0"/>
    </w:p>
    <w:sectPr w:rsidR="00286017" w:rsidRPr="00286017" w:rsidSect="00F93987">
      <w:head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126" w:rsidRDefault="00C82126" w:rsidP="00042D8A">
      <w:r>
        <w:separator/>
      </w:r>
    </w:p>
  </w:endnote>
  <w:endnote w:type="continuationSeparator" w:id="0">
    <w:p w:rsidR="00C82126" w:rsidRDefault="00C82126" w:rsidP="00042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126" w:rsidRDefault="00C82126" w:rsidP="00042D8A">
      <w:r>
        <w:separator/>
      </w:r>
    </w:p>
  </w:footnote>
  <w:footnote w:type="continuationSeparator" w:id="0">
    <w:p w:rsidR="00C82126" w:rsidRDefault="00C82126" w:rsidP="00042D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987" w:rsidRPr="00F93987" w:rsidRDefault="00F93987" w:rsidP="00F93987">
    <w:pPr>
      <w:pStyle w:val="a3"/>
      <w:jc w:val="center"/>
      <w:rPr>
        <w:color w:val="808080"/>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F097B"/>
    <w:multiLevelType w:val="hybridMultilevel"/>
    <w:tmpl w:val="774C2086"/>
    <w:lvl w:ilvl="0" w:tplc="DD465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5F56"/>
    <w:rsid w:val="00042D8A"/>
    <w:rsid w:val="00056D5B"/>
    <w:rsid w:val="00152003"/>
    <w:rsid w:val="00195B8C"/>
    <w:rsid w:val="0023251F"/>
    <w:rsid w:val="00286017"/>
    <w:rsid w:val="00677460"/>
    <w:rsid w:val="007374DC"/>
    <w:rsid w:val="007D3370"/>
    <w:rsid w:val="007E5F56"/>
    <w:rsid w:val="008A1225"/>
    <w:rsid w:val="00A573FE"/>
    <w:rsid w:val="00B51E72"/>
    <w:rsid w:val="00C82126"/>
    <w:rsid w:val="00D65D46"/>
    <w:rsid w:val="00DB4FEB"/>
    <w:rsid w:val="00EF5869"/>
    <w:rsid w:val="00F134B1"/>
    <w:rsid w:val="00F26FEA"/>
    <w:rsid w:val="00F8559E"/>
    <w:rsid w:val="00F93987"/>
    <w:rsid w:val="00FB7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4B0FA9B-0085-41F8-84CD-13C4A7545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4B1"/>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42D8A"/>
    <w:pPr>
      <w:tabs>
        <w:tab w:val="center" w:pos="4677"/>
        <w:tab w:val="right" w:pos="9355"/>
      </w:tabs>
    </w:pPr>
  </w:style>
  <w:style w:type="character" w:customStyle="1" w:styleId="a4">
    <w:name w:val="Верхний колонтитул Знак"/>
    <w:link w:val="a3"/>
    <w:uiPriority w:val="99"/>
    <w:locked/>
    <w:rsid w:val="00042D8A"/>
    <w:rPr>
      <w:rFonts w:ascii="Times New Roman" w:hAnsi="Times New Roman" w:cs="Times New Roman"/>
      <w:sz w:val="24"/>
      <w:szCs w:val="24"/>
      <w:lang w:val="x-none" w:eastAsia="ru-RU"/>
    </w:rPr>
  </w:style>
  <w:style w:type="paragraph" w:styleId="a5">
    <w:name w:val="footer"/>
    <w:basedOn w:val="a"/>
    <w:link w:val="a6"/>
    <w:uiPriority w:val="99"/>
    <w:rsid w:val="00042D8A"/>
    <w:pPr>
      <w:tabs>
        <w:tab w:val="center" w:pos="4677"/>
        <w:tab w:val="right" w:pos="9355"/>
      </w:tabs>
    </w:pPr>
  </w:style>
  <w:style w:type="character" w:customStyle="1" w:styleId="a6">
    <w:name w:val="Нижний колонтитул Знак"/>
    <w:link w:val="a5"/>
    <w:uiPriority w:val="99"/>
    <w:locked/>
    <w:rsid w:val="00042D8A"/>
    <w:rPr>
      <w:rFonts w:ascii="Times New Roman" w:hAnsi="Times New Roman" w:cs="Times New Roman"/>
      <w:sz w:val="24"/>
      <w:szCs w:val="24"/>
      <w:lang w:val="x-none" w:eastAsia="ru-RU"/>
    </w:rPr>
  </w:style>
  <w:style w:type="paragraph" w:styleId="a7">
    <w:name w:val="List Paragraph"/>
    <w:basedOn w:val="a"/>
    <w:uiPriority w:val="99"/>
    <w:qFormat/>
    <w:rsid w:val="001520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3301</Words>
  <Characters>18821</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Реферат: Экономическое развитие Иракской республики после свержения режима Саддама Хусейна</vt:lpstr>
    </vt:vector>
  </TitlesOfParts>
  <Company/>
  <LinksUpToDate>false</LinksUpToDate>
  <CharactersWithSpaces>22078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Экономическое развитие Иракской республики после свержения режима Саддама Хусейна</dc:title>
  <dc:subject/>
  <dc:creator>SbO</dc:creator>
  <cp:keywords/>
  <dc:description/>
  <cp:lastModifiedBy>admin</cp:lastModifiedBy>
  <cp:revision>2</cp:revision>
  <dcterms:created xsi:type="dcterms:W3CDTF">2014-03-23T11:21:00Z</dcterms:created>
  <dcterms:modified xsi:type="dcterms:W3CDTF">2014-03-23T11:21:00Z</dcterms:modified>
</cp:coreProperties>
</file>