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Анализ современного состояния и перспектив развития российско-египетских отношений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Интеграционные и глобализационные процессы, происходящие на современном этапе развития мировой экономики, являются результатом многовекового установления и упрочения внешнеэкономического сотрудничества, которое особенно активизировалось в последние десятилетия XX века.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Сравнение динамик прироста таких важнейших составляющих международного экономического сотрудничества, как внешняя торговля и прямые иностранные инвестиции (ПИИ), явно доказывает, что внешнеэкономическая деятельность как отдельно взятых государств, так и региональных экономических группировок играет все более значительную роль в развитии мировой экономики. Так, если до середины 80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гг. объемы международной торговли и инвестиций возрастали примерно на 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год, то после 1985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годовой рост мировой торговли составлял уже около 1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а ПИИ ежегодно возрастали почти на 1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Играя определяющую роль в развитии мировой экономики в целом, международное экономическое сотрудничество во второй половине XX века стало едва ли не главным фактором экономического подъема большой и постоянно пополняющейся группы государств, в которую входят как промышленно развитые страны, так и государства, находящиеся на периферии мирового хозяйства.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Согласно расчетам, проведенным 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В.А.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Мельянцевым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заметную роль в процессе ускорения экономического развития развивающихся стран сыграло повышение темпов прироста как раз физического объема экспорта. Так, если в довоенный период расширение внутреннего спроса обеспечивало 91–9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а увеличение экспорта – 7–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прироста ВВП стран третьего мира, то в последние четыре десятилетия соответствующие показатели составили уже 85–87 и 13–1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Развивающиеся страны Арабского Востока, в том числе и наиболее</w:t>
      </w:r>
      <w:r w:rsidR="00965E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экономически продвинутые из них, по существу, только по каналам международного обмена получили доступ к новейшим технологиями источникам сырья, передовому управленческому опыту, дефицитным валютным ресурсам и, наконец, рынкам сбыта значительной части производимых товаров и услуг – тем составным процесса</w:t>
      </w:r>
      <w:r w:rsidR="00965E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воспроизводства общественного продукта, без которых сегодня вряд ли возможно само существование национальных экономик.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Страны Северной Африки имеют длительную историю развития международного экономического сотрудничества, как на межарабском экономическом пространстве, так и с такой мощной экономической силой, как Европейский Союз, с другими членами мирового сообщества. Причем отдельные важные показатели такого сотрудничества (доля внешней торговли в ВВП, величина валютных поступлений в национальном доходе и др.) вполне сопоставимы с соответствующими данными промышленно развитых стран. Так, в начале 90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 доля внешней торговли в ВВП – показатель достаточно явно свидетельствующий о той роли, которую играет внешнеэкономическая деятельность в национальной экономике государства, – в странах ЕС и Северной Африки равнялась 47,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и 33,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соответственно. А если в качестве сравнения мы рассчитаем аналогичный показатель в одном из наиболее развитых государств арабского мира – Египте, то эта доля в ВВП за 1991 и 1995 годы составила 49,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и 61,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соответственно, что, как мы видим, даже превышает общеевропейский уровень.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Столь относительно высокий уровень вовлеченности Египта в международную торговлю не случаен. Египет – одно из первых государств на Арабском Востоке, которое осознало необходимость проведения широкомасштабных либеральных экономических реформ, направленных на создание благоприятных условий для активного развития внешнеэкономических связей. Такая задача была поставлена уже в 70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гг., когда под руководством президента Садата стала проводиться политика реформ, получившая название «инфитах».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На современном этапе развития активизация внешнеэкономических связей по-прежнему является одним из наиболее приоритетных направлений в системе преобразований и реформ, проводимых в Египте. Столь большое внимание, уделяемое этой проблеме, связано с тем, что такие составляющие внешнеэкономической деятельности, как внешние заимствования, иностранная экономическая и финансовая помощь, товарооборот с другими государствами и иностранные инвестиции, – во многом определяют состояние экономики страны.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Внешние заимствования. Программа структурных преобразований в АРЕ в 90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гг. не смогла бы осуществиться, если бы она не получила широкую поддержку со стороны многочисленных международных и региональных организаций, таких как МВФ, МБРР, Парижский клуб, Африканский банк развития, а также отдельных стран-доноров, в первую очередь США и стран-членов ЕС. Как известно, в 1991 году египетский внешний долг равнялся 50 млрд.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В то время стране приходилось тратить на его обслуживание почти 3,5 млрд.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., что соответствовало 11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экспортной выручки (1989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.). Такие расходы, конечно же, значительно тормозили экономическое развитие страны. И в этом отношении начало реализации программы реформ, согласованных с МВФ, явилось выходом из сложившейся критической ситуации. Так, в результате проводившихся с 1991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переговоров в рамках Парижского клуба и с отдельными странами-кредиторами Египту, доказавшему свою верность избранному курсу на поэтапные рыночные преобразования, удалось добиться постепенного списания 24,5 млрд.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внешней задолженности и переноса срока погашения оставшейся ее части в рамках Парижского клуба на 25 лет.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Внешняя задолженность в 1999–2000 финансовом году снизилась на 441 млн.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США по сравнению с предыдущим годом и по состоянию на 30 июня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составила 27,8 млрд.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США. Из общей суммы внешнего долга 89,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приходилось на средне- и долгосрочные кредиты, примерно 5,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на краткосрочные ссуды, 3,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на кредиты поставщиков и 1,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на негарантированные долги частного сектора.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Десятка основных кредиторов АРЕ по состоянию на конец сентября 1998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выглядела следующим образом (в млн.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.): США – 5497, Франция – 5539, Япония – 3102, Германия – 2919, Италия – 1138, Великобритания – 397, Кувейт – 248, Австралия – 218, Канада – 210, Дания – 166.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Египет продолжает привлекать иностранную экономическую и финансовую помощь, за счет которой частично покрывается бюджетный дефицит, обеспечивается импорт ряда потребительских товаров и строительство большинства крупных объектов промышленности и инфраструктуры. Например, в 1998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США выделили 181 млн.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на выполнение работ по модернизации системы управления распределением электроэнергии, вырабатываемой на Высокой Асуанской плотине, доля которой в общем объеме производства электроэнергии страны составляет 1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Тем не менее</w:t>
      </w:r>
      <w:r w:rsidR="00965E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необходимо отметить, что в последнее время объем иностранной экономической и финансовой помощи Египту, составлявший ранее около 3 млрд.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США в год, начал сокращаться.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Иностранные инвестиции. Приступая в 1991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к реализации программы либерализации экономики, правительство АРЕ поставило перед собой задачу создать благоприятный климат для привлечения иностранных инвестиций. В результате внесения соответствующих изменений в регламентацию деятельности иностранных компаний роль участия прямых иностранных инвестиций (ПИИ) в инвестиционных проектах на территории Египта в 90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годы заметно возросла. Так, доля ПИИ увеличилась с 22,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 1980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до 31,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 1994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настоящее время проблеме привлечения иностранных инвестиций также уделяется большое внимание, что находит свое отражение в принятии законов и нормативных актов, предоставляющих дополнительные гарантии и стимулы для иностранных инвесторов. По данным МБРР, опубликованным в 1998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., АРЕ относится к 20 странам с наиболее благоприятным инвестиционным климатом, а по объему привлеченных ПИИ, который в этом же году составил 1,8 млрд.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., опередил все арабские страны. Для сравнения, этот же показатель в 1991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(начало реформ) и 1997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равнялся 290 и 1027,5 млн.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соответственно, что подтверждает тот факт, что роль иностранных инвестиций в экономике Египта возрастает, причем относительно высокими темпами.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Всего по состоянию на 30 июня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в рамках закона об иностранных инвестициях и свободных зонах действовало 3122 предприятия (2541 – на территории страны, 581 – в свободных зонах) с капиталом 56,6 млрд. ег. ф. (соответственно 44,5 и 12,1 млрд.) и капиталовложениями 90,9 млрд. ег. ф. (соответственно 42,9 и 26,4 млрд.). Представляется интересным сравнение этих данных с аналогичными показателями по состоянию на 30 июня 1998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Так, к указанному моменту в рамках этого закона действовало 2170 предприятий (1698 – на территории страны, 472 – в свободных зонах) с капиталом 39,9 млрд. ег. ф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(с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оответственно 29,2 и 10,7 млрд.) и капиталовложениями 65,8 млрд. ег. ф. (соответственно 42,9 и 22,9 млрд.). Таким образом, только за два года численность иностранных и совместных предприятий, функционирующих в Египте, выросла почти на 4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а объем их капиталовложений – приблизительно на 4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Наиболее привлекательной отраслью для иностранных инвестиций в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оставалась нефтегазовая промышленность, в которую они вкладывались на условиях соглашений о разделе продукции (СРП). С 1973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., когда было создано Министерство нефти, по настоящее время было заключено около 260 СРП примерно с 50 компаниями. За это время в нефтегазовую промышленность Египта ими было инвестировано около 24 млрд.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США и открыто свыше 400 месторождений нефти и газа. Для того чтобы поддержать интерес иностранных инвесторов к этой отрасли промышленности, Египетская генеральная нефтяная корпорация в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разработала новые, по заявлению ее представителей, более привлекательные для нефтяных и газовых компаний условия СРП.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Таким образом, основным реципиентом иностранных инвестиций</w:t>
      </w:r>
      <w:r w:rsidR="00965E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является промышленность, доля которой в совокупном объеме</w:t>
      </w:r>
      <w:r w:rsidR="00965E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привлеченных ПИИ выросла в 90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гг. по сравнению с 80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 гг. на 1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В 1998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на промышленность пришлось 3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иностранных инвестиций, на сектор услуг – 18,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на туризм – 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Остальная часть приходится на строительство, сельское хозяйство и проекты свободных зон.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Наиболее крупными западными инвесторами в АРЕ являются США, Германия, Франция, Швейцария, Италия и Великобритания. Многочисленные компании из этих стран, а также из Южной Кореи, Сингапура, Таиланда, Малайзии, Австралии и других государств активно предлагают свои услуги и капиталы на инвестиционном рынке Египта. Американская «Амоко» и итальянская «Аджип» доминируют на рынке нефтегазовой промышленности, строительства объектов нефтехимии. Французские фирмы, реализующие «Программу Мубарак-Ширак», ведут строительство метро в Каире и Александрии, участвуют в модернизации алюминиевых предприятий, создании системы телекоммуникаций. Немецкие компании по «Программе Мубарак-Коль» осуществляют проекты профтехобразования, являются ведущими фирмами и консультантами при строительстве объектов энергетики. Японские организации участвуют в строительстве объектов инфраструктуры, автосборочных производств, ирригационных сооружений. Даже менее крупные фирмы из Дании, Люксембурга, Голландии, Бельгии, а также из Китая, Индии, Турции и других стран находят свою нишу на инвестиционном рынке Египта.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Значительное место в экономическом развитии АРЕ занимают также инвестиции и из соседних арабских стран, которые выросли с 7,3 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млрд.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1996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до 11,3 млрд. ег. ф. в 1997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(в 1500 проектах по сравнению</w:t>
      </w:r>
      <w:r w:rsidR="00965E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 1314) и в основном направляются в развитие туристического и гостиничного бизнеса. Среди арабских капиталовложений преобладают инвестиции из Саудовской Аравии (36,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), Кувейта (2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) и ОАЭ (1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 факторам, которые благоприятно влияют на инвестиционный климат и повышают интерес потенциальных инвесторов к Египту, можно отнести следующие: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– тенденция к либерализации экономики, поддерживаемая развитыми государствами;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– макроэкономическая стабилизация, рост ВВП в расчете на душу населения, снижение инфляции и бюджетных дефицитов, увеличение внутренних инвестиций, преодоление несбалансированности системы платежей по текущим операциям;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– диверсифицированная структура экономики, относительно крупные размеры внутреннего рынка;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– возможность свободного проведения операций с иностранной валютой, стабильность валютного курса;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– устойчивая внутриполитическая обстановка;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– наличие значительного спроса на капиталовложения, новейшие технологии, современные средства производства. (Так, по оценкам некоторых экспертов, в 1999 г. рынок Египта был способен принять и разместить до 3 млрд.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.).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Тем не менее</w:t>
      </w:r>
      <w:r w:rsidR="00965E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необходимо отметить, что в 90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гг. наблюдается уменьшение доли Египта в притоке ПИИ в развивающиеся страны. Эта доля сократилась с 1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 1986 г. до 1,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 1998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Отчасти это явление можно объяснить факторами, негативно влияющими на приток инвестиций в АРЕ, среди которых можно выделить следующие: несовершенство налогового и инвестиционного законодательства, сложная таможенная система, низкая покупательная способность египтян, затянутость судебных разбирательств, наличие чрезмерно большого числа государственных структур, занимающихся иностранными партнерами, некомпетентность многих чиновников, работающих в этих ведомствах и др.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Таким образом, мы видим, что, несмотря на благоприятный в целом инвестиционный климат, в Египте существует целый ряд</w:t>
      </w:r>
      <w:r w:rsidR="00965E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проблем, решение которых может позволить заметно увеличить приток иностранного капитала из других государств.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Внешняя торговля. В настоящее время наиболее серьезной проблемой внешнеполитических связей Египта является наличие крупного дефицита торговли, составившего в 1999/2000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11,4 млрд.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Покрытие импорта (17,8 млрд.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.) экспортом (6,4 млрд.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.) составило всего 3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что, тем не менее, значительно выше аналогичного показателя за 1998/99 гг. (26,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Как признает в своем обзоре, изданном в январе 1999 г., авторитетный египетский Центр политических и стратегических исследований, на фоне обнадеживающих темпов агрегированных показателей экономического роста «экспортная стратегия», разработанная в рамках программы реформ, потерпела полный провал. Не только не удалось сбалансировать внешнюю торговлю, но ее общий оборот относительно ВВП рос медленнее, чем в других арабских странах, проводящих аналогичные реформы и продвигающихся к намеченному на 2010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приему во Всемирную торговую организацию, а также к более тесной интеграции с ЕС. Как сообщается в обзоре, по сравнению с 1980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египетский экспорт в стоимостном выражении и неизменных ценах возрос к 1996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всего на 1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при этом в Сирии – почти на 8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в Марокко – на 9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в Тунисе – на 14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тот же период. Подобная картина сохранилась и в дальнейшем.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Если обратиться к другому показателю, отражающему степень вовлечения страны в мирохозяйственные связи (доля египетского экспорта в мировом), то он понизился с 0,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 1985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до 0,07 в 1995–1996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Не состоялась и увязка между расширением экспортной базы и созданием дееспособного национального частного бизнеса, чья доля в вывозе готовых изделий ныне минимальна.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структурном отношении на долю нефти и нефтепродуктов в египетском экспорте пришлось 52,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что говорит о высокой зависимости торгового баланса страны от мировых цен на энергоносители. А такая зависимость в условиях наблюдаемой нестабильности конъюнктуры мирового рынка нефти и нефтепродуктов серьезно препятствует установлению стабильного внешнего товарооборота и приводит к сокращению золотовалютных резервов, росту внешней задолженности и падению темпа роста экономики.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Другими важнейшими составляющими египетского экспорта являются длинноволокнистый хлопок, х/б пряжа, алюминий, эфирные масла и потребительские товары (одежда, обувь, кожизделия и др.).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Главными статьями египетского импорта являются машины и оборудование, сырьевые товары и продукты питания.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географическом распределении египетского экспорта и импорта в 1998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произошли довольно заметные изменения. В результате увеличения египетского экспорта в арабские страны на 49,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а импорта из них – на 26,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удельный вес этой группы стран в египетском экспорте возрос до 13,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а в импорте – до 4,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в то время как доля других африканских и азиатских стран повысилась соответственно до 14,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и 17,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Тем не менее</w:t>
      </w:r>
      <w:r w:rsidR="00965E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главным внешнеторговым контрагентом АРЕ продолжали оставаться США, поставившие в 1997/98 финансовом году своих товаров на 3305 млн.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(2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всего египетского импорта) и закупившие их на 1741 млн.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(3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египетского экспорта). Также, помимо США, важными контрагентами Египта по импорту являются Германия, Франция, Италия и Япония (Россия замыкает вторую пятерку), а по экспорту: Италия, Германия, Великобритания и Румыния.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Что касается перспектив развития внешнеэкономических связей, то в принятых пятилетнем плане на 1997/98–2001/2002 финансового года и Долгосрочной программе социально-экономического развития АРЕ на период до 2016/2017 финансовый год предусматривается увеличить к этому времени процент покрытия египетского товарного импорта экспортом до 12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Для этого удельный вес экспорта сельскохозяйственных товаров должен достичь 1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объема производства против 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 1999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., а удельный вес экспорта промышленной продукции в объеме производства – 3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сравнению с 1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том же 1999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качестве потенциальных рынков сбыта египетской продукции в будущем рассматриваются арабские и африканские страны, а также страны Восточной Европы и СНГ. Это во многом связано с тем, что западные страны в последние годы обвинили Египет в демпинговых поставках хлопка, постельных принадлежностей, алюминия и некоторых других товаров.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Внешнеэкономические связи Египта с Россией. До конца 80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 АРЕ являлась одним из крупнейших торговых партнеров СССР из числа развивающихся стран. С 1991 года объем торговли с АРЕ резко сократился под воздействием ряда причин. Бывшие республики СССР теперь самостоятельно осуществляют торговлю с АРЕ, и наша статистика, естественно, учитывает только поставки между Россией и Египтом. Нарушены ранее четко функционировавшие транспортные связи между регионами бывшего СССР, большая часть портов Черного моря, на которые прежде были ориентированы грузы в торговле с АРЕ, оказалась на территории Украины, в связи с чем возросли транспортные расходы торговых партнеров, а также степень риска в обеспечении сохранности грузов на территории СНГ.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Низкий уровень товарооборота России с АРЕ во многом объясняется и тем, что торговля осуществляется не по клирингу, а в основном в свободно конвертируемой валюте, ресурсы которой у организаций обеих стран ограничены. Кроме того, в условиях свободной рыночной экономики российские организации слабо заинтересованы в осуществлении операций на бартерной основе или с частичной оплатой товаров и услуг египетскими товарами, которые, как правило, по качеству уступают западным стандартам, а по ценам выше предлагаемых аналогичных изделий из других стран (Турция, Пакистан, страны Юго-Восточной Азии 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 т.д.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Тем не менее в настоящее время форма расчетов с частичной оплатой за поставки в АРЕ египетскими товарами все еще остается достаточно распространенной наряду с оплатой сырья, значительной части машин и оборудования, поставляемых в АРЕ, за наличные в свободно конвертируемой валюте.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Практика торговли с Египтом показывает, что примерно треть российского экспорта в эту страну приходится на машины и оборудование, примерно столько же – на сырьевые товары и остальное – на инвестиционное сотрудничество.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Импорт из АРЕ представлен в основном товарами народного потребления – швейные и трикотажные изделия, парфюмерия, косметика, моющие средства (стиральные порошки, мыло, шампуни), кожаная и спортивная обувь, продовольствие (макароны, суповые концентраты, консервы, соки, джемы), мебель и некоторые другие товары.</w:t>
      </w:r>
    </w:p>
    <w:p w:rsidR="007755D0" w:rsidRPr="00013D0A" w:rsidRDefault="007755D0" w:rsidP="00013D0A">
      <w:pPr>
        <w:shd w:val="clear" w:color="auto" w:fill="FFFFFF"/>
        <w:tabs>
          <w:tab w:val="left" w:pos="336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Экономическое и техническое сотрудничество с Египтом в широком плане начало осуществляться с 1958 года. Всего в рамках межправительственных соглашений в АРЕ построено 97 промышленных, энергетических и сельскохозяйственных объектов. Крупнейшим и наиболее известным из них является Асуанский гидроэнергетический комплекс. При содействии СССР в Египте впервые организовано производство алюминия, металлорежущих станков, </w:t>
      </w:r>
      <w:r w:rsidR="00965E2B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холоднокатаного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стального листа, кокса, смазочных масел 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 т.д.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Значительно расширены мощности в энергетике, черной металлургии, нефтеперерабатывающей, металлообрабатывающей и судостроительной промышленности.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Несмотря на известные трудности, развитие экономического сотрудничества с Египтом продолжается. При содействии российских организаций осуществляется реконструкция цехов и модернизация основного технологического оборудования Хелуанского металлургического комбината, строительство и эксплуатация коксовой батареи на Хелуанском коксохимическом заводе, реконструкция стекольного завода в Шобре, ведутся работы по строительству горно-обогатительного комбината в Абу Тартуре.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Позитивное воздействие на развитие российско-египетских экономических связей оказала ратификация Парламентами обеих стран двух соглашений между Правительством Российской Федерации и Правительством Арабской Республики Египет: «О поощрении и взаимной защите капиталовложений» и «Об избежани</w:t>
      </w:r>
      <w:r w:rsidR="00965E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двойного налогообложения и предотвращении уклонения от уплаты налогов в отношении налогов на доходы и капитал», которые вступили в силу соответственно 12 июня и 6 декабря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В последние годы динамика товарооборота с Египтом в целом отражала изменения в общем товарообороте России со странами дальнего зарубежья, которые проявились в заметном сокращении импорта и некотором повышении экспорта. Однако если рост российского экспорта в страны дальнего зарубежья примерно на 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был обусловлен повышением цен на энергоносители в результате улучшения для России конъюнктуры мирового рынка, то экспорт в Египет увеличился благодаря наращиванию физических отгрузок черных металлов (стальной заготовки и листового проката), а также расширению номенклатуры поставляемых в АРЕ химических товаров за счет полимеров: этилена и пропилена.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Неблагоприятное в целом воздействие на динамику российско-египетского товарооборота оказывало также обострение в 1999–2000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гг.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алютно-финансового положения АРЕ, для стабилизации которого египетское правительство было вынуждено пойти на использование как официальных, так и негласных мер по ограничению импортных закупок, ужесточив порядок открытия аккредитивов. Ряд египетских импортеров в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информировал российских экспортеров о том, что Центральный банк АРЕ не выдает разрешения на открытие аккредитива, и некоторые из них, не сумев найти выхода из сложившейся ситуации, который не нарушал бы действующего в обеих странах законодательства, были вынуждены отказаться от выполнения контрактов.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Ухудшение валютно-финансового положения АРЕ отразилось и на объеме государственных закупок, в том числе и по линии Министерства обороны, являющегося основным потребителем российских машинно-технических товаров. В ходе переговоров с рядом российских поставщиков представители Главного управления вооружений министерства обороны АРЕ неоднократно сокращали объемы заявок, в отдельных случаях на 5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сравнению с первоначальным уровнем.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Тем не менее и в условиях неблагоприятного финансового положения, обусловившего ощутимое замедление темпов прироста египетского импорта в целом, российские экспортеры в 1999–2000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смогли существенно расширить свои поставки в АРЕ.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По данным Государственного таможенного комитета Российской Федерации (ГТК РФ), российский экспорт в АРЕ за 1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полугодие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возрос до 262,4 млн.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США, или на 26,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сравнению с аналогичным уровнем предыдущего года.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По оценке Торгпредства РФ в АРЕ, базирующейся на данных ГТК РФ и Центрального агентства мобилизации и статистики АРЕ, товарооборот российско-египетской торговли в целом за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составил 465 млн.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США, в том числе российский экспорт – 460 млн. и импорт – 5 млн.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Впервые более чем за 10 лет увеличились и импортные закупки в АРЕ. По сравнению с уровнем 1999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товарооборот российско-египетской торговли возрос на 11,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при этом российский экспорт увеличился на 10,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 а импорт – на 72,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Рост российского экспорта в Египет в 2000 году был обусловлен как наращиванием отгрузок ряда поставлявшихся ранее товаров, так и продолжающейся диверсификацией структуры экспорта. Так, после весьма длительного перерыва, в наших отгрузках в АРЕ вновь появились подсолнечное масло и нефтепродукты, поставлявшиеся в 60–70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годах, а также липецкие трактора, не экспортировавшиеся в Египет с середины 80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годов, и другие товары.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Обращает также на себя внимание устойчивое присутствие в российских поставках в АРЕ в течение последнего времени такого традиционного раньше товара египетского экспорта в нашу страну, как хлопчатобумажные ткани.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Расширение номенклатуры и увеличение объемов поставок ряда сырьевых товаров и полуфабрикатов в Египет, которое и обусловило рост всего экспорта, происходило на фоне стагнации отгрузок машинно-технических товаров. Их экспорт в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практически не изменился по сравнению с итогами 1999 года и составил примерно 60 млн. долларов США.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результате действия этих двух факторов (увеличения поставок сырьевых товаров и полуфабрикатов и сохранения на неизменном уровне объемов отгрузок машин и оборудования) удельный вес машинно-технических товаров в российском экспорте в АРЕ в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сократился до 13,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Стагнация отгрузок машинно-технических товаров свидетельствует о том, что российские поставщики этой группы товаров продолжают зависеть от закупок своей продукции Министерством обороны АРЕ и до сих пор не смогли создать себе прочной базы на рынке машинно-технических товаров общегражданского назначения.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Причина этого, вероятно, кроется в отсутствии гибкости в сбытовой политике крупных российских производителей, использующих только одну форму экономических связей – торговлю готовой продукцией. Между тем от такого одностороннего подхода к развитию своих экономических связей с Египтом отказались уже не только крупные компании промышленно развитых стран, но и основные поставщики машинно-технических товаров из Украины и Белоруссии, успешно наладившие сборку поставляемых ими комплектующих на местных предприятиях. Дальнейшее промедление с перестройкой ведущими российскими экспортерами этой группы товаров своей работы в Египте грозит им полной потерей египетского рынка машинно-технических товаров общегражданского назначения.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Что касается российских закупок в Египте, то их рост произошел главным образом за счет расширения номенклатуры импорта, в которую впервые в истории нашей торговли вошли алюминиевая посуда и льняное волокно – столь же «экзотичный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ля России импортный товар, как и хлопчатобумажные ткани для АРЕ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з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акупаемые египетскими компаниями в России. Среди других товаров, поступивших в 1999–2000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из Египта, можно отметить цитрусовые и каркаде, импортировавшееся по статье «растения, используемые в парфюмерии и косметике», лаки и краски, смеси душистых веществ и кондиционеры.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Следующая ниже таблица дает представление об основных товарах российского экспорта в АРЕ в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089"/>
        <w:gridCol w:w="2159"/>
        <w:gridCol w:w="2049"/>
      </w:tblGrid>
      <w:tr w:rsidR="007755D0" w:rsidRPr="002D001F" w:rsidTr="002D001F">
        <w:trPr>
          <w:cantSplit/>
          <w:jc w:val="center"/>
        </w:trPr>
        <w:tc>
          <w:tcPr>
            <w:tcW w:w="2737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Наименование</w:t>
            </w:r>
          </w:p>
        </w:tc>
        <w:tc>
          <w:tcPr>
            <w:tcW w:w="1161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Количество тыс. т</w:t>
            </w:r>
          </w:p>
        </w:tc>
        <w:tc>
          <w:tcPr>
            <w:tcW w:w="1102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Стоимость млн.</w:t>
            </w:r>
            <w:r w:rsidR="00013D0A"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 долл</w:t>
            </w: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.</w:t>
            </w:r>
          </w:p>
        </w:tc>
      </w:tr>
      <w:tr w:rsidR="007755D0" w:rsidRPr="002D001F" w:rsidTr="002D001F">
        <w:trPr>
          <w:cantSplit/>
          <w:jc w:val="center"/>
        </w:trPr>
        <w:tc>
          <w:tcPr>
            <w:tcW w:w="2737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Полуфабрикаты из железа и стали</w:t>
            </w:r>
          </w:p>
        </w:tc>
        <w:tc>
          <w:tcPr>
            <w:tcW w:w="1161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916</w:t>
            </w:r>
          </w:p>
        </w:tc>
        <w:tc>
          <w:tcPr>
            <w:tcW w:w="1102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125</w:t>
            </w:r>
          </w:p>
        </w:tc>
      </w:tr>
      <w:tr w:rsidR="007755D0" w:rsidRPr="002D001F" w:rsidTr="002D001F">
        <w:trPr>
          <w:cantSplit/>
          <w:jc w:val="center"/>
        </w:trPr>
        <w:tc>
          <w:tcPr>
            <w:tcW w:w="2737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Пиломатериалы</w:t>
            </w:r>
          </w:p>
        </w:tc>
        <w:tc>
          <w:tcPr>
            <w:tcW w:w="1161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1102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68</w:t>
            </w:r>
          </w:p>
        </w:tc>
      </w:tr>
      <w:tr w:rsidR="007755D0" w:rsidRPr="002D001F" w:rsidTr="002D001F">
        <w:trPr>
          <w:cantSplit/>
          <w:jc w:val="center"/>
        </w:trPr>
        <w:tc>
          <w:tcPr>
            <w:tcW w:w="2737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Машины, оборудование</w:t>
            </w: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br/>
              <w:t>и транспортные средства</w:t>
            </w:r>
          </w:p>
        </w:tc>
        <w:tc>
          <w:tcPr>
            <w:tcW w:w="1161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-</w:t>
            </w:r>
          </w:p>
        </w:tc>
        <w:tc>
          <w:tcPr>
            <w:tcW w:w="1102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60</w:t>
            </w:r>
          </w:p>
        </w:tc>
      </w:tr>
      <w:tr w:rsidR="007755D0" w:rsidRPr="002D001F" w:rsidTr="002D001F">
        <w:trPr>
          <w:cantSplit/>
          <w:jc w:val="center"/>
        </w:trPr>
        <w:tc>
          <w:tcPr>
            <w:tcW w:w="2737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Прокат плоский из железа и стали</w:t>
            </w:r>
          </w:p>
        </w:tc>
        <w:tc>
          <w:tcPr>
            <w:tcW w:w="1161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192</w:t>
            </w:r>
          </w:p>
        </w:tc>
        <w:tc>
          <w:tcPr>
            <w:tcW w:w="1102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41</w:t>
            </w:r>
          </w:p>
        </w:tc>
      </w:tr>
      <w:tr w:rsidR="007755D0" w:rsidRPr="002D001F" w:rsidTr="002D001F">
        <w:trPr>
          <w:cantSplit/>
          <w:jc w:val="center"/>
        </w:trPr>
        <w:tc>
          <w:tcPr>
            <w:tcW w:w="2737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Бумага и картон</w:t>
            </w:r>
          </w:p>
        </w:tc>
        <w:tc>
          <w:tcPr>
            <w:tcW w:w="1161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79</w:t>
            </w:r>
          </w:p>
        </w:tc>
        <w:tc>
          <w:tcPr>
            <w:tcW w:w="1102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32</w:t>
            </w:r>
          </w:p>
        </w:tc>
      </w:tr>
      <w:tr w:rsidR="007755D0" w:rsidRPr="002D001F" w:rsidTr="002D001F">
        <w:trPr>
          <w:cantSplit/>
          <w:jc w:val="center"/>
        </w:trPr>
        <w:tc>
          <w:tcPr>
            <w:tcW w:w="2737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Нефтепродукты</w:t>
            </w:r>
          </w:p>
        </w:tc>
        <w:tc>
          <w:tcPr>
            <w:tcW w:w="1161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141</w:t>
            </w:r>
          </w:p>
        </w:tc>
        <w:tc>
          <w:tcPr>
            <w:tcW w:w="1102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31</w:t>
            </w:r>
          </w:p>
        </w:tc>
      </w:tr>
      <w:tr w:rsidR="007755D0" w:rsidRPr="002D001F" w:rsidTr="002D001F">
        <w:trPr>
          <w:cantSplit/>
          <w:jc w:val="center"/>
        </w:trPr>
        <w:tc>
          <w:tcPr>
            <w:tcW w:w="2737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Прутки, уголки,</w:t>
            </w:r>
            <w:r w:rsidR="00965E2B"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 xml:space="preserve"> </w:t>
            </w: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профили из железа и стали</w:t>
            </w:r>
          </w:p>
        </w:tc>
        <w:tc>
          <w:tcPr>
            <w:tcW w:w="1161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135</w:t>
            </w:r>
          </w:p>
        </w:tc>
        <w:tc>
          <w:tcPr>
            <w:tcW w:w="1102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25</w:t>
            </w:r>
          </w:p>
        </w:tc>
      </w:tr>
      <w:tr w:rsidR="007755D0" w:rsidRPr="002D001F" w:rsidTr="002D001F">
        <w:trPr>
          <w:cantSplit/>
          <w:jc w:val="center"/>
        </w:trPr>
        <w:tc>
          <w:tcPr>
            <w:tcW w:w="2737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Полимеры винилхлорида,</w:t>
            </w:r>
            <w:r w:rsidR="00965E2B"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 xml:space="preserve"> </w:t>
            </w: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этилена и пропилена</w:t>
            </w:r>
          </w:p>
        </w:tc>
        <w:tc>
          <w:tcPr>
            <w:tcW w:w="1161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60</w:t>
            </w:r>
          </w:p>
        </w:tc>
        <w:tc>
          <w:tcPr>
            <w:tcW w:w="1102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20</w:t>
            </w:r>
          </w:p>
        </w:tc>
      </w:tr>
      <w:tr w:rsidR="007755D0" w:rsidRPr="002D001F" w:rsidTr="002D001F">
        <w:trPr>
          <w:cantSplit/>
          <w:jc w:val="center"/>
        </w:trPr>
        <w:tc>
          <w:tcPr>
            <w:tcW w:w="2737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Масло подсолнечное</w:t>
            </w:r>
          </w:p>
        </w:tc>
        <w:tc>
          <w:tcPr>
            <w:tcW w:w="1161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41</w:t>
            </w:r>
          </w:p>
        </w:tc>
        <w:tc>
          <w:tcPr>
            <w:tcW w:w="1102" w:type="pct"/>
            <w:shd w:val="clear" w:color="auto" w:fill="auto"/>
          </w:tcPr>
          <w:p w:rsidR="007755D0" w:rsidRPr="002D001F" w:rsidRDefault="007755D0" w:rsidP="002D001F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</w:pPr>
            <w:r w:rsidRPr="002D001F">
              <w:rPr>
                <w:rFonts w:ascii="Times New Roman" w:hAnsi="Times New Roman" w:cs="Times New Roman"/>
                <w:bCs/>
                <w:color w:val="000000"/>
                <w:sz w:val="20"/>
                <w:szCs w:val="28"/>
                <w:lang w:eastAsia="ru-RU"/>
              </w:rPr>
              <w:t>14</w:t>
            </w:r>
          </w:p>
        </w:tc>
      </w:tr>
    </w:tbl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Заметное развитие получило и российско-египетское сотрудничество в области туризма. По оценке Министерства туризма АРЕ, в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число российских туристов, посетивших Египет, возросло по сравнению с предыдущим годом на 1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достигло 180 тыс. человек. С учетом того, что российский турист затрачивает в среднем на отдых в АРЕ примерно 500 долларов США, включая перелет, проживание и питание в гостинице, а также карманные расходы, их общие затраты составили в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около 90 млн. долларов. Из этой суммы российские компании, осуществлявшие продажу туров и авиаперевозки, получили, по оценке, всего 27 млн.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США.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Возросло также и число египетских туристов, посетивших Россию. В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оно достигло 600 человек, увеличившись по сравнению с предшествующим годом на 5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%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Основным направлением египетского туризма в нашу страну являлся деловой туризм на ваучерной основе.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Ближайшие перспективы развития торговли, несмотря на определенные финансовые трудности в АРЕ и меры по ограничению импорта, представляются довольно благоприятными для увеличения российского экспорта. Однако после 2002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может усилиться воздействие негативных факторов и в первую очередь – сокращение импортных потребностей АРЕ по ряду ведущих товаров российского экспорта.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Так, в случае реализации проектов строительства металлургических комбинатов неподалеку от Асуана и Суэца и расширения</w:t>
      </w:r>
      <w:r w:rsidR="00965E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существующих сталеплавильных мощностей, Египет если и не превратится в нетто</w:t>
      </w:r>
      <w:r w:rsidR="00965E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экспортера</w:t>
      </w:r>
      <w:r w:rsidR="00965E2B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черных металлов, то заметно сократит их импорт. В этой связи в середине следующего десятилетия можно ожидать усиления конкурентной борьбы на местном рынке черных металлов, в том числе стальной заготовки, являющейся в настоящее время основным товаром российского экспорта, а также ужесточения мер по защите местных производителей от конкуренции с импортной продукцией.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результате наращивания местных производственных мощностей можно ожидать сокращения импортных потребностей и по многим другим товарам российского экспорта, в том числе пластмассам, экспорт которых в последние годы динамично возрастал, цементу, удобрениям и другим товарам.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Необходимо, однако, отметить, что наряду с сокращением импортных потребностей во многих товарах российского экспорта в АРЕ в следующем десятилетии будет наблюдаться и рост спроса на некоторые товары, входящие в число экспортируемой Россией продукции.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частности, можно ожидать увеличения импортных потребностей в коксе и коксующемся угле. Будут в целом благоприятными и перспективы для поставок в АРЕ российской лесобумажной продукции: пиломатериалов, фанеры, целлюлозы, картона и бумаги (несмотря на начатое в 1999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антидемпинговое расследование в отношении поставок российской бумаги для письма и печати), а также плоского стекла и ряда наименований химических товаров.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Можно также ожидать открытия новых рынков сбыта российской продукции. В результате того, что в октябре 1999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«Госзнак» был зарегистрирован в качестве официального поставщика спецбумаги для Центрального банка АРЕ и получил возможность участия в соответствующих тендерах, открываются перспективы выхода российской продукции на новый сегмент египетского рынка.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Экспорт российских товаров может также заметно возрасти в том случае, если будет найдена приемлемая форма реализации подписанных в ходе 2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 заседания Совместной Комиссии соглашений о встречных поставках товаров с соблюдением действующего в обеих странах законодательства. Следует, однако, признать, что вероятность этого невелика, поскольку несколько встреч представителей деловых кругов двух стран, подписавших эти соглашения, проведенные после 2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 заседания, окончились безрезультатно. Основным препятствием для ее осуществления является отсутствие египетских товаров, способных выдержать жесткую конкуренцию на российском рынке с аналогичной продукцией, производимой компаниями Китая, Турции, Индии, Пакистана и других стран.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На протяжении всех 90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 экспорт из АРЕ в РФ ежегодно сокращался как в результате падения покупательской способности россиян (египетские поставки полностью представлены потребительскими товарами), так и вследствие возраставшего завышения курса египетского фунта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елавшего национальную продукцию все менее конкурентоспособной.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Резкое падение курса рубля в результате августовского кризиса 1998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привело к практической приостановке закупок российскими компаниями египетских товаров, и нет никаких оснований ожидать коренного изменения сложившейся в 1999–2000 годах ситуации.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Вместе с тем по ряду товарных позиций можно прогнозировать рост египетских поставок в Россию. В первую очередь это относится к лекарственным препаратам, которые могут стать одной из ведущих статей египетского экспорта в Россию, поскольку они превосходят по конкурентоспособности фармацевтическую продукцию ряда других стран, поставляемую в настоящее время на наш рынок. Объем их поставок в ближайшее время может заметно превысить существовавший ранее уровень на 1–2 млн.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США.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Определенные перспективы на российском рынке имеет и египетская сельскохозяйственная продукция, о чем свидетельствует как предыдущий опыт ее закупок российскими компаниями, так и текущие поставки этих товаров в другие государства СНГ.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Кроме того, сохраняются возможности для закупки в Египте фруктов, и в первую очередь цитрусовых, чеснока, лука и других овощей, а также риса, по урожайности которого Египет занимает одно из первых мест в мире. В этой связи необходимо отметить, что в 1998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Египет экспортировал 421 тыс. тонн риса на 134,6 млн. долларов США. Среди его покупателей был и ряд стран СНГ, в частности Украина.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Сохраняются также возможности для поставок на российский рынок хлопчатобумажной пряжи и тканей, практически полностью исчезнувших в последнее время из структуры египетского экспорта в нашу страну, особенно в случае проведения модернизации прядильных предприятий.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целом можно ожидать, что объем египетского экспорта в Россию в ближайшее время составит порядка 5–10 млн.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США.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2000 году уже начали появляться первые признаки зарождения тенденции к росту российского импорта из Египта.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Прежде всего, это связано с ослаблением последствий резкого понижения курса рубля в результате августовского кризиса 1998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., вызвавшего сокращение нашего импорта из Египта в 1999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до минимального уровня в 2,9 млн.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долл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США.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 другой стороны следует отметить определенное повышение к концу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конкурентоспособности египетских товаров на внешнем рынке с точки зрения их цены вследствие заметного понижения в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 курса египетского фунта. В ближайшее время следует ожидать еще большего понижения курса национальной валюты, что позволит и дальше снижать цены на египетские товары при осуществлении их экспортных поставок.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Кроме того, льготы, полученные в последнее время местными производителями, в частности освобождение от уплаты всех налогов на экспортируемые товары с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ущественно увеличивают их заинтересованность в заключении контрактов с иностранными компаниями.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результате воздействия этих двух факторов позиции поставщиков из некоторых стран «третьего мира» на российском рынке могут быть потеснены египетскими производителями. В первую очередь, может быть вытеснен с нашего внутреннего рынка ряд индийских товаров, поскольку внешний долг Индии перед Россией, в рамках погашения которого они поставляются, в скором времени будет полностью выплачен.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И, наконец, появились первые признаки роста интереса российских компаний к продвижению египетской продукции на наш рынок. В том случае, если эта тенденция будет нарастать, то удастся преодолеть одно из главных препятствий наращивания российско-египетского товарооборота – пассивность, иждивенческие настроения египетских компаний.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Наиболее перспективными для продвижения на российский рынок являются египетские сельскохозяйственные товары, в первую очередь, рис, лук, чеснок, цитрусовые, каркаде. Их список в будущем может быть расширен, о чем свидетельствуют закупки в 2000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Pr="00013D0A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Отмечая перспективы увеличения египетского экспорта в нашу страну, необходимо иметь ввиду, что его объемы, вероятно, будут по-прежнему незначительными.</w:t>
      </w:r>
    </w:p>
    <w:p w:rsidR="007755D0" w:rsidRPr="00013D0A" w:rsidRDefault="007755D0" w:rsidP="00013D0A">
      <w:pPr>
        <w:shd w:val="clear" w:color="auto" w:fill="FFFFFF"/>
        <w:tabs>
          <w:tab w:val="left" w:pos="88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 то же время пока нет никаких оснований для утверждений об увеличении объемов российско-египетского товарооборота до уровня, существовавшего в конце 80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годов в торговле между Советским Союзом и Египтом. Для достижения этой цели необходимо принятие дополнительных мер, в числе которых могло бы быть осуществление под эгидой государственных компаний товарообменных сделок или предоставление государственного кредита для реализации 1–2 наиболее привлекательных для двух стран проектов, намеченных в рамках Долгосрочной программы развития торговли, экономического, промышленного и научно-технического сотрудничества. При проработке вопроса о предоставлении кредита, можно было бы оговорить, что он станет покрывать только стоимость российского оборудования, поставленного для его реализации, а остальная его часть будет финансироваться за счет государственного бюджета АРЕ или средств, привлекаемых Египтом из третьих стран. Причем можно было бы обсудить и вопрос о погашении кредита (частично или полностью) поставками продукции этого предприятия или другими египетскими товарами.</w:t>
      </w:r>
    </w:p>
    <w:p w:rsidR="007755D0" w:rsidRPr="00E146EF" w:rsidRDefault="00E146EF" w:rsidP="00013D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FFFFFF"/>
          <w:sz w:val="28"/>
          <w:szCs w:val="28"/>
          <w:lang w:eastAsia="ru-RU"/>
        </w:rPr>
      </w:pPr>
      <w:r w:rsidRPr="00E146EF">
        <w:rPr>
          <w:rFonts w:ascii="Times New Roman" w:hAnsi="Times New Roman" w:cs="Times New Roman"/>
          <w:bCs/>
          <w:color w:val="FFFFFF"/>
          <w:sz w:val="28"/>
          <w:szCs w:val="28"/>
        </w:rPr>
        <w:t>инвестиционный египетский импорт инвестор</w:t>
      </w:r>
    </w:p>
    <w:p w:rsidR="00965E2B" w:rsidRPr="00013D0A" w:rsidRDefault="00965E2B" w:rsidP="00013D0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755D0" w:rsidRPr="00013D0A" w:rsidRDefault="007755D0" w:rsidP="00965E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  <w:lang w:eastAsia="ru-RU"/>
        </w:rPr>
        <w:br w:type="page"/>
      </w:r>
      <w:r w:rsidRPr="00013D0A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Список литературы</w:t>
      </w:r>
    </w:p>
    <w:p w:rsidR="007755D0" w:rsidRPr="00965E2B" w:rsidRDefault="007755D0" w:rsidP="00013D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755D0" w:rsidRPr="00013D0A" w:rsidRDefault="00013D0A" w:rsidP="00965E2B">
      <w:pPr>
        <w:pStyle w:val="af1"/>
        <w:numPr>
          <w:ilvl w:val="0"/>
          <w:numId w:val="4"/>
        </w:numPr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Мельянцев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В.А.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Восток</w:t>
      </w:r>
      <w:r w:rsidR="007755D0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Запад во втором тысячелетии: экономика, история и современность. – М.: Изд-во МГУ, 1996, с.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194</w:t>
      </w:r>
      <w:r w:rsidR="007755D0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Pr="00013D0A" w:rsidRDefault="007755D0" w:rsidP="00965E2B">
      <w:pPr>
        <w:pStyle w:val="af1"/>
        <w:numPr>
          <w:ilvl w:val="0"/>
          <w:numId w:val="4"/>
        </w:numPr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Максимов М. Прямые иностранные инвестиции в Египте в 1980–90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гг. Дипломнаяработа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. – 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val="en-US" w:eastAsia="ru-RU"/>
        </w:rPr>
        <w:t xml:space="preserve">. 1998, 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val="en-US" w:eastAsia="ru-RU"/>
        </w:rPr>
        <w:t>.</w:t>
      </w:r>
      <w:r w:rsidR="00013D0A">
        <w:rPr>
          <w:rFonts w:ascii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="00013D0A" w:rsidRPr="00013D0A">
        <w:rPr>
          <w:rFonts w:ascii="Times New Roman" w:hAnsi="Times New Roman" w:cs="Times New Roman"/>
          <w:bCs/>
          <w:color w:val="000000"/>
          <w:sz w:val="28"/>
          <w:szCs w:val="28"/>
          <w:lang w:val="en-US" w:eastAsia="ru-RU"/>
        </w:rPr>
        <w:t>52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val="en-US" w:eastAsia="ru-RU"/>
        </w:rPr>
        <w:t>.</w:t>
      </w:r>
    </w:p>
    <w:p w:rsidR="007755D0" w:rsidRPr="00013D0A" w:rsidRDefault="00013D0A" w:rsidP="00965E2B">
      <w:pPr>
        <w:pStyle w:val="af1"/>
        <w:numPr>
          <w:ilvl w:val="0"/>
          <w:numId w:val="4"/>
        </w:numPr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Видясова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М.Ф.</w:t>
      </w:r>
      <w:r w:rsidR="007755D0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Умеров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М.Ш.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Египет</w:t>
      </w:r>
      <w:r w:rsidR="007755D0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после арабского социализма: в поиске экономических решений. – М., 1999, с.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43</w:t>
      </w:r>
      <w:r w:rsidR="007755D0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755D0" w:rsidRDefault="00013D0A" w:rsidP="00965E2B">
      <w:pPr>
        <w:pStyle w:val="af1"/>
        <w:numPr>
          <w:ilvl w:val="0"/>
          <w:numId w:val="4"/>
        </w:numPr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Ермаченков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И.О.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Египет</w:t>
      </w:r>
      <w:r w:rsidR="007755D0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наш деловой партнер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//</w:t>
      </w:r>
      <w:r w:rsidR="007755D0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Еженедельник зарубежной внешнеторговой информации «КОРИНФ». – М., 1999,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№</w:t>
      </w:r>
      <w:r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="007755D0" w:rsidRPr="00013D0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965E2B" w:rsidRPr="00965E2B" w:rsidRDefault="00965E2B" w:rsidP="00965E2B">
      <w:pPr>
        <w:pStyle w:val="af1"/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FFFFFF"/>
          <w:sz w:val="28"/>
          <w:szCs w:val="28"/>
          <w:lang w:eastAsia="ru-RU"/>
        </w:rPr>
      </w:pPr>
    </w:p>
    <w:p w:rsidR="00965E2B" w:rsidRPr="00013D0A" w:rsidRDefault="00965E2B" w:rsidP="00965E2B">
      <w:pPr>
        <w:pStyle w:val="af1"/>
        <w:shd w:val="clear" w:color="auto" w:fill="FFFFFF"/>
        <w:tabs>
          <w:tab w:val="left" w:pos="33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965E2B" w:rsidRPr="00013D0A" w:rsidSect="00013D0A">
      <w:head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01F" w:rsidRDefault="002D001F" w:rsidP="00532139">
      <w:pPr>
        <w:spacing w:after="0" w:line="240" w:lineRule="auto"/>
      </w:pPr>
      <w:r>
        <w:separator/>
      </w:r>
    </w:p>
  </w:endnote>
  <w:endnote w:type="continuationSeparator" w:id="0">
    <w:p w:rsidR="002D001F" w:rsidRDefault="002D001F" w:rsidP="00532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01F" w:rsidRDefault="002D001F" w:rsidP="00532139">
      <w:pPr>
        <w:spacing w:after="0" w:line="240" w:lineRule="auto"/>
      </w:pPr>
      <w:r>
        <w:separator/>
      </w:r>
    </w:p>
  </w:footnote>
  <w:footnote w:type="continuationSeparator" w:id="0">
    <w:p w:rsidR="002D001F" w:rsidRDefault="002D001F" w:rsidP="00532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D0A" w:rsidRPr="00013D0A" w:rsidRDefault="00013D0A" w:rsidP="00013D0A">
    <w:pPr>
      <w:pStyle w:val="a6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03F2D"/>
    <w:multiLevelType w:val="hybridMultilevel"/>
    <w:tmpl w:val="0026FE70"/>
    <w:lvl w:ilvl="0" w:tplc="273C99CE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5F2025D9"/>
    <w:multiLevelType w:val="hybridMultilevel"/>
    <w:tmpl w:val="D56E854E"/>
    <w:lvl w:ilvl="0" w:tplc="FBC66C7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42E1306"/>
    <w:multiLevelType w:val="hybridMultilevel"/>
    <w:tmpl w:val="0040D0B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798064D1"/>
    <w:multiLevelType w:val="hybridMultilevel"/>
    <w:tmpl w:val="85DE1342"/>
    <w:lvl w:ilvl="0" w:tplc="D98EDD6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1116"/>
    <w:rsid w:val="00013D0A"/>
    <w:rsid w:val="000609F3"/>
    <w:rsid w:val="00062C6C"/>
    <w:rsid w:val="002D001F"/>
    <w:rsid w:val="004119BD"/>
    <w:rsid w:val="00532139"/>
    <w:rsid w:val="005D3B93"/>
    <w:rsid w:val="007755D0"/>
    <w:rsid w:val="008965A4"/>
    <w:rsid w:val="00965E2B"/>
    <w:rsid w:val="00966393"/>
    <w:rsid w:val="00B00098"/>
    <w:rsid w:val="00E146EF"/>
    <w:rsid w:val="00E41116"/>
    <w:rsid w:val="00E62420"/>
    <w:rsid w:val="00E96490"/>
    <w:rsid w:val="00F9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D69CDB3-197E-4AB0-ACCF-A0D21DA4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7F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609F3"/>
    <w:pPr>
      <w:keepNext/>
      <w:autoSpaceDE w:val="0"/>
      <w:autoSpaceDN w:val="0"/>
      <w:adjustRightInd w:val="0"/>
      <w:spacing w:after="0" w:line="360" w:lineRule="auto"/>
      <w:ind w:firstLine="720"/>
      <w:jc w:val="right"/>
      <w:outlineLvl w:val="0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609F3"/>
    <w:pPr>
      <w:keepNext/>
      <w:shd w:val="clear" w:color="auto" w:fill="FFFFFF"/>
      <w:autoSpaceDE w:val="0"/>
      <w:autoSpaceDN w:val="0"/>
      <w:adjustRightInd w:val="0"/>
      <w:spacing w:after="0" w:line="360" w:lineRule="auto"/>
      <w:jc w:val="center"/>
      <w:outlineLvl w:val="1"/>
    </w:pPr>
    <w:rPr>
      <w:rFonts w:ascii="Arial" w:eastAsia="Calibri" w:hAnsi="Arial"/>
      <w:b/>
      <w:color w:val="000000"/>
      <w:spacing w:val="6"/>
      <w:w w:val="10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609F3"/>
    <w:pPr>
      <w:keepNext/>
      <w:shd w:val="clear" w:color="auto" w:fill="FFFFFF"/>
      <w:autoSpaceDE w:val="0"/>
      <w:autoSpaceDN w:val="0"/>
      <w:adjustRightInd w:val="0"/>
      <w:spacing w:after="0" w:line="360" w:lineRule="auto"/>
      <w:jc w:val="center"/>
      <w:outlineLvl w:val="2"/>
    </w:pPr>
    <w:rPr>
      <w:rFonts w:ascii="Times New Roman" w:eastAsia="Calibri" w:hAnsi="Times New Roman" w:cs="Times New Roman"/>
      <w:b/>
      <w:color w:val="000000"/>
      <w:spacing w:val="6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609F3"/>
    <w:pPr>
      <w:keepNext/>
      <w:shd w:val="clear" w:color="auto" w:fill="FFFFFF"/>
      <w:tabs>
        <w:tab w:val="left" w:pos="1330"/>
      </w:tabs>
      <w:autoSpaceDE w:val="0"/>
      <w:autoSpaceDN w:val="0"/>
      <w:adjustRightInd w:val="0"/>
      <w:spacing w:after="0" w:line="360" w:lineRule="auto"/>
      <w:ind w:firstLine="720"/>
      <w:jc w:val="center"/>
      <w:outlineLvl w:val="3"/>
    </w:pPr>
    <w:rPr>
      <w:rFonts w:ascii="Times New Roman" w:eastAsia="Calibri" w:hAnsi="Times New Roman" w:cs="Times New Roman"/>
      <w:b/>
      <w:color w:val="000000"/>
      <w:spacing w:val="6"/>
      <w:sz w:val="32"/>
      <w:szCs w:val="32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0609F3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Arial" w:eastAsia="Calibri" w:hAnsi="Arial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609F3"/>
    <w:pPr>
      <w:keepNext/>
      <w:autoSpaceDE w:val="0"/>
      <w:autoSpaceDN w:val="0"/>
      <w:adjustRightInd w:val="0"/>
      <w:spacing w:after="0" w:line="360" w:lineRule="auto"/>
      <w:ind w:left="720"/>
      <w:jc w:val="both"/>
      <w:outlineLvl w:val="5"/>
    </w:pPr>
    <w:rPr>
      <w:rFonts w:ascii="Times New Roman" w:eastAsia="Calibri" w:hAnsi="Times New Roman" w:cs="Times New Roman"/>
      <w:spacing w:val="6"/>
      <w:sz w:val="32"/>
      <w:szCs w:val="32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609F3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6"/>
    </w:pPr>
    <w:rPr>
      <w:rFonts w:ascii="Arial" w:eastAsia="Calibri" w:hAnsi="Arial"/>
      <w:b/>
      <w:bCs/>
      <w:color w:val="000000"/>
      <w:spacing w:val="6"/>
      <w:sz w:val="18"/>
      <w:szCs w:val="1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609F3"/>
    <w:pPr>
      <w:keepNext/>
      <w:shd w:val="clear" w:color="auto" w:fill="FFFFFF"/>
      <w:autoSpaceDE w:val="0"/>
      <w:autoSpaceDN w:val="0"/>
      <w:adjustRightInd w:val="0"/>
      <w:spacing w:after="0" w:line="240" w:lineRule="auto"/>
      <w:ind w:firstLine="425"/>
      <w:jc w:val="right"/>
      <w:outlineLvl w:val="7"/>
    </w:pPr>
    <w:rPr>
      <w:rFonts w:ascii="Arial" w:eastAsia="Calibri" w:hAnsi="Arial"/>
      <w:b/>
      <w:bCs/>
      <w:color w:val="000000"/>
      <w:spacing w:val="6"/>
      <w:sz w:val="18"/>
      <w:szCs w:val="18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609F3"/>
    <w:pPr>
      <w:keepNext/>
      <w:shd w:val="clear" w:color="auto" w:fill="FFFFFF"/>
      <w:tabs>
        <w:tab w:val="left" w:pos="2030"/>
      </w:tabs>
      <w:autoSpaceDE w:val="0"/>
      <w:autoSpaceDN w:val="0"/>
      <w:adjustRightInd w:val="0"/>
      <w:spacing w:after="0" w:line="240" w:lineRule="auto"/>
      <w:jc w:val="center"/>
      <w:outlineLvl w:val="8"/>
    </w:pPr>
    <w:rPr>
      <w:rFonts w:ascii="Arial" w:eastAsia="Calibri" w:hAnsi="Arial"/>
      <w:b/>
      <w:spacing w:val="6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609F3"/>
    <w:rPr>
      <w:rFonts w:ascii="Arial" w:hAnsi="Arial" w:cs="Arial"/>
      <w:b/>
      <w:color w:val="000000"/>
      <w:spacing w:val="6"/>
      <w:w w:val="102"/>
      <w:sz w:val="28"/>
      <w:szCs w:val="28"/>
      <w:shd w:val="clear" w:color="auto" w:fill="FFFFFF"/>
      <w:lang w:val="x-none" w:eastAsia="ru-RU"/>
    </w:rPr>
  </w:style>
  <w:style w:type="character" w:customStyle="1" w:styleId="30">
    <w:name w:val="Заголовок 3 Знак"/>
    <w:link w:val="3"/>
    <w:uiPriority w:val="99"/>
    <w:locked/>
    <w:rsid w:val="000609F3"/>
    <w:rPr>
      <w:rFonts w:ascii="Times New Roman" w:hAnsi="Times New Roman" w:cs="Times New Roman"/>
      <w:b/>
      <w:color w:val="000000"/>
      <w:spacing w:val="6"/>
      <w:sz w:val="32"/>
      <w:szCs w:val="32"/>
      <w:shd w:val="clear" w:color="auto" w:fill="FFFFFF"/>
      <w:lang w:val="x-none" w:eastAsia="ru-RU"/>
    </w:rPr>
  </w:style>
  <w:style w:type="character" w:customStyle="1" w:styleId="40">
    <w:name w:val="Заголовок 4 Знак"/>
    <w:link w:val="4"/>
    <w:uiPriority w:val="99"/>
    <w:locked/>
    <w:rsid w:val="000609F3"/>
    <w:rPr>
      <w:rFonts w:ascii="Times New Roman" w:hAnsi="Times New Roman" w:cs="Times New Roman"/>
      <w:b/>
      <w:color w:val="000000"/>
      <w:spacing w:val="6"/>
      <w:sz w:val="32"/>
      <w:szCs w:val="32"/>
      <w:shd w:val="clear" w:color="auto" w:fill="FFFFFF"/>
      <w:lang w:val="x-none" w:eastAsia="ru-RU"/>
    </w:rPr>
  </w:style>
  <w:style w:type="character" w:customStyle="1" w:styleId="50">
    <w:name w:val="Заголовок 5 Знак"/>
    <w:link w:val="5"/>
    <w:uiPriority w:val="99"/>
    <w:locked/>
    <w:rsid w:val="000609F3"/>
    <w:rPr>
      <w:rFonts w:ascii="Arial" w:hAnsi="Arial" w:cs="Arial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link w:val="6"/>
    <w:uiPriority w:val="99"/>
    <w:locked/>
    <w:rsid w:val="000609F3"/>
    <w:rPr>
      <w:rFonts w:ascii="Times New Roman" w:hAnsi="Times New Roman" w:cs="Times New Roman"/>
      <w:spacing w:val="6"/>
      <w:sz w:val="32"/>
      <w:szCs w:val="32"/>
      <w:lang w:val="x-none" w:eastAsia="ru-RU"/>
    </w:rPr>
  </w:style>
  <w:style w:type="character" w:customStyle="1" w:styleId="70">
    <w:name w:val="Заголовок 7 Знак"/>
    <w:link w:val="7"/>
    <w:uiPriority w:val="99"/>
    <w:locked/>
    <w:rsid w:val="000609F3"/>
    <w:rPr>
      <w:rFonts w:ascii="Arial" w:hAnsi="Arial" w:cs="Arial"/>
      <w:b/>
      <w:bCs/>
      <w:color w:val="000000"/>
      <w:spacing w:val="6"/>
      <w:sz w:val="18"/>
      <w:szCs w:val="18"/>
      <w:shd w:val="clear" w:color="auto" w:fill="FFFFFF"/>
      <w:lang w:val="x-none" w:eastAsia="ru-RU"/>
    </w:rPr>
  </w:style>
  <w:style w:type="character" w:customStyle="1" w:styleId="80">
    <w:name w:val="Заголовок 8 Знак"/>
    <w:link w:val="8"/>
    <w:uiPriority w:val="99"/>
    <w:locked/>
    <w:rsid w:val="000609F3"/>
    <w:rPr>
      <w:rFonts w:ascii="Arial" w:hAnsi="Arial" w:cs="Arial"/>
      <w:b/>
      <w:bCs/>
      <w:color w:val="000000"/>
      <w:spacing w:val="6"/>
      <w:sz w:val="18"/>
      <w:szCs w:val="18"/>
      <w:shd w:val="clear" w:color="auto" w:fill="FFFFFF"/>
      <w:lang w:val="x-none" w:eastAsia="ru-RU"/>
    </w:rPr>
  </w:style>
  <w:style w:type="character" w:customStyle="1" w:styleId="90">
    <w:name w:val="Заголовок 9 Знак"/>
    <w:link w:val="9"/>
    <w:uiPriority w:val="99"/>
    <w:locked/>
    <w:rsid w:val="000609F3"/>
    <w:rPr>
      <w:rFonts w:ascii="Arial" w:hAnsi="Arial" w:cs="Arial"/>
      <w:b/>
      <w:spacing w:val="6"/>
      <w:sz w:val="18"/>
      <w:szCs w:val="18"/>
      <w:shd w:val="clear" w:color="auto" w:fill="FFFFFF"/>
      <w:lang w:val="x-none" w:eastAsia="ru-RU"/>
    </w:rPr>
  </w:style>
  <w:style w:type="paragraph" w:styleId="a3">
    <w:name w:val="footer"/>
    <w:basedOn w:val="a"/>
    <w:link w:val="a4"/>
    <w:uiPriority w:val="99"/>
    <w:rsid w:val="000609F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uiPriority w:val="99"/>
    <w:locked/>
    <w:rsid w:val="000609F3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uiPriority w:val="99"/>
    <w:rsid w:val="000609F3"/>
    <w:rPr>
      <w:rFonts w:cs="Times New Roman"/>
    </w:rPr>
  </w:style>
  <w:style w:type="character" w:customStyle="1" w:styleId="a4">
    <w:name w:val="Нижний колонтитул Знак"/>
    <w:link w:val="a3"/>
    <w:uiPriority w:val="99"/>
    <w:locked/>
    <w:rsid w:val="000609F3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header"/>
    <w:basedOn w:val="a"/>
    <w:link w:val="a7"/>
    <w:uiPriority w:val="99"/>
    <w:rsid w:val="000609F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0609F3"/>
    <w:pPr>
      <w:shd w:val="clear" w:color="auto" w:fill="FFFFFF"/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Calibri" w:hAnsi="Arial"/>
      <w:color w:val="000000"/>
      <w:spacing w:val="6"/>
      <w:sz w:val="28"/>
      <w:szCs w:val="28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0609F3"/>
    <w:rPr>
      <w:rFonts w:ascii="Times New Roman" w:hAnsi="Times New Roman" w:cs="Times New Roman"/>
      <w:sz w:val="20"/>
      <w:szCs w:val="20"/>
      <w:lang w:val="x-none" w:eastAsia="ru-RU"/>
    </w:rPr>
  </w:style>
  <w:style w:type="character" w:styleId="a8">
    <w:name w:val="Hyperlink"/>
    <w:uiPriority w:val="99"/>
    <w:rsid w:val="000609F3"/>
    <w:rPr>
      <w:rFonts w:cs="Times New Roman"/>
      <w:color w:val="0000FF"/>
      <w:u w:val="single"/>
    </w:rPr>
  </w:style>
  <w:style w:type="character" w:customStyle="1" w:styleId="22">
    <w:name w:val="Основной текст с отступом 2 Знак"/>
    <w:link w:val="21"/>
    <w:uiPriority w:val="99"/>
    <w:locked/>
    <w:rsid w:val="000609F3"/>
    <w:rPr>
      <w:rFonts w:ascii="Arial" w:hAnsi="Arial" w:cs="Arial"/>
      <w:color w:val="000000"/>
      <w:spacing w:val="6"/>
      <w:sz w:val="28"/>
      <w:szCs w:val="28"/>
      <w:shd w:val="clear" w:color="auto" w:fill="FFFFFF"/>
      <w:lang w:val="x-none" w:eastAsia="ru-RU"/>
    </w:rPr>
  </w:style>
  <w:style w:type="paragraph" w:styleId="a9">
    <w:name w:val="Body Text Indent"/>
    <w:basedOn w:val="a"/>
    <w:link w:val="aa"/>
    <w:uiPriority w:val="99"/>
    <w:rsid w:val="000609F3"/>
    <w:pPr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Calibri" w:hAnsi="Arial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0609F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/>
      <w:sz w:val="56"/>
      <w:szCs w:val="20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0609F3"/>
    <w:rPr>
      <w:rFonts w:ascii="Arial" w:hAnsi="Arial" w:cs="Arial"/>
      <w:sz w:val="20"/>
      <w:szCs w:val="20"/>
      <w:lang w:val="x-none" w:eastAsia="ru-RU"/>
    </w:rPr>
  </w:style>
  <w:style w:type="paragraph" w:styleId="ab">
    <w:name w:val="footnote text"/>
    <w:basedOn w:val="a"/>
    <w:link w:val="ac"/>
    <w:uiPriority w:val="99"/>
    <w:semiHidden/>
    <w:rsid w:val="000609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0"/>
      <w:szCs w:val="20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0609F3"/>
    <w:rPr>
      <w:rFonts w:ascii="Arial" w:hAnsi="Arial" w:cs="Arial"/>
      <w:sz w:val="20"/>
      <w:szCs w:val="20"/>
      <w:lang w:val="x-none" w:eastAsia="ru-RU"/>
    </w:rPr>
  </w:style>
  <w:style w:type="character" w:styleId="ad">
    <w:name w:val="footnote reference"/>
    <w:uiPriority w:val="99"/>
    <w:semiHidden/>
    <w:rsid w:val="000609F3"/>
    <w:rPr>
      <w:rFonts w:cs="Times New Roman"/>
      <w:vertAlign w:val="superscript"/>
    </w:rPr>
  </w:style>
  <w:style w:type="character" w:customStyle="1" w:styleId="ac">
    <w:name w:val="Текст сноски Знак"/>
    <w:link w:val="ab"/>
    <w:uiPriority w:val="99"/>
    <w:semiHidden/>
    <w:locked/>
    <w:rsid w:val="000609F3"/>
    <w:rPr>
      <w:rFonts w:ascii="Arial" w:hAnsi="Arial" w:cs="Arial"/>
      <w:sz w:val="20"/>
      <w:szCs w:val="20"/>
      <w:lang w:val="x-none" w:eastAsia="ru-RU"/>
    </w:rPr>
  </w:style>
  <w:style w:type="character" w:styleId="ae">
    <w:name w:val="FollowedHyperlink"/>
    <w:uiPriority w:val="99"/>
    <w:rsid w:val="000609F3"/>
    <w:rPr>
      <w:rFonts w:cs="Times New Roman"/>
      <w:color w:val="800080"/>
      <w:u w:val="single"/>
    </w:rPr>
  </w:style>
  <w:style w:type="paragraph" w:styleId="af">
    <w:name w:val="Body Text"/>
    <w:basedOn w:val="a"/>
    <w:link w:val="af0"/>
    <w:uiPriority w:val="99"/>
    <w:rsid w:val="000609F3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/>
      <w:bCs/>
      <w:color w:val="000000"/>
      <w:spacing w:val="6"/>
      <w:sz w:val="18"/>
      <w:szCs w:val="18"/>
      <w:lang w:eastAsia="ru-RU"/>
    </w:rPr>
  </w:style>
  <w:style w:type="paragraph" w:styleId="af1">
    <w:name w:val="List Paragraph"/>
    <w:basedOn w:val="a"/>
    <w:uiPriority w:val="99"/>
    <w:qFormat/>
    <w:rsid w:val="00E62420"/>
    <w:pPr>
      <w:ind w:left="720"/>
      <w:contextualSpacing/>
    </w:pPr>
  </w:style>
  <w:style w:type="character" w:customStyle="1" w:styleId="af0">
    <w:name w:val="Основной текст Знак"/>
    <w:link w:val="af"/>
    <w:uiPriority w:val="99"/>
    <w:locked/>
    <w:rsid w:val="000609F3"/>
    <w:rPr>
      <w:rFonts w:ascii="Arial" w:hAnsi="Arial" w:cs="Arial"/>
      <w:bCs/>
      <w:color w:val="000000"/>
      <w:spacing w:val="6"/>
      <w:sz w:val="18"/>
      <w:szCs w:val="18"/>
      <w:shd w:val="clear" w:color="auto" w:fill="FFFFFF"/>
      <w:lang w:val="x-none" w:eastAsia="ru-RU"/>
    </w:rPr>
  </w:style>
  <w:style w:type="table" w:styleId="11">
    <w:name w:val="Table Grid 1"/>
    <w:basedOn w:val="a1"/>
    <w:uiPriority w:val="99"/>
    <w:rsid w:val="00013D0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5480</Words>
  <Characters>31241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современного состояния и перспектив развития российско-египетских отношений</vt:lpstr>
    </vt:vector>
  </TitlesOfParts>
  <Company/>
  <LinksUpToDate>false</LinksUpToDate>
  <CharactersWithSpaces>36648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современного состояния и перспектив развития российско-египетских отношений</dc:title>
  <dc:subject/>
  <dc:creator>SbO</dc:creator>
  <cp:keywords/>
  <dc:description/>
  <cp:lastModifiedBy>admin</cp:lastModifiedBy>
  <cp:revision>2</cp:revision>
  <dcterms:created xsi:type="dcterms:W3CDTF">2014-03-23T06:02:00Z</dcterms:created>
  <dcterms:modified xsi:type="dcterms:W3CDTF">2014-03-23T06:02:00Z</dcterms:modified>
</cp:coreProperties>
</file>