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3C55" w:rsidRPr="00F15EFB" w:rsidRDefault="00113C55" w:rsidP="00F15EFB">
      <w:pPr>
        <w:spacing w:line="360" w:lineRule="auto"/>
        <w:ind w:firstLine="720"/>
        <w:jc w:val="both"/>
        <w:rPr>
          <w:rFonts w:ascii="Times New Roman" w:hAnsi="Times New Roman"/>
          <w:sz w:val="28"/>
          <w:szCs w:val="28"/>
          <w:lang w:val="de-DE"/>
        </w:rPr>
      </w:pPr>
      <w:r w:rsidRPr="00F15EFB">
        <w:rPr>
          <w:rFonts w:ascii="Times New Roman" w:hAnsi="Times New Roman"/>
          <w:sz w:val="28"/>
          <w:szCs w:val="28"/>
        </w:rPr>
        <w:t>СОДЕРЖАНИЕ</w:t>
      </w:r>
    </w:p>
    <w:p w:rsidR="00123710" w:rsidRPr="00F15EFB" w:rsidRDefault="00123710" w:rsidP="00F15EFB">
      <w:pPr>
        <w:spacing w:line="360" w:lineRule="auto"/>
        <w:ind w:firstLine="720"/>
        <w:jc w:val="both"/>
        <w:rPr>
          <w:rFonts w:ascii="Times New Roman" w:hAnsi="Times New Roman"/>
          <w:sz w:val="28"/>
          <w:szCs w:val="28"/>
          <w:lang w:val="de-DE"/>
        </w:rPr>
      </w:pPr>
    </w:p>
    <w:p w:rsidR="00F15EFB" w:rsidRPr="00F15EFB" w:rsidRDefault="00F15EFB" w:rsidP="00F15EFB">
      <w:pPr>
        <w:spacing w:line="360" w:lineRule="auto"/>
        <w:jc w:val="both"/>
        <w:rPr>
          <w:rFonts w:ascii="Times New Roman" w:hAnsi="Times New Roman"/>
          <w:sz w:val="28"/>
          <w:szCs w:val="28"/>
        </w:rPr>
      </w:pPr>
      <w:r>
        <w:rPr>
          <w:rFonts w:ascii="Times New Roman" w:hAnsi="Times New Roman"/>
          <w:sz w:val="28"/>
          <w:szCs w:val="28"/>
        </w:rPr>
        <w:t>ВВЕДЕНИЕ</w:t>
      </w:r>
    </w:p>
    <w:p w:rsidR="00F15EFB" w:rsidRPr="00F15EFB" w:rsidRDefault="00F15EFB" w:rsidP="00F15EFB">
      <w:pPr>
        <w:spacing w:line="360" w:lineRule="auto"/>
        <w:jc w:val="both"/>
        <w:rPr>
          <w:rFonts w:ascii="Times New Roman" w:hAnsi="Times New Roman"/>
          <w:sz w:val="28"/>
          <w:szCs w:val="28"/>
        </w:rPr>
      </w:pPr>
      <w:r w:rsidRPr="00F15EFB">
        <w:rPr>
          <w:rFonts w:ascii="Times New Roman" w:hAnsi="Times New Roman"/>
          <w:sz w:val="28"/>
          <w:szCs w:val="28"/>
        </w:rPr>
        <w:t>1 Современные тенденции разви</w:t>
      </w:r>
      <w:r>
        <w:rPr>
          <w:rFonts w:ascii="Times New Roman" w:hAnsi="Times New Roman"/>
          <w:sz w:val="28"/>
          <w:szCs w:val="28"/>
        </w:rPr>
        <w:t>тия мирового финансового рынка</w:t>
      </w:r>
    </w:p>
    <w:p w:rsidR="00F15EFB" w:rsidRPr="00F15EFB" w:rsidRDefault="00F15EFB" w:rsidP="00F15EFB">
      <w:pPr>
        <w:spacing w:line="360" w:lineRule="auto"/>
        <w:jc w:val="both"/>
        <w:rPr>
          <w:rFonts w:ascii="Times New Roman" w:hAnsi="Times New Roman"/>
          <w:sz w:val="28"/>
          <w:szCs w:val="28"/>
        </w:rPr>
      </w:pPr>
      <w:r w:rsidRPr="00F15EFB">
        <w:rPr>
          <w:rFonts w:ascii="Times New Roman" w:hAnsi="Times New Roman"/>
          <w:sz w:val="28"/>
          <w:szCs w:val="28"/>
        </w:rPr>
        <w:t>2 Сущность и виды произ</w:t>
      </w:r>
      <w:r>
        <w:rPr>
          <w:rFonts w:ascii="Times New Roman" w:hAnsi="Times New Roman"/>
          <w:sz w:val="28"/>
          <w:szCs w:val="28"/>
        </w:rPr>
        <w:t>водных финансовых инструментов</w:t>
      </w:r>
    </w:p>
    <w:p w:rsidR="00F15EFB" w:rsidRPr="00F15EFB" w:rsidRDefault="00F15EFB" w:rsidP="00F15EFB">
      <w:pPr>
        <w:spacing w:line="360" w:lineRule="auto"/>
        <w:jc w:val="both"/>
        <w:rPr>
          <w:rFonts w:ascii="Times New Roman" w:hAnsi="Times New Roman"/>
          <w:sz w:val="28"/>
          <w:szCs w:val="28"/>
        </w:rPr>
      </w:pPr>
      <w:r w:rsidRPr="00F15EFB">
        <w:rPr>
          <w:rFonts w:ascii="Times New Roman" w:hAnsi="Times New Roman"/>
          <w:sz w:val="28"/>
          <w:szCs w:val="28"/>
        </w:rPr>
        <w:t>3 Мировые показатели объемов и структуры рынков производных</w:t>
      </w:r>
      <w:r>
        <w:rPr>
          <w:rFonts w:ascii="Times New Roman" w:hAnsi="Times New Roman"/>
          <w:sz w:val="28"/>
          <w:szCs w:val="28"/>
        </w:rPr>
        <w:t xml:space="preserve"> инструментов</w:t>
      </w:r>
    </w:p>
    <w:p w:rsidR="00F15EFB" w:rsidRPr="00F15EFB" w:rsidRDefault="00F15EFB" w:rsidP="00F15EFB">
      <w:pPr>
        <w:spacing w:line="360" w:lineRule="auto"/>
        <w:jc w:val="both"/>
        <w:rPr>
          <w:rFonts w:ascii="Times New Roman" w:hAnsi="Times New Roman"/>
          <w:sz w:val="28"/>
          <w:szCs w:val="28"/>
        </w:rPr>
      </w:pPr>
      <w:r w:rsidRPr="00F15EFB">
        <w:rPr>
          <w:rFonts w:ascii="Times New Roman" w:hAnsi="Times New Roman"/>
          <w:sz w:val="28"/>
          <w:szCs w:val="28"/>
        </w:rPr>
        <w:t>ЗАКЛЮЧЕНИЕ</w:t>
      </w:r>
    </w:p>
    <w:p w:rsidR="00F15EFB" w:rsidRPr="00F15EFB" w:rsidRDefault="00F15EFB" w:rsidP="00F15EFB">
      <w:pPr>
        <w:spacing w:line="360" w:lineRule="auto"/>
        <w:jc w:val="both"/>
        <w:rPr>
          <w:rFonts w:ascii="Times New Roman" w:hAnsi="Times New Roman"/>
          <w:sz w:val="28"/>
          <w:szCs w:val="28"/>
        </w:rPr>
      </w:pPr>
      <w:r w:rsidRPr="00F15EFB">
        <w:rPr>
          <w:rFonts w:ascii="Times New Roman" w:hAnsi="Times New Roman"/>
          <w:sz w:val="28"/>
          <w:szCs w:val="28"/>
        </w:rPr>
        <w:t>СПИСОК ИСПОЛЬЗОВАННЫХ ИСТОЧНИКОВ</w:t>
      </w:r>
    </w:p>
    <w:p w:rsidR="00F15EFB" w:rsidRPr="00F15EFB" w:rsidRDefault="00F15EFB" w:rsidP="00F15EFB">
      <w:pPr>
        <w:spacing w:line="360" w:lineRule="auto"/>
        <w:jc w:val="both"/>
        <w:rPr>
          <w:rFonts w:ascii="Times New Roman" w:hAnsi="Times New Roman"/>
          <w:sz w:val="28"/>
          <w:szCs w:val="28"/>
        </w:rPr>
      </w:pPr>
    </w:p>
    <w:p w:rsidR="00F9585F" w:rsidRPr="00F15EFB" w:rsidRDefault="00F15EFB" w:rsidP="00F15EFB">
      <w:pPr>
        <w:pStyle w:val="1"/>
        <w:spacing w:before="0" w:after="0" w:line="360" w:lineRule="auto"/>
        <w:ind w:firstLine="720"/>
        <w:jc w:val="both"/>
        <w:rPr>
          <w:rFonts w:ascii="Times New Roman" w:hAnsi="Times New Roman"/>
          <w:b w:val="0"/>
          <w:sz w:val="28"/>
          <w:szCs w:val="28"/>
        </w:rPr>
      </w:pPr>
      <w:bookmarkStart w:id="0" w:name="_Toc243274431"/>
      <w:r>
        <w:rPr>
          <w:rFonts w:ascii="Times New Roman" w:hAnsi="Times New Roman"/>
          <w:b w:val="0"/>
          <w:sz w:val="28"/>
          <w:szCs w:val="28"/>
        </w:rPr>
        <w:br w:type="page"/>
      </w:r>
      <w:r w:rsidR="00F9585F" w:rsidRPr="00F15EFB">
        <w:rPr>
          <w:rFonts w:ascii="Times New Roman" w:hAnsi="Times New Roman"/>
          <w:b w:val="0"/>
          <w:sz w:val="28"/>
          <w:szCs w:val="28"/>
        </w:rPr>
        <w:t>ВВЕДЕНИЕ</w:t>
      </w:r>
      <w:bookmarkEnd w:id="0"/>
    </w:p>
    <w:p w:rsidR="00F9585F" w:rsidRPr="00F15EFB" w:rsidRDefault="00F9585F" w:rsidP="00F15EFB">
      <w:pPr>
        <w:spacing w:line="360" w:lineRule="auto"/>
        <w:ind w:firstLine="720"/>
        <w:jc w:val="both"/>
        <w:rPr>
          <w:rFonts w:ascii="Times New Roman" w:hAnsi="Times New Roman"/>
          <w:sz w:val="28"/>
          <w:szCs w:val="28"/>
        </w:rPr>
      </w:pPr>
    </w:p>
    <w:p w:rsidR="00F9585F" w:rsidRPr="00F15EFB" w:rsidRDefault="00F9585F" w:rsidP="00F15EFB">
      <w:pPr>
        <w:spacing w:line="360" w:lineRule="auto"/>
        <w:ind w:firstLine="720"/>
        <w:jc w:val="both"/>
        <w:rPr>
          <w:rFonts w:ascii="Times New Roman" w:hAnsi="Times New Roman"/>
          <w:sz w:val="28"/>
          <w:szCs w:val="28"/>
        </w:rPr>
      </w:pPr>
      <w:r w:rsidRPr="00F15EFB">
        <w:rPr>
          <w:rFonts w:ascii="Times New Roman" w:hAnsi="Times New Roman"/>
          <w:sz w:val="28"/>
          <w:szCs w:val="28"/>
        </w:rPr>
        <w:t xml:space="preserve">Мировая экономика на сегодняшний день характеризуется весьма быстрым развитием, причем темп роста все время увеличивается. Этому способствуют многие факторы, важнейшие из которых глобализация и информатизация. Экономические отношения между субъектами хозяйствования все время усложняются, что объясняется все большим числом конкурентов, новых бизнес-идей. </w:t>
      </w:r>
    </w:p>
    <w:p w:rsidR="00F9585F" w:rsidRPr="00F15EFB" w:rsidRDefault="00F9585F" w:rsidP="00F15EFB">
      <w:pPr>
        <w:spacing w:line="360" w:lineRule="auto"/>
        <w:ind w:firstLine="720"/>
        <w:jc w:val="both"/>
        <w:rPr>
          <w:rFonts w:ascii="Times New Roman" w:hAnsi="Times New Roman"/>
          <w:sz w:val="28"/>
          <w:szCs w:val="28"/>
        </w:rPr>
      </w:pPr>
      <w:r w:rsidRPr="00F15EFB">
        <w:rPr>
          <w:rFonts w:ascii="Times New Roman" w:hAnsi="Times New Roman"/>
          <w:sz w:val="28"/>
          <w:szCs w:val="28"/>
        </w:rPr>
        <w:t xml:space="preserve">То же самое происходит сегодня и международном финансовом рынке. Если раньше мы говорили лишь об акций, облигациях, векселях, то сегодня перечень биржевых и внебиржевых финансовых инструментов весьма широк. </w:t>
      </w:r>
    </w:p>
    <w:p w:rsidR="00A11483" w:rsidRPr="00F15EFB" w:rsidRDefault="00F9585F" w:rsidP="00F15EFB">
      <w:pPr>
        <w:spacing w:line="360" w:lineRule="auto"/>
        <w:ind w:firstLine="720"/>
        <w:jc w:val="both"/>
        <w:rPr>
          <w:rFonts w:ascii="Times New Roman" w:hAnsi="Times New Roman"/>
          <w:sz w:val="28"/>
          <w:szCs w:val="28"/>
        </w:rPr>
      </w:pPr>
      <w:r w:rsidRPr="00F15EFB">
        <w:rPr>
          <w:rFonts w:ascii="Times New Roman" w:hAnsi="Times New Roman"/>
          <w:sz w:val="28"/>
          <w:szCs w:val="28"/>
        </w:rPr>
        <w:t>Рынок деривативов является весьма интересным явлением в современной экономике. При этом данное явление носит весьма неоднозначный характер. С одной стороны повышается склонность к инвестировани</w:t>
      </w:r>
      <w:r w:rsidR="00A11483" w:rsidRPr="00F15EFB">
        <w:rPr>
          <w:rFonts w:ascii="Times New Roman" w:hAnsi="Times New Roman"/>
          <w:sz w:val="28"/>
          <w:szCs w:val="28"/>
        </w:rPr>
        <w:t>ю, подогревается деловая активность. С другой стороны все большие объемы деривативов не обеспечены реальными активами, что в итоге может привести к коллапсу всей мировой экономики. Многие считают, что финансово-экономический кризис, начавшийся в 2008 г. стал следствием именно широкого распространения деривативов.</w:t>
      </w:r>
    </w:p>
    <w:p w:rsidR="00F9585F" w:rsidRPr="00F15EFB" w:rsidRDefault="00A11483" w:rsidP="00F15EFB">
      <w:pPr>
        <w:spacing w:line="360" w:lineRule="auto"/>
        <w:ind w:firstLine="720"/>
        <w:jc w:val="both"/>
        <w:rPr>
          <w:rFonts w:ascii="Times New Roman" w:hAnsi="Times New Roman"/>
          <w:sz w:val="28"/>
          <w:szCs w:val="28"/>
        </w:rPr>
      </w:pPr>
      <w:r w:rsidRPr="00F15EFB">
        <w:rPr>
          <w:rFonts w:ascii="Times New Roman" w:hAnsi="Times New Roman"/>
          <w:sz w:val="28"/>
          <w:szCs w:val="28"/>
        </w:rPr>
        <w:t>Цель данной работы – показать место производных финансовых инструментов в</w:t>
      </w:r>
      <w:r w:rsidR="00F15EFB">
        <w:rPr>
          <w:rFonts w:ascii="Times New Roman" w:hAnsi="Times New Roman"/>
          <w:sz w:val="28"/>
          <w:szCs w:val="28"/>
        </w:rPr>
        <w:t xml:space="preserve"> современной мировой экономике.</w:t>
      </w:r>
    </w:p>
    <w:p w:rsidR="00F15EFB" w:rsidRPr="00F15EFB" w:rsidRDefault="00F15EFB" w:rsidP="00F15EFB">
      <w:pPr>
        <w:spacing w:line="360" w:lineRule="auto"/>
        <w:ind w:firstLine="720"/>
        <w:jc w:val="both"/>
        <w:rPr>
          <w:rFonts w:ascii="Times New Roman" w:hAnsi="Times New Roman"/>
          <w:sz w:val="28"/>
          <w:szCs w:val="28"/>
        </w:rPr>
      </w:pPr>
    </w:p>
    <w:p w:rsidR="0029415E" w:rsidRPr="00F15EFB" w:rsidRDefault="00F9585F" w:rsidP="00F15EFB">
      <w:pPr>
        <w:pStyle w:val="1"/>
        <w:spacing w:before="0" w:after="0" w:line="360" w:lineRule="auto"/>
        <w:ind w:firstLine="720"/>
        <w:jc w:val="both"/>
        <w:rPr>
          <w:rFonts w:ascii="Times New Roman" w:hAnsi="Times New Roman"/>
          <w:b w:val="0"/>
          <w:sz w:val="28"/>
          <w:szCs w:val="28"/>
        </w:rPr>
      </w:pPr>
      <w:r w:rsidRPr="00F15EFB">
        <w:rPr>
          <w:rFonts w:ascii="Times New Roman" w:hAnsi="Times New Roman"/>
          <w:b w:val="0"/>
          <w:sz w:val="28"/>
          <w:szCs w:val="28"/>
        </w:rPr>
        <w:br w:type="page"/>
      </w:r>
      <w:bookmarkStart w:id="1" w:name="_Toc243274432"/>
      <w:r w:rsidR="0029415E" w:rsidRPr="00F15EFB">
        <w:rPr>
          <w:rFonts w:ascii="Times New Roman" w:hAnsi="Times New Roman"/>
          <w:b w:val="0"/>
          <w:sz w:val="28"/>
          <w:szCs w:val="28"/>
        </w:rPr>
        <w:t>1 Современные тенденции развития мирового финансового рынка</w:t>
      </w:r>
      <w:bookmarkEnd w:id="1"/>
    </w:p>
    <w:p w:rsidR="0029415E" w:rsidRPr="00F15EFB" w:rsidRDefault="0029415E" w:rsidP="00F15EFB">
      <w:pPr>
        <w:spacing w:line="360" w:lineRule="auto"/>
        <w:ind w:firstLine="720"/>
        <w:jc w:val="both"/>
        <w:rPr>
          <w:rFonts w:ascii="Times New Roman" w:hAnsi="Times New Roman"/>
          <w:sz w:val="28"/>
          <w:szCs w:val="28"/>
        </w:rPr>
      </w:pPr>
    </w:p>
    <w:p w:rsidR="0029415E" w:rsidRPr="00F15EFB" w:rsidRDefault="0029415E" w:rsidP="00F15EFB">
      <w:pPr>
        <w:spacing w:line="360" w:lineRule="auto"/>
        <w:ind w:firstLine="720"/>
        <w:jc w:val="both"/>
        <w:rPr>
          <w:rFonts w:ascii="Times New Roman" w:hAnsi="Times New Roman"/>
          <w:sz w:val="28"/>
          <w:szCs w:val="28"/>
        </w:rPr>
      </w:pPr>
      <w:r w:rsidRPr="00F15EFB">
        <w:rPr>
          <w:rFonts w:ascii="Times New Roman" w:hAnsi="Times New Roman"/>
          <w:sz w:val="28"/>
          <w:szCs w:val="28"/>
        </w:rPr>
        <w:t>Главным фактором формирования мирового финансового рынка в мировой экономике стал процесс глобализации, который наиболее прогрессировал именно в финансовой сфере. Предпосылкой этого явились три основных фактора:</w:t>
      </w:r>
    </w:p>
    <w:p w:rsidR="0029415E" w:rsidRPr="00F15EFB" w:rsidRDefault="0029415E" w:rsidP="00F15EFB">
      <w:pPr>
        <w:numPr>
          <w:ilvl w:val="0"/>
          <w:numId w:val="2"/>
        </w:numPr>
        <w:tabs>
          <w:tab w:val="clear" w:pos="1571"/>
          <w:tab w:val="left" w:pos="851"/>
          <w:tab w:val="left" w:pos="1134"/>
          <w:tab w:val="num" w:pos="1843"/>
        </w:tabs>
        <w:spacing w:line="360" w:lineRule="auto"/>
        <w:ind w:left="0" w:firstLine="720"/>
        <w:jc w:val="both"/>
        <w:rPr>
          <w:rFonts w:ascii="Times New Roman" w:hAnsi="Times New Roman"/>
          <w:sz w:val="28"/>
          <w:szCs w:val="28"/>
        </w:rPr>
      </w:pPr>
      <w:r w:rsidRPr="00F15EFB">
        <w:rPr>
          <w:rFonts w:ascii="Times New Roman" w:hAnsi="Times New Roman"/>
          <w:sz w:val="28"/>
          <w:szCs w:val="28"/>
        </w:rPr>
        <w:t>новые информационные технологии, связавшие основные финансовые центры и резко снизившие транзакционные издержки финансовых операций и время, необходимое для их совершения;</w:t>
      </w:r>
    </w:p>
    <w:p w:rsidR="0029415E" w:rsidRPr="00F15EFB" w:rsidRDefault="0029415E" w:rsidP="00F15EFB">
      <w:pPr>
        <w:numPr>
          <w:ilvl w:val="0"/>
          <w:numId w:val="2"/>
        </w:numPr>
        <w:tabs>
          <w:tab w:val="clear" w:pos="1571"/>
          <w:tab w:val="left" w:pos="851"/>
          <w:tab w:val="left" w:pos="1134"/>
          <w:tab w:val="num" w:pos="1843"/>
        </w:tabs>
        <w:spacing w:line="360" w:lineRule="auto"/>
        <w:ind w:left="0" w:firstLine="720"/>
        <w:jc w:val="both"/>
        <w:rPr>
          <w:rFonts w:ascii="Times New Roman" w:hAnsi="Times New Roman"/>
          <w:sz w:val="28"/>
          <w:szCs w:val="28"/>
        </w:rPr>
      </w:pPr>
      <w:r w:rsidRPr="00F15EFB">
        <w:rPr>
          <w:rFonts w:ascii="Times New Roman" w:hAnsi="Times New Roman"/>
          <w:sz w:val="28"/>
          <w:szCs w:val="28"/>
        </w:rPr>
        <w:t>изменение условий деятельности финансовых институтов в связи с дерегулированием банковской деятельности;</w:t>
      </w:r>
    </w:p>
    <w:p w:rsidR="0029415E" w:rsidRPr="00F15EFB" w:rsidRDefault="0029415E" w:rsidP="00F15EFB">
      <w:pPr>
        <w:numPr>
          <w:ilvl w:val="0"/>
          <w:numId w:val="2"/>
        </w:numPr>
        <w:tabs>
          <w:tab w:val="clear" w:pos="1571"/>
          <w:tab w:val="left" w:pos="851"/>
          <w:tab w:val="left" w:pos="1134"/>
          <w:tab w:val="num" w:pos="1843"/>
        </w:tabs>
        <w:spacing w:line="360" w:lineRule="auto"/>
        <w:ind w:left="0" w:firstLine="720"/>
        <w:jc w:val="both"/>
        <w:rPr>
          <w:rFonts w:ascii="Times New Roman" w:hAnsi="Times New Roman"/>
          <w:sz w:val="28"/>
          <w:szCs w:val="28"/>
        </w:rPr>
      </w:pPr>
      <w:r w:rsidRPr="00F15EFB">
        <w:rPr>
          <w:rFonts w:ascii="Times New Roman" w:hAnsi="Times New Roman"/>
          <w:sz w:val="28"/>
          <w:szCs w:val="28"/>
        </w:rPr>
        <w:t>появление и развитие новых инструментов финансового рынка на основе главным образом механизмов хеджирования и управления рисками.</w:t>
      </w:r>
    </w:p>
    <w:p w:rsidR="0029415E" w:rsidRPr="00F15EFB" w:rsidRDefault="0029415E" w:rsidP="00F15EFB">
      <w:pPr>
        <w:spacing w:line="360" w:lineRule="auto"/>
        <w:ind w:firstLine="720"/>
        <w:jc w:val="both"/>
        <w:rPr>
          <w:rFonts w:ascii="Times New Roman" w:hAnsi="Times New Roman"/>
          <w:sz w:val="28"/>
          <w:szCs w:val="28"/>
        </w:rPr>
      </w:pPr>
      <w:r w:rsidRPr="00F15EFB">
        <w:rPr>
          <w:rFonts w:ascii="Times New Roman" w:hAnsi="Times New Roman"/>
          <w:sz w:val="28"/>
          <w:szCs w:val="28"/>
        </w:rPr>
        <w:t>Дерегулирование банковской деятельности, которое имело место в развитых странах в 80-90-х годах прошлого столетия, явилось ответом на усиление конкуренции на рынке банковских услуг и снижение рентабельности банковских операций, связанных с экспансией иностранного капитала на национальных финансовых рынках после краха Бреттон-Вудской системы. Дерегулирование сопровождалось расширенной приватизацией и секьюритизацией активов, снижением налогов и комиссионных сборов с финансовых транзакций, формированием сети оффшорных банков, функционирующих в льготном режиме.</w:t>
      </w:r>
    </w:p>
    <w:p w:rsidR="0029415E" w:rsidRPr="00F15EFB" w:rsidRDefault="0029415E" w:rsidP="00F15EFB">
      <w:pPr>
        <w:spacing w:line="360" w:lineRule="auto"/>
        <w:ind w:firstLine="720"/>
        <w:jc w:val="both"/>
        <w:rPr>
          <w:rFonts w:ascii="Times New Roman" w:hAnsi="Times New Roman"/>
          <w:sz w:val="28"/>
          <w:szCs w:val="28"/>
        </w:rPr>
      </w:pPr>
      <w:r w:rsidRPr="00F15EFB">
        <w:rPr>
          <w:rFonts w:ascii="Times New Roman" w:hAnsi="Times New Roman"/>
          <w:sz w:val="28"/>
          <w:szCs w:val="28"/>
        </w:rPr>
        <w:t>В процессе дерегулирования были сняты ограничения на проведение банками и другими финансовыми учреждениями разносторонних финансовых операций: инвестиционные банки получили возможность заниматься коммерческим кредитованием, коммерческие банки — эмиссионно-учреди-тельской деятельностью, страхованием, торговлей фьючерсами, опционами и т.д. В результате возникли финансовые холдинги, предлагающие клиенту полный набор услуг в области финансового консультирования и посредничества. Именно эти финансовые холдинги в настоящее время доминируют на мировом финансовом рынке. Этому способствовали такие системные факторы, как формирование глобальных финансовых сетей, в центре которых находятся эти холдинги, эффект синергетики в связи с объединением в одну систему всех видов финансовой деятельности и эффект масштаба, связанный с волной слияний крупнейших финансовых институтов.</w:t>
      </w:r>
    </w:p>
    <w:p w:rsidR="0029415E" w:rsidRPr="00F15EFB" w:rsidRDefault="0029415E" w:rsidP="00F15EFB">
      <w:pPr>
        <w:spacing w:line="360" w:lineRule="auto"/>
        <w:ind w:firstLine="720"/>
        <w:jc w:val="both"/>
        <w:rPr>
          <w:rFonts w:ascii="Times New Roman" w:hAnsi="Times New Roman"/>
          <w:sz w:val="28"/>
          <w:szCs w:val="28"/>
        </w:rPr>
      </w:pPr>
      <w:r w:rsidRPr="00F15EFB">
        <w:rPr>
          <w:rFonts w:ascii="Times New Roman" w:hAnsi="Times New Roman"/>
          <w:sz w:val="28"/>
          <w:szCs w:val="28"/>
        </w:rPr>
        <w:t>Рост неопределенности на финансовом рынке, в частности, в отношении валютных курсов и курсов ценных бумаг, стимулирует развитие механизмов управления рисками. Традиционные финансовые инструменты дополняются новыми видами ценных бумаг и обязательств — деривативами, являющимися производными от других ценных бумаг. Деривативы открывают возможности для игры на изменении курсов валют, акций, других видов финансовых активов. Особенностью данного рынка является то, что, позволяя перераспределять риски и снижать их уровень для отдельных участников финансовой операции, его функционирование ведет к повышению общего уровня системного риска. Транзакции с деривативами оказались, по существу, вне системы правового регулирования и открыли возможности для широкомасштабных спекуляций, ускоряя процесс обособления валютно-финансовой сферы от реальной экономики. Финансовый рынок стал играть независимую от рынка товаров роль.</w:t>
      </w:r>
    </w:p>
    <w:p w:rsidR="0029415E" w:rsidRPr="00F15EFB" w:rsidRDefault="0029415E" w:rsidP="00F15EFB">
      <w:pPr>
        <w:spacing w:line="360" w:lineRule="auto"/>
        <w:ind w:firstLine="720"/>
        <w:jc w:val="both"/>
        <w:rPr>
          <w:rFonts w:ascii="Times New Roman" w:hAnsi="Times New Roman"/>
          <w:sz w:val="28"/>
          <w:szCs w:val="28"/>
        </w:rPr>
      </w:pPr>
      <w:r w:rsidRPr="00F15EFB">
        <w:rPr>
          <w:rFonts w:ascii="Times New Roman" w:hAnsi="Times New Roman"/>
          <w:sz w:val="28"/>
          <w:szCs w:val="28"/>
        </w:rPr>
        <w:t>За последние 20 лет прошлого века ежедневный объем сделок на мировых валютных рынках возрос с 1 млрд долл. до 1200 млрд долл., а объем торговли тов</w:t>
      </w:r>
      <w:r w:rsidR="00F15EFB">
        <w:rPr>
          <w:rFonts w:ascii="Times New Roman" w:hAnsi="Times New Roman"/>
          <w:sz w:val="28"/>
          <w:szCs w:val="28"/>
        </w:rPr>
        <w:t>арами и услугами - всего на 50%.</w:t>
      </w:r>
    </w:p>
    <w:p w:rsidR="0029415E" w:rsidRPr="00F15EFB" w:rsidRDefault="0029415E" w:rsidP="00F15EFB">
      <w:pPr>
        <w:spacing w:line="360" w:lineRule="auto"/>
        <w:ind w:firstLine="720"/>
        <w:jc w:val="both"/>
        <w:rPr>
          <w:rFonts w:ascii="Times New Roman" w:hAnsi="Times New Roman"/>
          <w:sz w:val="28"/>
          <w:szCs w:val="28"/>
        </w:rPr>
      </w:pPr>
      <w:r w:rsidRPr="00F15EFB">
        <w:rPr>
          <w:rFonts w:ascii="Times New Roman" w:hAnsi="Times New Roman"/>
          <w:sz w:val="28"/>
          <w:szCs w:val="28"/>
        </w:rPr>
        <w:t>Отрыв финансовой системы от реальной экономики не означает, что связь между ними исчезает. Наоборот, связь и зависимость расширяются, но приобретают непредсказуемый характер. Сфера финансовых операций начинает в растущих масштабах аккумулировать капитал, который не превращается в прямые инвестиции, а преобразуется в спекулятивный. Развивается феномен «экономики мыльного пузыря». Последствия лопнувшего в середине 90-х годов «пузыря» переживает экономика Японии. В настоящее время, согласно оценкам многих международных экспертов, такой «пузырь» может вполне развиться в США. Дефицит платежного баланса в США увеличился с 150 млрд долл. в 1997 году до 340 млрд долл. в 1999-м и составил в 2000 году около 480 млрд долл. Дефицит этот покрывается в основном за счет притока иностранного капитала.</w:t>
      </w:r>
    </w:p>
    <w:p w:rsidR="0029415E" w:rsidRPr="00F15EFB" w:rsidRDefault="0029415E" w:rsidP="00F15EFB">
      <w:pPr>
        <w:spacing w:line="360" w:lineRule="auto"/>
        <w:ind w:firstLine="720"/>
        <w:jc w:val="both"/>
        <w:rPr>
          <w:rFonts w:ascii="Times New Roman" w:hAnsi="Times New Roman"/>
          <w:sz w:val="28"/>
          <w:szCs w:val="28"/>
        </w:rPr>
      </w:pPr>
      <w:r w:rsidRPr="00F15EFB">
        <w:rPr>
          <w:rFonts w:ascii="Times New Roman" w:hAnsi="Times New Roman"/>
          <w:sz w:val="28"/>
          <w:szCs w:val="28"/>
        </w:rPr>
        <w:t>Неконтролируемое трансграничное перемещение огромных масс капитала происходит в основном в виде краткосрочных портфельных инвестиций, и концентрация его в сфере финансовых спекуляций порождает растущую нестабильность всей системы мирового рынка, о чем свидетельствуют валютно-финансовые кризисы 1987 и 1997-1998 годов. Последний кризис поставил перед финансовыми экспертами кардинальный вопрос: лежат ли в его основе специфические региональные или глобальные причины? Большинство специалистов США и Западной Европы склонны оценивать его, прежде всего, как кризис азиатской экономической модели, не выдержавшей испытания глобализацией. Такие отличительные черты данной модели, как клановый характер корпоративной деятельности, сращивание финансово-промышленных групп с бюрократическим аппаратом, отсутствие жесткого правового поля, — все это увеличивало уязвимость экономических систем Юго-Восточной Азии. В свою очередь, представители Тихоокеанского региона подчеркивают системный характер кризиса, связанный с глобальными тенденциями.</w:t>
      </w:r>
    </w:p>
    <w:p w:rsidR="0029415E" w:rsidRPr="00F15EFB" w:rsidRDefault="0029415E" w:rsidP="00F15EFB">
      <w:pPr>
        <w:spacing w:line="360" w:lineRule="auto"/>
        <w:ind w:firstLine="720"/>
        <w:jc w:val="both"/>
        <w:rPr>
          <w:rFonts w:ascii="Times New Roman" w:hAnsi="Times New Roman"/>
          <w:sz w:val="28"/>
          <w:szCs w:val="28"/>
        </w:rPr>
      </w:pPr>
      <w:r w:rsidRPr="00F15EFB">
        <w:rPr>
          <w:rFonts w:ascii="Times New Roman" w:hAnsi="Times New Roman"/>
          <w:sz w:val="28"/>
          <w:szCs w:val="28"/>
        </w:rPr>
        <w:t>Очевидно, доля истины содержится в каждой из этих позиций. Особенности экономической модели стран Юго-Восточной Азии способствовали тому, что именно эти страны оказались в эпицентре кризиса, как, впрочем, и Россия, где некоторые негативные стороны этой модели налицо.</w:t>
      </w:r>
    </w:p>
    <w:p w:rsidR="0029415E" w:rsidRPr="00F15EFB" w:rsidRDefault="0029415E" w:rsidP="00F15EFB">
      <w:pPr>
        <w:spacing w:line="360" w:lineRule="auto"/>
        <w:ind w:firstLine="720"/>
        <w:jc w:val="both"/>
        <w:rPr>
          <w:rFonts w:ascii="Times New Roman" w:hAnsi="Times New Roman"/>
          <w:sz w:val="28"/>
          <w:szCs w:val="28"/>
        </w:rPr>
      </w:pPr>
      <w:r w:rsidRPr="00F15EFB">
        <w:rPr>
          <w:rFonts w:ascii="Times New Roman" w:hAnsi="Times New Roman"/>
          <w:sz w:val="28"/>
          <w:szCs w:val="28"/>
        </w:rPr>
        <w:t>В то же время кризис потряс всю систему международного финансового рынка, актуализировав вопрос о пересмотре ряда фундаментальных догм н</w:t>
      </w:r>
      <w:r w:rsidR="00A11483" w:rsidRPr="00F15EFB">
        <w:rPr>
          <w:rFonts w:ascii="Times New Roman" w:hAnsi="Times New Roman"/>
          <w:sz w:val="28"/>
          <w:szCs w:val="28"/>
        </w:rPr>
        <w:t>е</w:t>
      </w:r>
      <w:r w:rsidRPr="00F15EFB">
        <w:rPr>
          <w:rFonts w:ascii="Times New Roman" w:hAnsi="Times New Roman"/>
          <w:sz w:val="28"/>
          <w:szCs w:val="28"/>
        </w:rPr>
        <w:t>олиберализма. Речь идет о признании того, что стихийные процессы в условиях глобального рынка не укладываются в концепцию монетаризма, так как зависимость между денежной массой, находящейся в обращении, и динамикой номинального ВВП сделалась нестабильной. Государство во многом теряет контроль над движением капитала. По оценкам американского экономиста Р. Аллена, менее 30% рынка ценных бумаг семерки наиболее влиятельных стран контролируются государством или подчинены государственным интересам. Отсюда - настоятельная необходимость создания эффективной системы международного контроля над глобальным рынком, иначе, как считает Дж. Сакс, директор Гарвардского института международного развития, «теория и практика либерализации рынка приведет нас в преддверие ада».</w:t>
      </w:r>
      <w:r w:rsidR="00A11483" w:rsidRPr="00F15EFB">
        <w:rPr>
          <w:rFonts w:ascii="Times New Roman" w:hAnsi="Times New Roman"/>
          <w:sz w:val="28"/>
          <w:szCs w:val="28"/>
        </w:rPr>
        <w:t xml:space="preserve"> Все это подводит к нескольким проблемам</w:t>
      </w:r>
      <w:r w:rsidRPr="00F15EFB">
        <w:rPr>
          <w:rFonts w:ascii="Times New Roman" w:hAnsi="Times New Roman"/>
          <w:sz w:val="28"/>
          <w:szCs w:val="28"/>
        </w:rPr>
        <w:t>, теснейшим образом связанных между собой, без решения которых невозможно избежать дальнейшего развития глобальных кризисных ситуаций: это проблемы национальных валютных систем в условиях глобализации, мирового долгового кризиса и открытости рынка товаров и услуг.</w:t>
      </w:r>
    </w:p>
    <w:p w:rsidR="0029415E" w:rsidRPr="00F15EFB" w:rsidRDefault="0029415E" w:rsidP="00F15EFB">
      <w:pPr>
        <w:spacing w:line="360" w:lineRule="auto"/>
        <w:ind w:firstLine="720"/>
        <w:jc w:val="both"/>
        <w:rPr>
          <w:rFonts w:ascii="Times New Roman" w:hAnsi="Times New Roman"/>
          <w:sz w:val="28"/>
          <w:szCs w:val="28"/>
        </w:rPr>
      </w:pPr>
    </w:p>
    <w:p w:rsidR="0029415E" w:rsidRPr="00F15EFB" w:rsidRDefault="00442E6A" w:rsidP="00F15EFB">
      <w:pPr>
        <w:pStyle w:val="1"/>
        <w:spacing w:before="0" w:after="0" w:line="360" w:lineRule="auto"/>
        <w:ind w:firstLine="720"/>
        <w:jc w:val="both"/>
        <w:rPr>
          <w:rFonts w:ascii="Times New Roman" w:hAnsi="Times New Roman"/>
          <w:b w:val="0"/>
          <w:sz w:val="28"/>
          <w:szCs w:val="28"/>
        </w:rPr>
      </w:pPr>
      <w:bookmarkStart w:id="2" w:name="_Toc243274433"/>
      <w:r w:rsidRPr="00F15EFB">
        <w:rPr>
          <w:rFonts w:ascii="Times New Roman" w:hAnsi="Times New Roman"/>
          <w:b w:val="0"/>
          <w:sz w:val="28"/>
          <w:szCs w:val="28"/>
        </w:rPr>
        <w:t>2 Сущность и виды производных финансовых инструментов</w:t>
      </w:r>
      <w:bookmarkEnd w:id="2"/>
    </w:p>
    <w:p w:rsidR="00442E6A" w:rsidRPr="00F15EFB" w:rsidRDefault="00442E6A" w:rsidP="00F15EFB">
      <w:pPr>
        <w:spacing w:line="360" w:lineRule="auto"/>
        <w:ind w:firstLine="720"/>
        <w:jc w:val="both"/>
        <w:rPr>
          <w:rFonts w:ascii="Times New Roman" w:hAnsi="Times New Roman"/>
          <w:sz w:val="28"/>
          <w:szCs w:val="28"/>
        </w:rPr>
      </w:pPr>
    </w:p>
    <w:p w:rsidR="009241C6" w:rsidRPr="00F15EFB" w:rsidRDefault="009241C6" w:rsidP="00F15EFB">
      <w:pPr>
        <w:pStyle w:val="Style3"/>
        <w:widowControl/>
        <w:spacing w:line="360" w:lineRule="auto"/>
        <w:ind w:firstLine="720"/>
        <w:rPr>
          <w:rStyle w:val="FontStyle28"/>
          <w:sz w:val="28"/>
          <w:szCs w:val="28"/>
        </w:rPr>
      </w:pPr>
      <w:r w:rsidRPr="00F15EFB">
        <w:rPr>
          <w:rStyle w:val="FontStyle28"/>
          <w:sz w:val="28"/>
          <w:szCs w:val="28"/>
        </w:rPr>
        <w:t>Происхождение термина (этимология слова) -</w:t>
      </w:r>
      <w:r w:rsidR="00442E6A" w:rsidRPr="00F15EFB">
        <w:rPr>
          <w:rStyle w:val="FontStyle28"/>
          <w:sz w:val="28"/>
          <w:szCs w:val="28"/>
        </w:rPr>
        <w:t xml:space="preserve"> </w:t>
      </w:r>
      <w:r w:rsidRPr="00F15EFB">
        <w:rPr>
          <w:rStyle w:val="FontStyle28"/>
          <w:sz w:val="28"/>
          <w:szCs w:val="28"/>
        </w:rPr>
        <w:t xml:space="preserve">«производное», «производный». Слово «деривация» латинского происхождения </w:t>
      </w:r>
      <w:r w:rsidRPr="00F15EFB">
        <w:rPr>
          <w:rStyle w:val="FontStyle26"/>
          <w:i w:val="0"/>
          <w:sz w:val="28"/>
          <w:szCs w:val="28"/>
        </w:rPr>
        <w:t>(</w:t>
      </w:r>
      <w:r w:rsidRPr="00F15EFB">
        <w:rPr>
          <w:rStyle w:val="FontStyle26"/>
          <w:i w:val="0"/>
          <w:sz w:val="28"/>
          <w:szCs w:val="28"/>
          <w:lang w:val="en-US"/>
        </w:rPr>
        <w:t>derivatus</w:t>
      </w:r>
      <w:r w:rsidRPr="00F15EFB">
        <w:rPr>
          <w:rStyle w:val="FontStyle26"/>
          <w:i w:val="0"/>
          <w:sz w:val="28"/>
          <w:szCs w:val="28"/>
        </w:rPr>
        <w:t xml:space="preserve"> — </w:t>
      </w:r>
      <w:r w:rsidRPr="00F15EFB">
        <w:rPr>
          <w:rStyle w:val="FontStyle28"/>
          <w:sz w:val="28"/>
          <w:szCs w:val="28"/>
        </w:rPr>
        <w:t xml:space="preserve">отведенный, </w:t>
      </w:r>
      <w:r w:rsidRPr="00F15EFB">
        <w:rPr>
          <w:rStyle w:val="FontStyle26"/>
          <w:i w:val="0"/>
          <w:sz w:val="28"/>
          <w:szCs w:val="28"/>
          <w:lang w:val="en-US"/>
        </w:rPr>
        <w:t>derivatio</w:t>
      </w:r>
      <w:r w:rsidRPr="00F15EFB">
        <w:rPr>
          <w:rStyle w:val="FontStyle26"/>
          <w:i w:val="0"/>
          <w:sz w:val="28"/>
          <w:szCs w:val="28"/>
        </w:rPr>
        <w:t xml:space="preserve"> — </w:t>
      </w:r>
      <w:r w:rsidRPr="00F15EFB">
        <w:rPr>
          <w:rStyle w:val="FontStyle28"/>
          <w:sz w:val="28"/>
          <w:szCs w:val="28"/>
        </w:rPr>
        <w:t xml:space="preserve">отведение, отклонение); оно означает — производное от чего-либо ранее существовавшего. Этот термин давно и устойчиво используется в филологии, биологии, химии и других областях знаний. С немецкого языка </w:t>
      </w:r>
      <w:r w:rsidRPr="00F15EFB">
        <w:rPr>
          <w:rStyle w:val="FontStyle26"/>
          <w:i w:val="0"/>
          <w:sz w:val="28"/>
          <w:szCs w:val="28"/>
          <w:lang w:val="en-US"/>
        </w:rPr>
        <w:t>das</w:t>
      </w:r>
      <w:r w:rsidRPr="00F15EFB">
        <w:rPr>
          <w:rStyle w:val="FontStyle26"/>
          <w:i w:val="0"/>
          <w:sz w:val="28"/>
          <w:szCs w:val="28"/>
        </w:rPr>
        <w:t xml:space="preserve"> </w:t>
      </w:r>
      <w:r w:rsidRPr="00F15EFB">
        <w:rPr>
          <w:rStyle w:val="FontStyle26"/>
          <w:i w:val="0"/>
          <w:sz w:val="28"/>
          <w:szCs w:val="28"/>
          <w:lang w:val="en-US"/>
        </w:rPr>
        <w:t>Derivat</w:t>
      </w:r>
      <w:r w:rsidRPr="00F15EFB">
        <w:rPr>
          <w:rStyle w:val="FontStyle26"/>
          <w:i w:val="0"/>
          <w:sz w:val="28"/>
          <w:szCs w:val="28"/>
        </w:rPr>
        <w:t xml:space="preserve"> </w:t>
      </w:r>
      <w:r w:rsidRPr="00F15EFB">
        <w:rPr>
          <w:rStyle w:val="FontStyle28"/>
          <w:sz w:val="28"/>
          <w:szCs w:val="28"/>
        </w:rPr>
        <w:t xml:space="preserve">переводится как: 1) производное слово (лингвистика); 2) производное вещество (химия). </w:t>
      </w:r>
      <w:r w:rsidRPr="00F15EFB">
        <w:rPr>
          <w:rStyle w:val="FontStyle26"/>
          <w:i w:val="0"/>
          <w:sz w:val="28"/>
          <w:szCs w:val="28"/>
          <w:lang w:val="en-US"/>
        </w:rPr>
        <w:t>Das</w:t>
      </w:r>
      <w:r w:rsidRPr="00F15EFB">
        <w:rPr>
          <w:rStyle w:val="FontStyle26"/>
          <w:i w:val="0"/>
          <w:sz w:val="28"/>
          <w:szCs w:val="28"/>
        </w:rPr>
        <w:t xml:space="preserve"> </w:t>
      </w:r>
      <w:r w:rsidRPr="00F15EFB">
        <w:rPr>
          <w:rStyle w:val="FontStyle26"/>
          <w:i w:val="0"/>
          <w:sz w:val="28"/>
          <w:szCs w:val="28"/>
          <w:lang w:val="en-US"/>
        </w:rPr>
        <w:t>Derivativ</w:t>
      </w:r>
      <w:r w:rsidRPr="00F15EFB">
        <w:rPr>
          <w:rStyle w:val="FontStyle26"/>
          <w:i w:val="0"/>
          <w:sz w:val="28"/>
          <w:szCs w:val="28"/>
        </w:rPr>
        <w:t xml:space="preserve">, </w:t>
      </w:r>
      <w:r w:rsidRPr="00F15EFB">
        <w:rPr>
          <w:rStyle w:val="FontStyle26"/>
          <w:i w:val="0"/>
          <w:sz w:val="28"/>
          <w:szCs w:val="28"/>
          <w:lang w:val="en-US"/>
        </w:rPr>
        <w:t>das</w:t>
      </w:r>
      <w:r w:rsidRPr="00F15EFB">
        <w:rPr>
          <w:rStyle w:val="FontStyle26"/>
          <w:i w:val="0"/>
          <w:sz w:val="28"/>
          <w:szCs w:val="28"/>
        </w:rPr>
        <w:t xml:space="preserve"> </w:t>
      </w:r>
      <w:r w:rsidRPr="00F15EFB">
        <w:rPr>
          <w:rStyle w:val="FontStyle26"/>
          <w:i w:val="0"/>
          <w:sz w:val="28"/>
          <w:szCs w:val="28"/>
          <w:lang w:val="en-US"/>
        </w:rPr>
        <w:t>Derivativum</w:t>
      </w:r>
      <w:r w:rsidRPr="00F15EFB">
        <w:rPr>
          <w:rStyle w:val="FontStyle26"/>
          <w:i w:val="0"/>
          <w:sz w:val="28"/>
          <w:szCs w:val="28"/>
        </w:rPr>
        <w:t xml:space="preserve"> </w:t>
      </w:r>
      <w:r w:rsidRPr="00F15EFB">
        <w:rPr>
          <w:rStyle w:val="FontStyle28"/>
          <w:sz w:val="28"/>
          <w:szCs w:val="28"/>
        </w:rPr>
        <w:t xml:space="preserve">переводятся так же, как слово </w:t>
      </w:r>
      <w:r w:rsidRPr="00F15EFB">
        <w:rPr>
          <w:rStyle w:val="FontStyle26"/>
          <w:i w:val="0"/>
          <w:sz w:val="28"/>
          <w:szCs w:val="28"/>
          <w:lang w:val="en-US"/>
        </w:rPr>
        <w:t>das</w:t>
      </w:r>
      <w:r w:rsidRPr="00F15EFB">
        <w:rPr>
          <w:rStyle w:val="FontStyle26"/>
          <w:i w:val="0"/>
          <w:sz w:val="28"/>
          <w:szCs w:val="28"/>
        </w:rPr>
        <w:t xml:space="preserve"> </w:t>
      </w:r>
      <w:r w:rsidRPr="00F15EFB">
        <w:rPr>
          <w:rStyle w:val="FontStyle26"/>
          <w:i w:val="0"/>
          <w:sz w:val="28"/>
          <w:szCs w:val="28"/>
          <w:lang w:val="en-US"/>
        </w:rPr>
        <w:t>Derivat</w:t>
      </w:r>
      <w:r w:rsidRPr="00F15EFB">
        <w:rPr>
          <w:rStyle w:val="FontStyle26"/>
          <w:i w:val="0"/>
          <w:sz w:val="28"/>
          <w:szCs w:val="28"/>
        </w:rPr>
        <w:t xml:space="preserve">. </w:t>
      </w:r>
      <w:r w:rsidRPr="00F15EFB">
        <w:rPr>
          <w:rStyle w:val="FontStyle28"/>
          <w:sz w:val="28"/>
          <w:szCs w:val="28"/>
        </w:rPr>
        <w:t xml:space="preserve">В английском языке </w:t>
      </w:r>
      <w:r w:rsidRPr="00F15EFB">
        <w:rPr>
          <w:rStyle w:val="FontStyle26"/>
          <w:i w:val="0"/>
          <w:sz w:val="28"/>
          <w:szCs w:val="28"/>
          <w:lang w:val="en-US"/>
        </w:rPr>
        <w:t>Derivative</w:t>
      </w:r>
      <w:r w:rsidRPr="00F15EFB">
        <w:rPr>
          <w:rStyle w:val="FontStyle26"/>
          <w:i w:val="0"/>
          <w:sz w:val="28"/>
          <w:szCs w:val="28"/>
        </w:rPr>
        <w:t xml:space="preserve"> — </w:t>
      </w:r>
      <w:r w:rsidRPr="00F15EFB">
        <w:rPr>
          <w:rStyle w:val="FontStyle28"/>
          <w:sz w:val="28"/>
          <w:szCs w:val="28"/>
        </w:rPr>
        <w:t>производное слово (лингвистика), производная (функция), производный.</w:t>
      </w:r>
      <w:r w:rsidR="00F15EFB" w:rsidRPr="00F15EFB">
        <w:rPr>
          <w:rStyle w:val="FontStyle28"/>
          <w:sz w:val="28"/>
          <w:szCs w:val="28"/>
        </w:rPr>
        <w:t xml:space="preserve"> </w:t>
      </w:r>
      <w:r w:rsidRPr="00F15EFB">
        <w:rPr>
          <w:rStyle w:val="FontStyle28"/>
          <w:sz w:val="28"/>
          <w:szCs w:val="28"/>
        </w:rPr>
        <w:t xml:space="preserve">Отсюда в русских переводах появились «производные продукты-инструменты», «производные ценные бумаги». Допустимо применение в русском языке профессионального термина «дериват». </w:t>
      </w:r>
    </w:p>
    <w:p w:rsidR="00A11483" w:rsidRPr="00F15EFB" w:rsidRDefault="00A11483" w:rsidP="00F15EFB">
      <w:pPr>
        <w:pStyle w:val="Style3"/>
        <w:widowControl/>
        <w:spacing w:line="360" w:lineRule="auto"/>
        <w:ind w:firstLine="720"/>
        <w:rPr>
          <w:rStyle w:val="FontStyle28"/>
          <w:sz w:val="28"/>
          <w:szCs w:val="28"/>
        </w:rPr>
      </w:pPr>
      <w:r w:rsidRPr="00F15EFB">
        <w:rPr>
          <w:rStyle w:val="FontStyle28"/>
          <w:sz w:val="28"/>
          <w:szCs w:val="28"/>
        </w:rPr>
        <w:t>Дериватив (Derivative) – производный финансовый инструмент на основе обращающихся ценных бумаг: опцион, фьючерс, варрант, своп, базирующийся на курсах валют, ценных бумаг или товаров. Например, цены фьючерсных контрактов определяются стоимостью продаваемых по ним товаров. Дериватив позволяет его владельцу зафиксировать благоприятные с его точки зрения цены на покупку или продажу. Продавцами являются брокерские конторы или банки, берущие на себя риск неблагоприятного для их клиентов движения цен. Производные инструменты, или деривативы, могут использоваться для хеджирования позиции или для установления “синтетической” открытой позиции.</w:t>
      </w:r>
    </w:p>
    <w:p w:rsidR="009241C6" w:rsidRPr="00F15EFB" w:rsidRDefault="009241C6" w:rsidP="00F15EFB">
      <w:pPr>
        <w:pStyle w:val="Style3"/>
        <w:widowControl/>
        <w:spacing w:line="360" w:lineRule="auto"/>
        <w:ind w:firstLine="720"/>
        <w:rPr>
          <w:rStyle w:val="FontStyle28"/>
          <w:sz w:val="28"/>
          <w:szCs w:val="28"/>
        </w:rPr>
      </w:pPr>
      <w:r w:rsidRPr="00F15EFB">
        <w:rPr>
          <w:rStyle w:val="FontStyle28"/>
          <w:sz w:val="28"/>
          <w:szCs w:val="28"/>
        </w:rPr>
        <w:t>Состав производных продуктов-инструментов. В настоящее время с данными отношениями связывают имущественные права, представленные в производных финансовых и товарных продуктах, реализуемые в виде производных финансовых и товарных инструментов.</w:t>
      </w:r>
    </w:p>
    <w:p w:rsidR="009241C6" w:rsidRPr="00F15EFB" w:rsidRDefault="009241C6" w:rsidP="00F15EFB">
      <w:pPr>
        <w:pStyle w:val="Style3"/>
        <w:widowControl/>
        <w:spacing w:line="360" w:lineRule="auto"/>
        <w:ind w:firstLine="720"/>
        <w:rPr>
          <w:rStyle w:val="FontStyle28"/>
          <w:sz w:val="28"/>
          <w:szCs w:val="28"/>
        </w:rPr>
      </w:pPr>
      <w:r w:rsidRPr="00F15EFB">
        <w:rPr>
          <w:rStyle w:val="FontStyle28"/>
          <w:sz w:val="28"/>
          <w:szCs w:val="28"/>
        </w:rPr>
        <w:t>Основные финансовые продукты-инструменты, используемые па срочных рынках в мире, укру</w:t>
      </w:r>
      <w:r w:rsidR="0029415E" w:rsidRPr="00F15EFB">
        <w:rPr>
          <w:rStyle w:val="FontStyle28"/>
          <w:sz w:val="28"/>
          <w:szCs w:val="28"/>
        </w:rPr>
        <w:t>п</w:t>
      </w:r>
      <w:r w:rsidRPr="00F15EFB">
        <w:rPr>
          <w:rStyle w:val="FontStyle28"/>
          <w:sz w:val="28"/>
          <w:szCs w:val="28"/>
        </w:rPr>
        <w:t>ненно сведены в следующий перечень.</w:t>
      </w:r>
    </w:p>
    <w:p w:rsidR="009241C6" w:rsidRPr="00F15EFB" w:rsidRDefault="0029415E" w:rsidP="00F15EFB">
      <w:pPr>
        <w:pStyle w:val="Style3"/>
        <w:widowControl/>
        <w:spacing w:line="360" w:lineRule="auto"/>
        <w:ind w:firstLine="720"/>
        <w:rPr>
          <w:rStyle w:val="FontStyle28"/>
          <w:sz w:val="28"/>
          <w:szCs w:val="28"/>
        </w:rPr>
      </w:pPr>
      <w:r w:rsidRPr="00F15EFB">
        <w:rPr>
          <w:rStyle w:val="FontStyle28"/>
          <w:sz w:val="28"/>
          <w:szCs w:val="28"/>
        </w:rPr>
        <w:t>А</w:t>
      </w:r>
      <w:r w:rsidR="009241C6" w:rsidRPr="00F15EFB">
        <w:rPr>
          <w:rStyle w:val="FontStyle28"/>
          <w:sz w:val="28"/>
          <w:szCs w:val="28"/>
        </w:rPr>
        <w:t xml:space="preserve">. </w:t>
      </w:r>
      <w:r w:rsidR="009241C6" w:rsidRPr="00F15EFB">
        <w:rPr>
          <w:rStyle w:val="FontStyle29"/>
          <w:b w:val="0"/>
          <w:i w:val="0"/>
          <w:sz w:val="28"/>
          <w:szCs w:val="28"/>
        </w:rPr>
        <w:t xml:space="preserve">Безупречные </w:t>
      </w:r>
      <w:r w:rsidR="009241C6" w:rsidRPr="00F15EFB">
        <w:rPr>
          <w:rStyle w:val="FontStyle28"/>
          <w:sz w:val="28"/>
          <w:szCs w:val="28"/>
        </w:rPr>
        <w:t>финансовые производные:</w:t>
      </w:r>
    </w:p>
    <w:p w:rsidR="009241C6" w:rsidRPr="00F15EFB" w:rsidRDefault="009241C6" w:rsidP="00F15EFB">
      <w:pPr>
        <w:pStyle w:val="Style10"/>
        <w:widowControl/>
        <w:numPr>
          <w:ilvl w:val="0"/>
          <w:numId w:val="1"/>
        </w:numPr>
        <w:tabs>
          <w:tab w:val="left" w:pos="533"/>
        </w:tabs>
        <w:spacing w:line="360" w:lineRule="auto"/>
        <w:ind w:firstLine="720"/>
        <w:jc w:val="both"/>
        <w:rPr>
          <w:rStyle w:val="FontStyle28"/>
          <w:sz w:val="28"/>
          <w:szCs w:val="28"/>
        </w:rPr>
      </w:pPr>
      <w:r w:rsidRPr="00F15EFB">
        <w:rPr>
          <w:rStyle w:val="FontStyle28"/>
          <w:sz w:val="28"/>
          <w:szCs w:val="28"/>
        </w:rPr>
        <w:t>фьючерс;</w:t>
      </w:r>
    </w:p>
    <w:p w:rsidR="009241C6" w:rsidRPr="00F15EFB" w:rsidRDefault="009241C6" w:rsidP="00F15EFB">
      <w:pPr>
        <w:pStyle w:val="Style10"/>
        <w:widowControl/>
        <w:numPr>
          <w:ilvl w:val="0"/>
          <w:numId w:val="1"/>
        </w:numPr>
        <w:tabs>
          <w:tab w:val="left" w:pos="533"/>
        </w:tabs>
        <w:spacing w:line="360" w:lineRule="auto"/>
        <w:ind w:firstLine="720"/>
        <w:jc w:val="both"/>
        <w:rPr>
          <w:rStyle w:val="FontStyle28"/>
          <w:sz w:val="28"/>
          <w:szCs w:val="28"/>
        </w:rPr>
      </w:pPr>
      <w:r w:rsidRPr="00F15EFB">
        <w:rPr>
          <w:rStyle w:val="FontStyle28"/>
          <w:sz w:val="28"/>
          <w:szCs w:val="28"/>
        </w:rPr>
        <w:t>опцион;</w:t>
      </w:r>
    </w:p>
    <w:p w:rsidR="009241C6" w:rsidRPr="00F15EFB" w:rsidRDefault="009241C6" w:rsidP="00F15EFB">
      <w:pPr>
        <w:pStyle w:val="Style10"/>
        <w:widowControl/>
        <w:numPr>
          <w:ilvl w:val="0"/>
          <w:numId w:val="1"/>
        </w:numPr>
        <w:tabs>
          <w:tab w:val="left" w:pos="533"/>
        </w:tabs>
        <w:spacing w:line="360" w:lineRule="auto"/>
        <w:ind w:firstLine="720"/>
        <w:jc w:val="both"/>
        <w:rPr>
          <w:rStyle w:val="FontStyle28"/>
          <w:sz w:val="28"/>
          <w:szCs w:val="28"/>
        </w:rPr>
      </w:pPr>
      <w:r w:rsidRPr="00F15EFB">
        <w:rPr>
          <w:rStyle w:val="FontStyle28"/>
          <w:sz w:val="28"/>
          <w:szCs w:val="28"/>
        </w:rPr>
        <w:t>своп;</w:t>
      </w:r>
    </w:p>
    <w:p w:rsidR="009241C6" w:rsidRPr="00F15EFB" w:rsidRDefault="009241C6" w:rsidP="00F15EFB">
      <w:pPr>
        <w:pStyle w:val="Style10"/>
        <w:widowControl/>
        <w:numPr>
          <w:ilvl w:val="0"/>
          <w:numId w:val="1"/>
        </w:numPr>
        <w:tabs>
          <w:tab w:val="left" w:pos="533"/>
        </w:tabs>
        <w:spacing w:line="360" w:lineRule="auto"/>
        <w:ind w:firstLine="720"/>
        <w:jc w:val="both"/>
        <w:rPr>
          <w:rStyle w:val="FontStyle28"/>
          <w:sz w:val="28"/>
          <w:szCs w:val="28"/>
        </w:rPr>
      </w:pPr>
      <w:r w:rsidRPr="00F15EFB">
        <w:rPr>
          <w:rStyle w:val="FontStyle28"/>
          <w:sz w:val="28"/>
          <w:szCs w:val="28"/>
        </w:rPr>
        <w:t xml:space="preserve">кэп, кэпцион </w:t>
      </w:r>
      <w:r w:rsidRPr="00F15EFB">
        <w:rPr>
          <w:rStyle w:val="FontStyle28"/>
          <w:sz w:val="28"/>
          <w:szCs w:val="28"/>
          <w:lang w:val="en-US"/>
        </w:rPr>
        <w:t>(Cap, Caption);</w:t>
      </w:r>
    </w:p>
    <w:p w:rsidR="009241C6" w:rsidRPr="00F15EFB" w:rsidRDefault="009241C6" w:rsidP="00F15EFB">
      <w:pPr>
        <w:pStyle w:val="Style10"/>
        <w:widowControl/>
        <w:numPr>
          <w:ilvl w:val="0"/>
          <w:numId w:val="1"/>
        </w:numPr>
        <w:tabs>
          <w:tab w:val="left" w:pos="533"/>
        </w:tabs>
        <w:spacing w:line="360" w:lineRule="auto"/>
        <w:ind w:firstLine="720"/>
        <w:jc w:val="both"/>
        <w:rPr>
          <w:rStyle w:val="FontStyle28"/>
          <w:sz w:val="28"/>
          <w:szCs w:val="28"/>
          <w:lang w:val="en-US"/>
        </w:rPr>
      </w:pPr>
      <w:r w:rsidRPr="00F15EFB">
        <w:rPr>
          <w:rStyle w:val="FontStyle28"/>
          <w:sz w:val="28"/>
          <w:szCs w:val="28"/>
        </w:rPr>
        <w:t>флоо</w:t>
      </w:r>
      <w:r w:rsidRPr="00F15EFB">
        <w:rPr>
          <w:rStyle w:val="FontStyle28"/>
          <w:sz w:val="28"/>
          <w:szCs w:val="28"/>
          <w:lang w:val="en-US"/>
        </w:rPr>
        <w:t xml:space="preserve">, </w:t>
      </w:r>
      <w:r w:rsidRPr="00F15EFB">
        <w:rPr>
          <w:rStyle w:val="FontStyle28"/>
          <w:sz w:val="28"/>
          <w:szCs w:val="28"/>
        </w:rPr>
        <w:t>флоорцион</w:t>
      </w:r>
      <w:r w:rsidRPr="00F15EFB">
        <w:rPr>
          <w:rStyle w:val="FontStyle28"/>
          <w:sz w:val="28"/>
          <w:szCs w:val="28"/>
          <w:lang w:val="en-US"/>
        </w:rPr>
        <w:t xml:space="preserve">, </w:t>
      </w:r>
      <w:r w:rsidRPr="00F15EFB">
        <w:rPr>
          <w:rStyle w:val="FontStyle28"/>
          <w:sz w:val="28"/>
          <w:szCs w:val="28"/>
        </w:rPr>
        <w:t>флоицион</w:t>
      </w:r>
      <w:r w:rsidRPr="00F15EFB">
        <w:rPr>
          <w:rStyle w:val="FontStyle28"/>
          <w:sz w:val="28"/>
          <w:szCs w:val="28"/>
          <w:lang w:val="en-US"/>
        </w:rPr>
        <w:t xml:space="preserve"> (Floor, Floortion, Floption);</w:t>
      </w:r>
    </w:p>
    <w:p w:rsidR="009241C6" w:rsidRPr="00F15EFB" w:rsidRDefault="009241C6" w:rsidP="00F15EFB">
      <w:pPr>
        <w:pStyle w:val="Style10"/>
        <w:widowControl/>
        <w:numPr>
          <w:ilvl w:val="0"/>
          <w:numId w:val="1"/>
        </w:numPr>
        <w:tabs>
          <w:tab w:val="left" w:pos="533"/>
        </w:tabs>
        <w:spacing w:line="360" w:lineRule="auto"/>
        <w:ind w:firstLine="720"/>
        <w:jc w:val="both"/>
        <w:rPr>
          <w:rStyle w:val="FontStyle28"/>
          <w:sz w:val="28"/>
          <w:szCs w:val="28"/>
          <w:lang w:val="en-US"/>
        </w:rPr>
      </w:pPr>
      <w:r w:rsidRPr="00F15EFB">
        <w:rPr>
          <w:rStyle w:val="FontStyle28"/>
          <w:sz w:val="28"/>
          <w:szCs w:val="28"/>
        </w:rPr>
        <w:t>соглашение</w:t>
      </w:r>
      <w:r w:rsidRPr="00F15EFB">
        <w:rPr>
          <w:rStyle w:val="FontStyle28"/>
          <w:sz w:val="28"/>
          <w:szCs w:val="28"/>
          <w:lang w:val="en-US"/>
        </w:rPr>
        <w:t xml:space="preserve"> </w:t>
      </w:r>
      <w:r w:rsidRPr="00F15EFB">
        <w:rPr>
          <w:rStyle w:val="FontStyle28"/>
          <w:sz w:val="28"/>
          <w:szCs w:val="28"/>
        </w:rPr>
        <w:t>о</w:t>
      </w:r>
      <w:r w:rsidRPr="00F15EFB">
        <w:rPr>
          <w:rStyle w:val="FontStyle28"/>
          <w:sz w:val="28"/>
          <w:szCs w:val="28"/>
          <w:lang w:val="en-US"/>
        </w:rPr>
        <w:t xml:space="preserve"> </w:t>
      </w:r>
      <w:r w:rsidRPr="00F15EFB">
        <w:rPr>
          <w:rStyle w:val="FontStyle28"/>
          <w:sz w:val="28"/>
          <w:szCs w:val="28"/>
        </w:rPr>
        <w:t>будущей</w:t>
      </w:r>
      <w:r w:rsidRPr="00F15EFB">
        <w:rPr>
          <w:rStyle w:val="FontStyle28"/>
          <w:sz w:val="28"/>
          <w:szCs w:val="28"/>
          <w:lang w:val="en-US"/>
        </w:rPr>
        <w:t xml:space="preserve"> </w:t>
      </w:r>
      <w:r w:rsidRPr="00F15EFB">
        <w:rPr>
          <w:rStyle w:val="FontStyle28"/>
          <w:sz w:val="28"/>
          <w:szCs w:val="28"/>
        </w:rPr>
        <w:t>процентной</w:t>
      </w:r>
      <w:r w:rsidRPr="00F15EFB">
        <w:rPr>
          <w:rStyle w:val="FontStyle28"/>
          <w:sz w:val="28"/>
          <w:szCs w:val="28"/>
          <w:lang w:val="en-US"/>
        </w:rPr>
        <w:t xml:space="preserve"> </w:t>
      </w:r>
      <w:r w:rsidRPr="00F15EFB">
        <w:rPr>
          <w:rStyle w:val="FontStyle28"/>
          <w:sz w:val="28"/>
          <w:szCs w:val="28"/>
        </w:rPr>
        <w:t>ставке</w:t>
      </w:r>
      <w:r w:rsidRPr="00F15EFB">
        <w:rPr>
          <w:rStyle w:val="FontStyle28"/>
          <w:sz w:val="28"/>
          <w:szCs w:val="28"/>
          <w:lang w:val="en-US"/>
        </w:rPr>
        <w:t xml:space="preserve"> (Future Rate Agreement, Forward Rate Agreement — FRA);</w:t>
      </w:r>
    </w:p>
    <w:p w:rsidR="009241C6" w:rsidRPr="00F15EFB" w:rsidRDefault="009241C6" w:rsidP="00F15EFB">
      <w:pPr>
        <w:pStyle w:val="Style10"/>
        <w:widowControl/>
        <w:numPr>
          <w:ilvl w:val="0"/>
          <w:numId w:val="1"/>
        </w:numPr>
        <w:tabs>
          <w:tab w:val="left" w:pos="533"/>
        </w:tabs>
        <w:spacing w:line="360" w:lineRule="auto"/>
        <w:ind w:firstLine="720"/>
        <w:jc w:val="both"/>
        <w:rPr>
          <w:rStyle w:val="FontStyle28"/>
          <w:sz w:val="28"/>
          <w:szCs w:val="28"/>
        </w:rPr>
      </w:pPr>
      <w:r w:rsidRPr="00F15EFB">
        <w:rPr>
          <w:rStyle w:val="FontStyle28"/>
          <w:sz w:val="28"/>
          <w:szCs w:val="28"/>
        </w:rPr>
        <w:t xml:space="preserve">соглашение о будущем валютном курсе </w:t>
      </w:r>
      <w:r w:rsidRPr="00F15EFB">
        <w:rPr>
          <w:rStyle w:val="FontStyle28"/>
          <w:sz w:val="28"/>
          <w:szCs w:val="28"/>
          <w:lang w:val="en-US"/>
        </w:rPr>
        <w:t xml:space="preserve">(Forward Foreign Exchange Contracts </w:t>
      </w:r>
      <w:r w:rsidRPr="00F15EFB">
        <w:rPr>
          <w:rStyle w:val="FontStyle28"/>
          <w:sz w:val="28"/>
          <w:szCs w:val="28"/>
        </w:rPr>
        <w:t xml:space="preserve">— </w:t>
      </w:r>
      <w:r w:rsidRPr="00F15EFB">
        <w:rPr>
          <w:rStyle w:val="FontStyle28"/>
          <w:sz w:val="28"/>
          <w:szCs w:val="28"/>
          <w:lang w:val="en-US"/>
        </w:rPr>
        <w:t>FEC).</w:t>
      </w:r>
    </w:p>
    <w:p w:rsidR="009241C6" w:rsidRPr="00F15EFB" w:rsidRDefault="009241C6" w:rsidP="00F15EFB">
      <w:pPr>
        <w:pStyle w:val="Style3"/>
        <w:widowControl/>
        <w:spacing w:line="360" w:lineRule="auto"/>
        <w:ind w:firstLine="720"/>
        <w:rPr>
          <w:rStyle w:val="FontStyle28"/>
          <w:sz w:val="28"/>
          <w:szCs w:val="28"/>
        </w:rPr>
      </w:pPr>
      <w:r w:rsidRPr="00F15EFB">
        <w:rPr>
          <w:rStyle w:val="FontStyle28"/>
          <w:sz w:val="28"/>
          <w:szCs w:val="28"/>
        </w:rPr>
        <w:t xml:space="preserve">Б. Созданы и развиваются финансовые </w:t>
      </w:r>
      <w:r w:rsidRPr="00F15EFB">
        <w:rPr>
          <w:rStyle w:val="FontStyle29"/>
          <w:b w:val="0"/>
          <w:i w:val="0"/>
          <w:sz w:val="28"/>
          <w:szCs w:val="28"/>
        </w:rPr>
        <w:t xml:space="preserve">экзотические </w:t>
      </w:r>
      <w:r w:rsidRPr="00F15EFB">
        <w:rPr>
          <w:rStyle w:val="FontStyle28"/>
          <w:sz w:val="28"/>
          <w:szCs w:val="28"/>
        </w:rPr>
        <w:t>производные.</w:t>
      </w:r>
    </w:p>
    <w:p w:rsidR="009241C6" w:rsidRPr="00F15EFB" w:rsidRDefault="009241C6" w:rsidP="00F15EFB">
      <w:pPr>
        <w:pStyle w:val="Style3"/>
        <w:widowControl/>
        <w:spacing w:line="360" w:lineRule="auto"/>
        <w:ind w:firstLine="720"/>
        <w:rPr>
          <w:rStyle w:val="FontStyle28"/>
          <w:sz w:val="28"/>
          <w:szCs w:val="28"/>
        </w:rPr>
      </w:pPr>
      <w:r w:rsidRPr="00F15EFB">
        <w:rPr>
          <w:rStyle w:val="FontStyle28"/>
          <w:sz w:val="28"/>
          <w:szCs w:val="28"/>
        </w:rPr>
        <w:t xml:space="preserve">В. Появились и широко представлены на рынках финансовые </w:t>
      </w:r>
      <w:r w:rsidRPr="00F15EFB">
        <w:rPr>
          <w:rStyle w:val="FontStyle29"/>
          <w:b w:val="0"/>
          <w:i w:val="0"/>
          <w:sz w:val="28"/>
          <w:szCs w:val="28"/>
        </w:rPr>
        <w:t xml:space="preserve">комбинированные </w:t>
      </w:r>
      <w:r w:rsidRPr="00F15EFB">
        <w:rPr>
          <w:rStyle w:val="FontStyle28"/>
          <w:sz w:val="28"/>
          <w:szCs w:val="28"/>
        </w:rPr>
        <w:t>(комплексные, гибридные) производные (</w:t>
      </w:r>
      <w:r w:rsidRPr="00F15EFB">
        <w:rPr>
          <w:rStyle w:val="FontStyle28"/>
          <w:sz w:val="28"/>
          <w:szCs w:val="28"/>
          <w:lang w:val="en-US"/>
        </w:rPr>
        <w:t>Structured</w:t>
      </w:r>
      <w:r w:rsidRPr="00F15EFB">
        <w:rPr>
          <w:rStyle w:val="FontStyle28"/>
          <w:sz w:val="28"/>
          <w:szCs w:val="28"/>
        </w:rPr>
        <w:t xml:space="preserve"> </w:t>
      </w:r>
      <w:r w:rsidRPr="00F15EFB">
        <w:rPr>
          <w:rStyle w:val="FontStyle28"/>
          <w:sz w:val="28"/>
          <w:szCs w:val="28"/>
          <w:lang w:val="en-US"/>
        </w:rPr>
        <w:t>Products</w:t>
      </w:r>
      <w:r w:rsidRPr="00F15EFB">
        <w:rPr>
          <w:rStyle w:val="FontStyle28"/>
          <w:sz w:val="28"/>
          <w:szCs w:val="28"/>
        </w:rPr>
        <w:t>).</w:t>
      </w:r>
    </w:p>
    <w:p w:rsidR="009241C6" w:rsidRPr="00F15EFB" w:rsidRDefault="009241C6" w:rsidP="00F15EFB">
      <w:pPr>
        <w:pStyle w:val="Style3"/>
        <w:widowControl/>
        <w:spacing w:line="360" w:lineRule="auto"/>
        <w:ind w:firstLine="720"/>
        <w:rPr>
          <w:rStyle w:val="FontStyle28"/>
          <w:sz w:val="28"/>
          <w:szCs w:val="28"/>
        </w:rPr>
      </w:pPr>
      <w:r w:rsidRPr="00F15EFB">
        <w:rPr>
          <w:rStyle w:val="FontStyle28"/>
          <w:sz w:val="28"/>
          <w:szCs w:val="28"/>
        </w:rPr>
        <w:t xml:space="preserve">Г. Собственно финансовые </w:t>
      </w:r>
      <w:r w:rsidRPr="00F15EFB">
        <w:rPr>
          <w:rStyle w:val="FontStyle29"/>
          <w:b w:val="0"/>
          <w:i w:val="0"/>
          <w:sz w:val="28"/>
          <w:szCs w:val="28"/>
        </w:rPr>
        <w:t xml:space="preserve">срочные </w:t>
      </w:r>
      <w:r w:rsidRPr="00F15EFB">
        <w:rPr>
          <w:rStyle w:val="FontStyle28"/>
          <w:sz w:val="28"/>
          <w:szCs w:val="28"/>
        </w:rPr>
        <w:t>продукты-инструменты, существующие в виде форвардных сделок.</w:t>
      </w:r>
    </w:p>
    <w:p w:rsidR="009241C6" w:rsidRPr="00F15EFB" w:rsidRDefault="009241C6" w:rsidP="00F15EFB">
      <w:pPr>
        <w:pStyle w:val="Style3"/>
        <w:widowControl/>
        <w:spacing w:line="360" w:lineRule="auto"/>
        <w:ind w:firstLine="720"/>
        <w:rPr>
          <w:rStyle w:val="FontStyle28"/>
          <w:sz w:val="28"/>
          <w:szCs w:val="28"/>
        </w:rPr>
      </w:pPr>
      <w:r w:rsidRPr="00F15EFB">
        <w:rPr>
          <w:rStyle w:val="FontStyle28"/>
          <w:sz w:val="28"/>
          <w:szCs w:val="28"/>
        </w:rPr>
        <w:t>Укажем (также укрупненно) основные производные товарные продукты-инструменты:</w:t>
      </w:r>
    </w:p>
    <w:p w:rsidR="009241C6" w:rsidRPr="00F15EFB" w:rsidRDefault="009241C6" w:rsidP="00F15EFB">
      <w:pPr>
        <w:pStyle w:val="Style14"/>
        <w:widowControl/>
        <w:numPr>
          <w:ilvl w:val="0"/>
          <w:numId w:val="1"/>
        </w:numPr>
        <w:tabs>
          <w:tab w:val="left" w:pos="583"/>
        </w:tabs>
        <w:spacing w:line="360" w:lineRule="auto"/>
        <w:ind w:firstLine="720"/>
        <w:jc w:val="both"/>
        <w:rPr>
          <w:rStyle w:val="FontStyle28"/>
          <w:sz w:val="28"/>
          <w:szCs w:val="28"/>
        </w:rPr>
      </w:pPr>
      <w:r w:rsidRPr="00F15EFB">
        <w:rPr>
          <w:rStyle w:val="FontStyle28"/>
          <w:sz w:val="28"/>
          <w:szCs w:val="28"/>
        </w:rPr>
        <w:t>фьючерс на зерно;</w:t>
      </w:r>
    </w:p>
    <w:p w:rsidR="009241C6" w:rsidRPr="00F15EFB" w:rsidRDefault="009241C6" w:rsidP="00F15EFB">
      <w:pPr>
        <w:pStyle w:val="Style14"/>
        <w:widowControl/>
        <w:numPr>
          <w:ilvl w:val="0"/>
          <w:numId w:val="1"/>
        </w:numPr>
        <w:tabs>
          <w:tab w:val="left" w:pos="583"/>
        </w:tabs>
        <w:spacing w:line="360" w:lineRule="auto"/>
        <w:ind w:firstLine="720"/>
        <w:jc w:val="both"/>
        <w:rPr>
          <w:rStyle w:val="FontStyle28"/>
          <w:sz w:val="28"/>
          <w:szCs w:val="28"/>
        </w:rPr>
      </w:pPr>
      <w:r w:rsidRPr="00F15EFB">
        <w:rPr>
          <w:rStyle w:val="FontStyle28"/>
          <w:sz w:val="28"/>
          <w:szCs w:val="28"/>
        </w:rPr>
        <w:t>фьючерс на золото;</w:t>
      </w:r>
    </w:p>
    <w:p w:rsidR="009241C6" w:rsidRPr="00F15EFB" w:rsidRDefault="009241C6" w:rsidP="00F15EFB">
      <w:pPr>
        <w:pStyle w:val="Style14"/>
        <w:widowControl/>
        <w:numPr>
          <w:ilvl w:val="0"/>
          <w:numId w:val="1"/>
        </w:numPr>
        <w:tabs>
          <w:tab w:val="left" w:pos="583"/>
        </w:tabs>
        <w:spacing w:line="360" w:lineRule="auto"/>
        <w:ind w:firstLine="720"/>
        <w:jc w:val="both"/>
        <w:rPr>
          <w:rStyle w:val="FontStyle28"/>
          <w:sz w:val="28"/>
          <w:szCs w:val="28"/>
        </w:rPr>
      </w:pPr>
      <w:r w:rsidRPr="00F15EFB">
        <w:rPr>
          <w:rStyle w:val="FontStyle28"/>
          <w:sz w:val="28"/>
          <w:szCs w:val="28"/>
        </w:rPr>
        <w:t>фьючерс на кофе;</w:t>
      </w:r>
    </w:p>
    <w:p w:rsidR="009241C6" w:rsidRPr="00F15EFB" w:rsidRDefault="009241C6" w:rsidP="00F15EFB">
      <w:pPr>
        <w:pStyle w:val="Style14"/>
        <w:widowControl/>
        <w:numPr>
          <w:ilvl w:val="0"/>
          <w:numId w:val="1"/>
        </w:numPr>
        <w:tabs>
          <w:tab w:val="left" w:pos="583"/>
        </w:tabs>
        <w:spacing w:line="360" w:lineRule="auto"/>
        <w:ind w:firstLine="720"/>
        <w:jc w:val="both"/>
        <w:rPr>
          <w:rStyle w:val="FontStyle28"/>
          <w:sz w:val="28"/>
          <w:szCs w:val="28"/>
        </w:rPr>
      </w:pPr>
      <w:r w:rsidRPr="00F15EFB">
        <w:rPr>
          <w:rStyle w:val="FontStyle28"/>
          <w:sz w:val="28"/>
          <w:szCs w:val="28"/>
        </w:rPr>
        <w:t>фьючерс сырьевой (на нефть, металлы);</w:t>
      </w:r>
    </w:p>
    <w:p w:rsidR="009241C6" w:rsidRPr="00F15EFB" w:rsidRDefault="009241C6" w:rsidP="00F15EFB">
      <w:pPr>
        <w:pStyle w:val="Style14"/>
        <w:widowControl/>
        <w:numPr>
          <w:ilvl w:val="0"/>
          <w:numId w:val="1"/>
        </w:numPr>
        <w:tabs>
          <w:tab w:val="left" w:pos="583"/>
        </w:tabs>
        <w:spacing w:line="360" w:lineRule="auto"/>
        <w:ind w:firstLine="720"/>
        <w:jc w:val="both"/>
        <w:rPr>
          <w:rStyle w:val="FontStyle28"/>
          <w:sz w:val="28"/>
          <w:szCs w:val="28"/>
        </w:rPr>
      </w:pPr>
      <w:r w:rsidRPr="00F15EFB">
        <w:rPr>
          <w:rStyle w:val="FontStyle28"/>
          <w:sz w:val="28"/>
          <w:szCs w:val="28"/>
        </w:rPr>
        <w:t>фьючерс на морские перевозки;</w:t>
      </w:r>
    </w:p>
    <w:p w:rsidR="009241C6" w:rsidRPr="00F15EFB" w:rsidRDefault="009241C6" w:rsidP="00F15EFB">
      <w:pPr>
        <w:pStyle w:val="Style14"/>
        <w:widowControl/>
        <w:numPr>
          <w:ilvl w:val="0"/>
          <w:numId w:val="1"/>
        </w:numPr>
        <w:tabs>
          <w:tab w:val="left" w:pos="583"/>
        </w:tabs>
        <w:spacing w:line="360" w:lineRule="auto"/>
        <w:ind w:firstLine="720"/>
        <w:jc w:val="both"/>
        <w:rPr>
          <w:rStyle w:val="FontStyle28"/>
          <w:sz w:val="28"/>
          <w:szCs w:val="28"/>
        </w:rPr>
      </w:pPr>
      <w:r w:rsidRPr="00F15EFB">
        <w:rPr>
          <w:rStyle w:val="FontStyle28"/>
          <w:sz w:val="28"/>
          <w:szCs w:val="28"/>
        </w:rPr>
        <w:t>опцион товарный;</w:t>
      </w:r>
    </w:p>
    <w:p w:rsidR="009241C6" w:rsidRPr="00F15EFB" w:rsidRDefault="009241C6" w:rsidP="00F15EFB">
      <w:pPr>
        <w:pStyle w:val="Style14"/>
        <w:widowControl/>
        <w:numPr>
          <w:ilvl w:val="0"/>
          <w:numId w:val="1"/>
        </w:numPr>
        <w:tabs>
          <w:tab w:val="left" w:pos="583"/>
        </w:tabs>
        <w:spacing w:line="360" w:lineRule="auto"/>
        <w:ind w:firstLine="720"/>
        <w:jc w:val="both"/>
        <w:rPr>
          <w:rStyle w:val="FontStyle28"/>
          <w:sz w:val="28"/>
          <w:szCs w:val="28"/>
        </w:rPr>
      </w:pPr>
      <w:r w:rsidRPr="00F15EFB">
        <w:rPr>
          <w:rStyle w:val="FontStyle28"/>
          <w:sz w:val="28"/>
          <w:szCs w:val="28"/>
        </w:rPr>
        <w:t>опцион на золото;</w:t>
      </w:r>
    </w:p>
    <w:p w:rsidR="009241C6" w:rsidRPr="00F15EFB" w:rsidRDefault="009241C6" w:rsidP="00F15EFB">
      <w:pPr>
        <w:pStyle w:val="Style14"/>
        <w:widowControl/>
        <w:numPr>
          <w:ilvl w:val="0"/>
          <w:numId w:val="1"/>
        </w:numPr>
        <w:tabs>
          <w:tab w:val="left" w:pos="583"/>
        </w:tabs>
        <w:spacing w:line="360" w:lineRule="auto"/>
        <w:ind w:firstLine="720"/>
        <w:jc w:val="both"/>
        <w:rPr>
          <w:rStyle w:val="FontStyle28"/>
          <w:sz w:val="28"/>
          <w:szCs w:val="28"/>
        </w:rPr>
      </w:pPr>
      <w:r w:rsidRPr="00F15EFB">
        <w:rPr>
          <w:rStyle w:val="FontStyle28"/>
          <w:sz w:val="28"/>
          <w:szCs w:val="28"/>
        </w:rPr>
        <w:t>опцион на фьючерс на зерно;</w:t>
      </w:r>
    </w:p>
    <w:p w:rsidR="009241C6" w:rsidRPr="00F15EFB" w:rsidRDefault="009241C6" w:rsidP="00F15EFB">
      <w:pPr>
        <w:pStyle w:val="Style14"/>
        <w:widowControl/>
        <w:numPr>
          <w:ilvl w:val="0"/>
          <w:numId w:val="1"/>
        </w:numPr>
        <w:tabs>
          <w:tab w:val="left" w:pos="583"/>
        </w:tabs>
        <w:spacing w:line="360" w:lineRule="auto"/>
        <w:ind w:firstLine="720"/>
        <w:jc w:val="both"/>
        <w:rPr>
          <w:rStyle w:val="FontStyle28"/>
          <w:sz w:val="28"/>
          <w:szCs w:val="28"/>
        </w:rPr>
      </w:pPr>
      <w:r w:rsidRPr="00F15EFB">
        <w:rPr>
          <w:rStyle w:val="FontStyle28"/>
          <w:sz w:val="28"/>
          <w:szCs w:val="28"/>
        </w:rPr>
        <w:t>своп сырьевой (на нефть, металлы);</w:t>
      </w:r>
    </w:p>
    <w:p w:rsidR="009241C6" w:rsidRPr="00F15EFB" w:rsidRDefault="009241C6" w:rsidP="00F15EFB">
      <w:pPr>
        <w:pStyle w:val="Style14"/>
        <w:widowControl/>
        <w:numPr>
          <w:ilvl w:val="0"/>
          <w:numId w:val="1"/>
        </w:numPr>
        <w:tabs>
          <w:tab w:val="left" w:pos="583"/>
        </w:tabs>
        <w:spacing w:line="360" w:lineRule="auto"/>
        <w:ind w:firstLine="720"/>
        <w:jc w:val="both"/>
        <w:rPr>
          <w:rStyle w:val="FontStyle28"/>
          <w:sz w:val="28"/>
          <w:szCs w:val="28"/>
        </w:rPr>
      </w:pPr>
      <w:r w:rsidRPr="00F15EFB">
        <w:rPr>
          <w:rStyle w:val="FontStyle28"/>
          <w:sz w:val="28"/>
          <w:szCs w:val="28"/>
        </w:rPr>
        <w:t>своп на золото.</w:t>
      </w:r>
    </w:p>
    <w:p w:rsidR="009241C6" w:rsidRPr="00F15EFB" w:rsidRDefault="009241C6" w:rsidP="00F15EFB">
      <w:pPr>
        <w:pStyle w:val="Style3"/>
        <w:widowControl/>
        <w:spacing w:line="360" w:lineRule="auto"/>
        <w:ind w:firstLine="720"/>
        <w:rPr>
          <w:rStyle w:val="FontStyle28"/>
          <w:sz w:val="28"/>
          <w:szCs w:val="28"/>
        </w:rPr>
      </w:pPr>
      <w:r w:rsidRPr="00F15EFB">
        <w:rPr>
          <w:rStyle w:val="FontStyle28"/>
          <w:sz w:val="28"/>
          <w:szCs w:val="28"/>
        </w:rPr>
        <w:t xml:space="preserve">Собственно товарные </w:t>
      </w:r>
      <w:r w:rsidRPr="00F15EFB">
        <w:rPr>
          <w:rStyle w:val="FontStyle29"/>
          <w:b w:val="0"/>
          <w:i w:val="0"/>
          <w:sz w:val="28"/>
          <w:szCs w:val="28"/>
        </w:rPr>
        <w:t xml:space="preserve">срочные </w:t>
      </w:r>
      <w:r w:rsidRPr="00F15EFB">
        <w:rPr>
          <w:rStyle w:val="FontStyle28"/>
          <w:sz w:val="28"/>
          <w:szCs w:val="28"/>
        </w:rPr>
        <w:t>продукты-инструменты, не ставшие производными, также существуют в виде форвардных сделок.</w:t>
      </w:r>
    </w:p>
    <w:p w:rsidR="009241C6" w:rsidRPr="00F15EFB" w:rsidRDefault="009241C6" w:rsidP="00F15EFB">
      <w:pPr>
        <w:pStyle w:val="Style3"/>
        <w:widowControl/>
        <w:spacing w:line="360" w:lineRule="auto"/>
        <w:ind w:firstLine="720"/>
        <w:rPr>
          <w:rStyle w:val="FontStyle28"/>
          <w:sz w:val="28"/>
          <w:szCs w:val="28"/>
        </w:rPr>
      </w:pPr>
      <w:r w:rsidRPr="00F15EFB">
        <w:rPr>
          <w:rStyle w:val="FontStyle28"/>
          <w:sz w:val="28"/>
          <w:szCs w:val="28"/>
        </w:rPr>
        <w:t>Подчеркнем, что производные финансовые продукты-инструменты представляют определяющую сферу деятельности на нынешнем срочном рынке.</w:t>
      </w:r>
    </w:p>
    <w:p w:rsidR="009241C6" w:rsidRPr="00F15EFB" w:rsidRDefault="009241C6" w:rsidP="00F15EFB">
      <w:pPr>
        <w:pStyle w:val="Style3"/>
        <w:widowControl/>
        <w:spacing w:line="360" w:lineRule="auto"/>
        <w:ind w:firstLine="720"/>
        <w:rPr>
          <w:rStyle w:val="FontStyle28"/>
          <w:sz w:val="28"/>
          <w:szCs w:val="28"/>
        </w:rPr>
      </w:pPr>
      <w:r w:rsidRPr="00F15EFB">
        <w:rPr>
          <w:rStyle w:val="FontStyle28"/>
          <w:sz w:val="28"/>
          <w:szCs w:val="28"/>
        </w:rPr>
        <w:t>Анализируя практику, можно констатировать, что в динамичной современной экономике остаются (в той или иной мере) неудовлетворенными предпринимательские потребности в производных инструментах и не удовлетворяются полностью интересы непосредственных участников срочного рынка. Сообразно с этим при появлении соответствующих интеллектуальных (субъективных) ресурсов будут предлагаться и осваиваться новые наименования, и перечень производных во времени будет расширяться (особенно экзотических и комбинированных продуктов-инструментов).</w:t>
      </w:r>
    </w:p>
    <w:p w:rsidR="009241C6" w:rsidRPr="00F15EFB" w:rsidRDefault="009241C6" w:rsidP="00F15EFB">
      <w:pPr>
        <w:pStyle w:val="Style2"/>
        <w:widowControl/>
        <w:spacing w:line="360" w:lineRule="auto"/>
        <w:ind w:firstLine="720"/>
        <w:rPr>
          <w:rFonts w:ascii="Times New Roman" w:hAnsi="Times New Roman"/>
          <w:sz w:val="28"/>
          <w:szCs w:val="28"/>
        </w:rPr>
      </w:pPr>
    </w:p>
    <w:p w:rsidR="009241C6" w:rsidRPr="00F15EFB" w:rsidRDefault="00F15EFB" w:rsidP="00F15EFB">
      <w:pPr>
        <w:pStyle w:val="Style2"/>
        <w:widowControl/>
        <w:spacing w:line="360" w:lineRule="auto"/>
        <w:ind w:firstLine="720"/>
        <w:rPr>
          <w:rStyle w:val="FontStyle33"/>
          <w:rFonts w:ascii="Times New Roman" w:hAnsi="Times New Roman" w:cs="Times New Roman"/>
          <w:b w:val="0"/>
          <w:sz w:val="28"/>
          <w:szCs w:val="28"/>
        </w:rPr>
      </w:pPr>
      <w:r>
        <w:rPr>
          <w:rFonts w:ascii="Times New Roman" w:hAnsi="Times New Roman"/>
          <w:sz w:val="28"/>
          <w:szCs w:val="28"/>
        </w:rPr>
        <w:br w:type="page"/>
      </w:r>
      <w:bookmarkStart w:id="3" w:name="_Toc243274434"/>
      <w:r w:rsidR="00442E6A" w:rsidRPr="00F15EFB">
        <w:rPr>
          <w:rStyle w:val="FontStyle33"/>
          <w:rFonts w:ascii="Times New Roman" w:hAnsi="Times New Roman" w:cs="Times New Roman"/>
          <w:b w:val="0"/>
          <w:sz w:val="28"/>
          <w:szCs w:val="28"/>
        </w:rPr>
        <w:t>3</w:t>
      </w:r>
      <w:r w:rsidR="009241C6" w:rsidRPr="00F15EFB">
        <w:rPr>
          <w:rStyle w:val="FontStyle33"/>
          <w:rFonts w:ascii="Times New Roman" w:hAnsi="Times New Roman" w:cs="Times New Roman"/>
          <w:b w:val="0"/>
          <w:sz w:val="28"/>
          <w:szCs w:val="28"/>
        </w:rPr>
        <w:t xml:space="preserve"> Мировые показатели объемов и структуры рынков производных</w:t>
      </w:r>
      <w:r>
        <w:rPr>
          <w:rStyle w:val="FontStyle33"/>
          <w:rFonts w:ascii="Times New Roman" w:hAnsi="Times New Roman" w:cs="Times New Roman"/>
          <w:b w:val="0"/>
          <w:sz w:val="28"/>
          <w:szCs w:val="28"/>
        </w:rPr>
        <w:t xml:space="preserve"> </w:t>
      </w:r>
      <w:r w:rsidR="009241C6" w:rsidRPr="00F15EFB">
        <w:rPr>
          <w:rStyle w:val="FontStyle33"/>
          <w:rFonts w:ascii="Times New Roman" w:hAnsi="Times New Roman" w:cs="Times New Roman"/>
          <w:b w:val="0"/>
          <w:sz w:val="28"/>
          <w:szCs w:val="28"/>
        </w:rPr>
        <w:t>инструментов</w:t>
      </w:r>
      <w:bookmarkEnd w:id="3"/>
    </w:p>
    <w:p w:rsidR="009241C6" w:rsidRPr="00F15EFB" w:rsidRDefault="009241C6" w:rsidP="00F15EFB">
      <w:pPr>
        <w:pStyle w:val="Style6"/>
        <w:widowControl/>
        <w:spacing w:line="360" w:lineRule="auto"/>
        <w:ind w:firstLine="720"/>
        <w:rPr>
          <w:rFonts w:ascii="Times New Roman" w:hAnsi="Times New Roman"/>
          <w:sz w:val="28"/>
          <w:szCs w:val="28"/>
        </w:rPr>
      </w:pPr>
    </w:p>
    <w:p w:rsidR="009241C6" w:rsidRPr="00F15EFB" w:rsidRDefault="009241C6" w:rsidP="00F15EFB">
      <w:pPr>
        <w:pStyle w:val="Style6"/>
        <w:widowControl/>
        <w:spacing w:line="360" w:lineRule="auto"/>
        <w:ind w:firstLine="720"/>
        <w:rPr>
          <w:rStyle w:val="FontStyle28"/>
          <w:sz w:val="28"/>
          <w:szCs w:val="28"/>
        </w:rPr>
      </w:pPr>
      <w:r w:rsidRPr="00F15EFB">
        <w:rPr>
          <w:rStyle w:val="FontStyle28"/>
          <w:sz w:val="28"/>
          <w:szCs w:val="28"/>
        </w:rPr>
        <w:t>Банк международных расчетов в Базеле (БМР (</w:t>
      </w:r>
      <w:r w:rsidRPr="00F15EFB">
        <w:rPr>
          <w:rStyle w:val="FontStyle28"/>
          <w:sz w:val="28"/>
          <w:szCs w:val="28"/>
          <w:lang w:val="en-US"/>
        </w:rPr>
        <w:t>Bis</w:t>
      </w:r>
      <w:r w:rsidRPr="00F15EFB">
        <w:rPr>
          <w:rStyle w:val="FontStyle28"/>
          <w:sz w:val="28"/>
          <w:szCs w:val="28"/>
        </w:rPr>
        <w:t>), Швейцария) постоянно публикует материалы об объемах мировых рынков производных инструментов.</w:t>
      </w:r>
    </w:p>
    <w:p w:rsidR="009241C6" w:rsidRPr="00F15EFB" w:rsidRDefault="009241C6" w:rsidP="00F15EFB">
      <w:pPr>
        <w:pStyle w:val="Style3"/>
        <w:widowControl/>
        <w:spacing w:line="360" w:lineRule="auto"/>
        <w:ind w:firstLine="720"/>
        <w:rPr>
          <w:rStyle w:val="FontStyle28"/>
          <w:sz w:val="28"/>
          <w:szCs w:val="28"/>
        </w:rPr>
      </w:pPr>
      <w:r w:rsidRPr="00F15EFB">
        <w:rPr>
          <w:rStyle w:val="FontStyle28"/>
          <w:sz w:val="28"/>
          <w:szCs w:val="28"/>
        </w:rPr>
        <w:t xml:space="preserve">В табл. </w:t>
      </w:r>
      <w:r w:rsidR="00442E6A" w:rsidRPr="00F15EFB">
        <w:rPr>
          <w:rStyle w:val="FontStyle28"/>
          <w:sz w:val="28"/>
          <w:szCs w:val="28"/>
        </w:rPr>
        <w:t>1</w:t>
      </w:r>
      <w:r w:rsidRPr="00F15EFB">
        <w:rPr>
          <w:rStyle w:val="FontStyle28"/>
          <w:sz w:val="28"/>
          <w:szCs w:val="28"/>
        </w:rPr>
        <w:t>.1 представлены опубликованные этим институтом данные по рынкам производных финансовых инструментов.</w:t>
      </w:r>
    </w:p>
    <w:p w:rsidR="009241C6" w:rsidRPr="00F15EFB" w:rsidRDefault="009241C6" w:rsidP="00F15EFB">
      <w:pPr>
        <w:pStyle w:val="Style3"/>
        <w:widowControl/>
        <w:spacing w:line="360" w:lineRule="auto"/>
        <w:ind w:firstLine="720"/>
        <w:rPr>
          <w:rStyle w:val="FontStyle28"/>
          <w:sz w:val="28"/>
          <w:szCs w:val="28"/>
        </w:rPr>
      </w:pPr>
      <w:r w:rsidRPr="00F15EFB">
        <w:rPr>
          <w:rStyle w:val="FontStyle28"/>
          <w:sz w:val="28"/>
          <w:szCs w:val="28"/>
        </w:rPr>
        <w:t xml:space="preserve">Абсолютный среднегодовой прирост (по избранным в табл. </w:t>
      </w:r>
      <w:r w:rsidR="00442E6A" w:rsidRPr="00F15EFB">
        <w:rPr>
          <w:rStyle w:val="FontStyle28"/>
          <w:sz w:val="28"/>
          <w:szCs w:val="28"/>
        </w:rPr>
        <w:t>1</w:t>
      </w:r>
      <w:r w:rsidRPr="00F15EFB">
        <w:rPr>
          <w:rStyle w:val="FontStyle28"/>
          <w:sz w:val="28"/>
          <w:szCs w:val="28"/>
        </w:rPr>
        <w:t>.1 инструментам и местам торговли) за 1990-1995 гг. составил по биржевому рынку около 1,4 трлн. долл., по внебиржевому рынку — 2,9 трлн</w:t>
      </w:r>
      <w:r w:rsidR="00F15EFB">
        <w:rPr>
          <w:rStyle w:val="FontStyle28"/>
          <w:sz w:val="28"/>
          <w:szCs w:val="28"/>
        </w:rPr>
        <w:t>.</w:t>
      </w:r>
      <w:r w:rsidRPr="00F15EFB">
        <w:rPr>
          <w:rStyle w:val="FontStyle28"/>
          <w:sz w:val="28"/>
          <w:szCs w:val="28"/>
        </w:rPr>
        <w:t xml:space="preserve"> долл. (со значительным увеличением в 1994-1995 гг.); за 1995-2000 гг. - соответственно 0,998 трлн</w:t>
      </w:r>
      <w:r w:rsidR="00F15EFB">
        <w:rPr>
          <w:rStyle w:val="FontStyle28"/>
          <w:sz w:val="28"/>
          <w:szCs w:val="28"/>
        </w:rPr>
        <w:t>.</w:t>
      </w:r>
      <w:r w:rsidRPr="00F15EFB">
        <w:rPr>
          <w:rStyle w:val="FontStyle28"/>
          <w:sz w:val="28"/>
          <w:szCs w:val="28"/>
        </w:rPr>
        <w:t xml:space="preserve"> И 9,3 трлн</w:t>
      </w:r>
      <w:r w:rsidR="00F15EFB">
        <w:rPr>
          <w:rStyle w:val="FontStyle28"/>
          <w:sz w:val="28"/>
          <w:szCs w:val="28"/>
        </w:rPr>
        <w:t>.</w:t>
      </w:r>
      <w:r w:rsidRPr="00F15EFB">
        <w:rPr>
          <w:rStyle w:val="FontStyle28"/>
          <w:sz w:val="28"/>
          <w:szCs w:val="28"/>
        </w:rPr>
        <w:t xml:space="preserve"> долл.; за 2000-2005 гг. но биржевому рынку — 9,05 трлн</w:t>
      </w:r>
      <w:r w:rsidR="00F15EFB">
        <w:rPr>
          <w:rStyle w:val="FontStyle28"/>
          <w:sz w:val="28"/>
          <w:szCs w:val="28"/>
        </w:rPr>
        <w:t>.</w:t>
      </w:r>
      <w:r w:rsidRPr="00F15EFB">
        <w:rPr>
          <w:rStyle w:val="FontStyle28"/>
          <w:sz w:val="28"/>
          <w:szCs w:val="28"/>
        </w:rPr>
        <w:t xml:space="preserve"> долл., по внебиржевому рынку (2004 г. к 2000 г.) — 4,5 трлн</w:t>
      </w:r>
      <w:r w:rsidR="00F15EFB">
        <w:rPr>
          <w:rStyle w:val="FontStyle28"/>
          <w:sz w:val="28"/>
          <w:szCs w:val="28"/>
        </w:rPr>
        <w:t>.</w:t>
      </w:r>
      <w:r w:rsidRPr="00F15EFB">
        <w:rPr>
          <w:rStyle w:val="FontStyle28"/>
          <w:sz w:val="28"/>
          <w:szCs w:val="28"/>
        </w:rPr>
        <w:t xml:space="preserve"> долл.</w:t>
      </w:r>
    </w:p>
    <w:p w:rsidR="00442E6A" w:rsidRPr="00F15EFB" w:rsidRDefault="00442E6A" w:rsidP="00F15EFB">
      <w:pPr>
        <w:pStyle w:val="Style3"/>
        <w:widowControl/>
        <w:spacing w:line="360" w:lineRule="auto"/>
        <w:ind w:firstLine="720"/>
        <w:rPr>
          <w:rStyle w:val="FontStyle28"/>
          <w:sz w:val="28"/>
          <w:szCs w:val="28"/>
        </w:rPr>
      </w:pPr>
    </w:p>
    <w:p w:rsidR="00F15EFB" w:rsidRDefault="00F15EFB" w:rsidP="00F15EFB">
      <w:pPr>
        <w:pStyle w:val="Style3"/>
        <w:widowControl/>
        <w:spacing w:line="360" w:lineRule="auto"/>
        <w:ind w:firstLine="720"/>
        <w:rPr>
          <w:rStyle w:val="FontStyle28"/>
          <w:sz w:val="28"/>
          <w:szCs w:val="28"/>
        </w:rPr>
        <w:sectPr w:rsidR="00F15EFB" w:rsidSect="00F15EFB">
          <w:type w:val="continuous"/>
          <w:pgSz w:w="11905" w:h="16837" w:code="9"/>
          <w:pgMar w:top="1134" w:right="851" w:bottom="1134" w:left="1701" w:header="720" w:footer="720" w:gutter="0"/>
          <w:pgNumType w:start="2"/>
          <w:cols w:space="60"/>
          <w:noEndnote/>
        </w:sectPr>
      </w:pPr>
    </w:p>
    <w:p w:rsidR="00F9585F" w:rsidRPr="00F15EFB" w:rsidRDefault="00F9585F" w:rsidP="00F15EFB">
      <w:pPr>
        <w:pStyle w:val="Style3"/>
        <w:widowControl/>
        <w:spacing w:line="360" w:lineRule="auto"/>
        <w:ind w:firstLine="720"/>
        <w:rPr>
          <w:rStyle w:val="FontStyle28"/>
          <w:sz w:val="28"/>
          <w:szCs w:val="28"/>
        </w:rPr>
      </w:pPr>
      <w:r w:rsidRPr="00F15EFB">
        <w:rPr>
          <w:rStyle w:val="FontStyle28"/>
          <w:sz w:val="28"/>
          <w:szCs w:val="28"/>
        </w:rPr>
        <w:t>Таблица 1.1</w:t>
      </w:r>
    </w:p>
    <w:p w:rsidR="00F9585F" w:rsidRPr="00F15EFB" w:rsidRDefault="00F9585F" w:rsidP="00F15EFB">
      <w:pPr>
        <w:pStyle w:val="Style3"/>
        <w:widowControl/>
        <w:spacing w:line="360" w:lineRule="auto"/>
        <w:ind w:firstLine="720"/>
        <w:rPr>
          <w:rStyle w:val="FontStyle28"/>
          <w:sz w:val="28"/>
          <w:szCs w:val="28"/>
        </w:rPr>
      </w:pPr>
      <w:r w:rsidRPr="00F15EFB">
        <w:rPr>
          <w:rStyle w:val="FontStyle28"/>
          <w:sz w:val="28"/>
          <w:szCs w:val="28"/>
        </w:rPr>
        <w:t>Структура мирового рынка деривативов</w:t>
      </w:r>
    </w:p>
    <w:tbl>
      <w:tblPr>
        <w:tblW w:w="12520" w:type="dxa"/>
        <w:tblInd w:w="749" w:type="dxa"/>
        <w:tblLayout w:type="fixed"/>
        <w:tblCellMar>
          <w:left w:w="40" w:type="dxa"/>
          <w:right w:w="40" w:type="dxa"/>
        </w:tblCellMar>
        <w:tblLook w:val="0000" w:firstRow="0" w:lastRow="0" w:firstColumn="0" w:lastColumn="0" w:noHBand="0" w:noVBand="0"/>
      </w:tblPr>
      <w:tblGrid>
        <w:gridCol w:w="2126"/>
        <w:gridCol w:w="746"/>
        <w:gridCol w:w="746"/>
        <w:gridCol w:w="746"/>
        <w:gridCol w:w="739"/>
        <w:gridCol w:w="746"/>
        <w:gridCol w:w="739"/>
        <w:gridCol w:w="866"/>
        <w:gridCol w:w="909"/>
        <w:gridCol w:w="859"/>
        <w:gridCol w:w="842"/>
        <w:gridCol w:w="851"/>
        <w:gridCol w:w="850"/>
        <w:gridCol w:w="755"/>
      </w:tblGrid>
      <w:tr w:rsidR="00442E6A" w:rsidRPr="00F15EFB" w:rsidTr="00F15EFB">
        <w:trPr>
          <w:trHeight w:val="157"/>
        </w:trPr>
        <w:tc>
          <w:tcPr>
            <w:tcW w:w="2126" w:type="dxa"/>
            <w:tcBorders>
              <w:top w:val="single" w:sz="6" w:space="0" w:color="auto"/>
              <w:left w:val="single" w:sz="6" w:space="0" w:color="auto"/>
              <w:bottom w:val="nil"/>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Инструменты</w:t>
            </w:r>
          </w:p>
        </w:tc>
        <w:tc>
          <w:tcPr>
            <w:tcW w:w="746" w:type="dxa"/>
            <w:tcBorders>
              <w:top w:val="single" w:sz="6" w:space="0" w:color="auto"/>
              <w:left w:val="single" w:sz="6" w:space="0" w:color="auto"/>
              <w:bottom w:val="single" w:sz="6" w:space="0" w:color="auto"/>
              <w:right w:val="nil"/>
            </w:tcBorders>
            <w:vAlign w:val="center"/>
          </w:tcPr>
          <w:p w:rsidR="00442E6A" w:rsidRPr="00F15EFB" w:rsidRDefault="00442E6A" w:rsidP="00F15EFB">
            <w:pPr>
              <w:pStyle w:val="Style9"/>
              <w:widowControl/>
              <w:spacing w:line="360" w:lineRule="auto"/>
              <w:jc w:val="both"/>
              <w:rPr>
                <w:rFonts w:ascii="Times New Roman" w:hAnsi="Times New Roman"/>
                <w:sz w:val="20"/>
                <w:szCs w:val="20"/>
              </w:rPr>
            </w:pPr>
          </w:p>
        </w:tc>
        <w:tc>
          <w:tcPr>
            <w:tcW w:w="746" w:type="dxa"/>
            <w:tcBorders>
              <w:top w:val="single" w:sz="6" w:space="0" w:color="auto"/>
              <w:left w:val="nil"/>
              <w:bottom w:val="single" w:sz="6" w:space="0" w:color="auto"/>
              <w:right w:val="nil"/>
            </w:tcBorders>
            <w:vAlign w:val="center"/>
          </w:tcPr>
          <w:p w:rsidR="00442E6A" w:rsidRPr="00F15EFB" w:rsidRDefault="00442E6A" w:rsidP="00F15EFB">
            <w:pPr>
              <w:pStyle w:val="Style9"/>
              <w:widowControl/>
              <w:spacing w:line="360" w:lineRule="auto"/>
              <w:jc w:val="both"/>
              <w:rPr>
                <w:rFonts w:ascii="Times New Roman" w:hAnsi="Times New Roman"/>
                <w:sz w:val="20"/>
                <w:szCs w:val="20"/>
              </w:rPr>
            </w:pPr>
          </w:p>
        </w:tc>
        <w:tc>
          <w:tcPr>
            <w:tcW w:w="8902" w:type="dxa"/>
            <w:gridSpan w:val="11"/>
            <w:tcBorders>
              <w:top w:val="single" w:sz="6" w:space="0" w:color="auto"/>
              <w:left w:val="nil"/>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vertAlign w:val="superscript"/>
              </w:rPr>
            </w:pPr>
            <w:r w:rsidRPr="00F15EFB">
              <w:rPr>
                <w:rStyle w:val="FontStyle37"/>
                <w:sz w:val="20"/>
                <w:szCs w:val="20"/>
              </w:rPr>
              <w:t>Выставленные (открытые) позиции по номинальной стоимости</w:t>
            </w:r>
          </w:p>
        </w:tc>
      </w:tr>
      <w:tr w:rsidR="00442E6A" w:rsidRPr="00F15EFB" w:rsidTr="00F15EFB">
        <w:trPr>
          <w:trHeight w:val="154"/>
        </w:trPr>
        <w:tc>
          <w:tcPr>
            <w:tcW w:w="2126" w:type="dxa"/>
            <w:tcBorders>
              <w:top w:val="nil"/>
              <w:left w:val="single" w:sz="6" w:space="0" w:color="auto"/>
              <w:bottom w:val="single" w:sz="6" w:space="0" w:color="auto"/>
              <w:right w:val="single" w:sz="6" w:space="0" w:color="auto"/>
            </w:tcBorders>
            <w:vAlign w:val="center"/>
          </w:tcPr>
          <w:p w:rsidR="00442E6A" w:rsidRPr="00F15EFB" w:rsidRDefault="00442E6A" w:rsidP="00F15EFB">
            <w:pPr>
              <w:widowControl/>
              <w:spacing w:line="360" w:lineRule="auto"/>
              <w:jc w:val="both"/>
              <w:rPr>
                <w:rStyle w:val="FontStyle37"/>
                <w:sz w:val="20"/>
                <w:szCs w:val="20"/>
                <w:vertAlign w:val="superscript"/>
              </w:rPr>
            </w:pPr>
          </w:p>
        </w:tc>
        <w:tc>
          <w:tcPr>
            <w:tcW w:w="746"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1990</w:t>
            </w:r>
          </w:p>
        </w:tc>
        <w:tc>
          <w:tcPr>
            <w:tcW w:w="746"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1991</w:t>
            </w:r>
          </w:p>
        </w:tc>
        <w:tc>
          <w:tcPr>
            <w:tcW w:w="746"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1992</w:t>
            </w:r>
          </w:p>
        </w:tc>
        <w:tc>
          <w:tcPr>
            <w:tcW w:w="739"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1993</w:t>
            </w:r>
          </w:p>
        </w:tc>
        <w:tc>
          <w:tcPr>
            <w:tcW w:w="746"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1994</w:t>
            </w:r>
          </w:p>
        </w:tc>
        <w:tc>
          <w:tcPr>
            <w:tcW w:w="739"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1995</w:t>
            </w:r>
          </w:p>
        </w:tc>
        <w:tc>
          <w:tcPr>
            <w:tcW w:w="866"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1998</w:t>
            </w:r>
          </w:p>
        </w:tc>
        <w:tc>
          <w:tcPr>
            <w:tcW w:w="909"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2000</w:t>
            </w:r>
          </w:p>
        </w:tc>
        <w:tc>
          <w:tcPr>
            <w:tcW w:w="859"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2001</w:t>
            </w:r>
          </w:p>
        </w:tc>
        <w:tc>
          <w:tcPr>
            <w:tcW w:w="842"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2002</w:t>
            </w:r>
          </w:p>
        </w:tc>
        <w:tc>
          <w:tcPr>
            <w:tcW w:w="851"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2003</w:t>
            </w:r>
          </w:p>
        </w:tc>
        <w:tc>
          <w:tcPr>
            <w:tcW w:w="850"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2004</w:t>
            </w:r>
          </w:p>
        </w:tc>
        <w:tc>
          <w:tcPr>
            <w:tcW w:w="755"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vertAlign w:val="superscript"/>
              </w:rPr>
            </w:pPr>
            <w:r w:rsidRPr="00F15EFB">
              <w:rPr>
                <w:rStyle w:val="FontStyle37"/>
                <w:sz w:val="20"/>
                <w:szCs w:val="20"/>
              </w:rPr>
              <w:t>2005 (март)</w:t>
            </w:r>
            <w:r w:rsidRPr="00F15EFB">
              <w:rPr>
                <w:rStyle w:val="FontStyle37"/>
                <w:sz w:val="20"/>
                <w:szCs w:val="20"/>
                <w:vertAlign w:val="superscript"/>
              </w:rPr>
              <w:t>2</w:t>
            </w:r>
          </w:p>
        </w:tc>
      </w:tr>
      <w:tr w:rsidR="00442E6A" w:rsidRPr="00F15EFB" w:rsidTr="00F15EFB">
        <w:trPr>
          <w:trHeight w:val="346"/>
        </w:trPr>
        <w:tc>
          <w:tcPr>
            <w:tcW w:w="2126"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1</w:t>
            </w:r>
          </w:p>
        </w:tc>
        <w:tc>
          <w:tcPr>
            <w:tcW w:w="746"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2</w:t>
            </w:r>
          </w:p>
        </w:tc>
        <w:tc>
          <w:tcPr>
            <w:tcW w:w="746"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3</w:t>
            </w:r>
          </w:p>
        </w:tc>
        <w:tc>
          <w:tcPr>
            <w:tcW w:w="746"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4</w:t>
            </w:r>
          </w:p>
        </w:tc>
        <w:tc>
          <w:tcPr>
            <w:tcW w:w="739"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5</w:t>
            </w:r>
          </w:p>
        </w:tc>
        <w:tc>
          <w:tcPr>
            <w:tcW w:w="746"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6</w:t>
            </w:r>
          </w:p>
        </w:tc>
        <w:tc>
          <w:tcPr>
            <w:tcW w:w="739"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7</w:t>
            </w:r>
          </w:p>
        </w:tc>
        <w:tc>
          <w:tcPr>
            <w:tcW w:w="866"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8</w:t>
            </w:r>
          </w:p>
        </w:tc>
        <w:tc>
          <w:tcPr>
            <w:tcW w:w="909"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9</w:t>
            </w:r>
          </w:p>
        </w:tc>
        <w:tc>
          <w:tcPr>
            <w:tcW w:w="859"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10</w:t>
            </w:r>
          </w:p>
        </w:tc>
        <w:tc>
          <w:tcPr>
            <w:tcW w:w="842"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11</w:t>
            </w:r>
          </w:p>
        </w:tc>
        <w:tc>
          <w:tcPr>
            <w:tcW w:w="851"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12</w:t>
            </w:r>
          </w:p>
        </w:tc>
        <w:tc>
          <w:tcPr>
            <w:tcW w:w="850"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13</w:t>
            </w:r>
          </w:p>
        </w:tc>
        <w:tc>
          <w:tcPr>
            <w:tcW w:w="755"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14</w:t>
            </w:r>
          </w:p>
        </w:tc>
      </w:tr>
      <w:tr w:rsidR="00442E6A" w:rsidRPr="00F15EFB" w:rsidTr="00F15EFB">
        <w:trPr>
          <w:trHeight w:val="354"/>
        </w:trPr>
        <w:tc>
          <w:tcPr>
            <w:tcW w:w="2126"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0"/>
              <w:widowControl/>
              <w:spacing w:line="360" w:lineRule="auto"/>
              <w:jc w:val="both"/>
              <w:rPr>
                <w:rStyle w:val="FontStyle34"/>
                <w:b w:val="0"/>
                <w:sz w:val="20"/>
                <w:szCs w:val="20"/>
              </w:rPr>
            </w:pPr>
            <w:r w:rsidRPr="00F15EFB">
              <w:rPr>
                <w:rStyle w:val="FontStyle34"/>
                <w:b w:val="0"/>
                <w:sz w:val="20"/>
                <w:szCs w:val="20"/>
              </w:rPr>
              <w:t>Биржевой торговли</w:t>
            </w:r>
          </w:p>
        </w:tc>
        <w:tc>
          <w:tcPr>
            <w:tcW w:w="746"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2290.4</w:t>
            </w:r>
          </w:p>
        </w:tc>
        <w:tc>
          <w:tcPr>
            <w:tcW w:w="746"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35193</w:t>
            </w:r>
          </w:p>
        </w:tc>
        <w:tc>
          <w:tcPr>
            <w:tcW w:w="746"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4634.4</w:t>
            </w:r>
          </w:p>
        </w:tc>
        <w:tc>
          <w:tcPr>
            <w:tcW w:w="739"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7771.1</w:t>
            </w:r>
          </w:p>
        </w:tc>
        <w:tc>
          <w:tcPr>
            <w:tcW w:w="746"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88623</w:t>
            </w:r>
          </w:p>
        </w:tc>
        <w:tc>
          <w:tcPr>
            <w:tcW w:w="739"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91853</w:t>
            </w:r>
          </w:p>
        </w:tc>
        <w:tc>
          <w:tcPr>
            <w:tcW w:w="866"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13549.0</w:t>
            </w:r>
          </w:p>
        </w:tc>
        <w:tc>
          <w:tcPr>
            <w:tcW w:w="909"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141253</w:t>
            </w:r>
          </w:p>
        </w:tc>
        <w:tc>
          <w:tcPr>
            <w:tcW w:w="859"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23798,0</w:t>
            </w:r>
          </w:p>
        </w:tc>
        <w:tc>
          <w:tcPr>
            <w:tcW w:w="842"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238163</w:t>
            </w:r>
          </w:p>
        </w:tc>
        <w:tc>
          <w:tcPr>
            <w:tcW w:w="851"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36739.7</w:t>
            </w:r>
          </w:p>
        </w:tc>
        <w:tc>
          <w:tcPr>
            <w:tcW w:w="850"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46592.1</w:t>
            </w:r>
          </w:p>
        </w:tc>
        <w:tc>
          <w:tcPr>
            <w:tcW w:w="755"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59407.0</w:t>
            </w:r>
          </w:p>
        </w:tc>
      </w:tr>
      <w:tr w:rsidR="00442E6A" w:rsidRPr="00F15EFB" w:rsidTr="00F15EFB">
        <w:trPr>
          <w:trHeight w:val="362"/>
        </w:trPr>
        <w:tc>
          <w:tcPr>
            <w:tcW w:w="2126"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В том числе:</w:t>
            </w:r>
          </w:p>
        </w:tc>
        <w:tc>
          <w:tcPr>
            <w:tcW w:w="746"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9"/>
              <w:widowControl/>
              <w:spacing w:line="360" w:lineRule="auto"/>
              <w:jc w:val="both"/>
              <w:rPr>
                <w:rFonts w:ascii="Times New Roman" w:hAnsi="Times New Roman"/>
                <w:sz w:val="20"/>
                <w:szCs w:val="20"/>
              </w:rPr>
            </w:pPr>
          </w:p>
        </w:tc>
        <w:tc>
          <w:tcPr>
            <w:tcW w:w="746"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9"/>
              <w:widowControl/>
              <w:spacing w:line="360" w:lineRule="auto"/>
              <w:jc w:val="both"/>
              <w:rPr>
                <w:rFonts w:ascii="Times New Roman" w:hAnsi="Times New Roman"/>
                <w:sz w:val="20"/>
                <w:szCs w:val="20"/>
              </w:rPr>
            </w:pPr>
          </w:p>
        </w:tc>
        <w:tc>
          <w:tcPr>
            <w:tcW w:w="746"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9"/>
              <w:widowControl/>
              <w:spacing w:line="360" w:lineRule="auto"/>
              <w:jc w:val="both"/>
              <w:rPr>
                <w:rFonts w:ascii="Times New Roman" w:hAnsi="Times New Roman"/>
                <w:sz w:val="20"/>
                <w:szCs w:val="20"/>
              </w:rPr>
            </w:pPr>
          </w:p>
        </w:tc>
        <w:tc>
          <w:tcPr>
            <w:tcW w:w="739"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9"/>
              <w:widowControl/>
              <w:spacing w:line="360" w:lineRule="auto"/>
              <w:jc w:val="both"/>
              <w:rPr>
                <w:rFonts w:ascii="Times New Roman" w:hAnsi="Times New Roman"/>
                <w:sz w:val="20"/>
                <w:szCs w:val="20"/>
              </w:rPr>
            </w:pPr>
          </w:p>
        </w:tc>
        <w:tc>
          <w:tcPr>
            <w:tcW w:w="746"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9"/>
              <w:widowControl/>
              <w:spacing w:line="360" w:lineRule="auto"/>
              <w:jc w:val="both"/>
              <w:rPr>
                <w:rFonts w:ascii="Times New Roman" w:hAnsi="Times New Roman"/>
                <w:sz w:val="20"/>
                <w:szCs w:val="20"/>
              </w:rPr>
            </w:pPr>
          </w:p>
        </w:tc>
        <w:tc>
          <w:tcPr>
            <w:tcW w:w="739"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9"/>
              <w:widowControl/>
              <w:spacing w:line="360" w:lineRule="auto"/>
              <w:jc w:val="both"/>
              <w:rPr>
                <w:rFonts w:ascii="Times New Roman" w:hAnsi="Times New Roman"/>
                <w:sz w:val="20"/>
                <w:szCs w:val="20"/>
              </w:rPr>
            </w:pPr>
          </w:p>
        </w:tc>
        <w:tc>
          <w:tcPr>
            <w:tcW w:w="866"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9"/>
              <w:widowControl/>
              <w:spacing w:line="360" w:lineRule="auto"/>
              <w:jc w:val="both"/>
              <w:rPr>
                <w:rFonts w:ascii="Times New Roman" w:hAnsi="Times New Roman"/>
                <w:sz w:val="20"/>
                <w:szCs w:val="20"/>
              </w:rPr>
            </w:pPr>
          </w:p>
        </w:tc>
        <w:tc>
          <w:tcPr>
            <w:tcW w:w="909"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9"/>
              <w:widowControl/>
              <w:spacing w:line="360" w:lineRule="auto"/>
              <w:jc w:val="both"/>
              <w:rPr>
                <w:rFonts w:ascii="Times New Roman" w:hAnsi="Times New Roman"/>
                <w:sz w:val="20"/>
                <w:szCs w:val="20"/>
              </w:rPr>
            </w:pPr>
          </w:p>
        </w:tc>
        <w:tc>
          <w:tcPr>
            <w:tcW w:w="859"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9"/>
              <w:widowControl/>
              <w:spacing w:line="360" w:lineRule="auto"/>
              <w:jc w:val="both"/>
              <w:rPr>
                <w:rFonts w:ascii="Times New Roman" w:hAnsi="Times New Roman"/>
                <w:sz w:val="20"/>
                <w:szCs w:val="20"/>
              </w:rPr>
            </w:pPr>
          </w:p>
        </w:tc>
        <w:tc>
          <w:tcPr>
            <w:tcW w:w="842"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9"/>
              <w:widowControl/>
              <w:spacing w:line="360" w:lineRule="auto"/>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9"/>
              <w:widowControl/>
              <w:spacing w:line="360" w:lineRule="auto"/>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9"/>
              <w:widowControl/>
              <w:spacing w:line="360" w:lineRule="auto"/>
              <w:jc w:val="both"/>
              <w:rPr>
                <w:rFonts w:ascii="Times New Roman" w:hAnsi="Times New Roman"/>
                <w:sz w:val="20"/>
                <w:szCs w:val="20"/>
              </w:rPr>
            </w:pPr>
          </w:p>
        </w:tc>
        <w:tc>
          <w:tcPr>
            <w:tcW w:w="755"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9"/>
              <w:widowControl/>
              <w:spacing w:line="360" w:lineRule="auto"/>
              <w:jc w:val="both"/>
              <w:rPr>
                <w:rFonts w:ascii="Times New Roman" w:hAnsi="Times New Roman"/>
                <w:sz w:val="20"/>
                <w:szCs w:val="20"/>
              </w:rPr>
            </w:pPr>
          </w:p>
        </w:tc>
      </w:tr>
      <w:tr w:rsidR="00442E6A" w:rsidRPr="00F15EFB" w:rsidTr="00F15EFB">
        <w:trPr>
          <w:trHeight w:val="160"/>
        </w:trPr>
        <w:tc>
          <w:tcPr>
            <w:tcW w:w="2126" w:type="dxa"/>
            <w:tcBorders>
              <w:top w:val="single" w:sz="6" w:space="0" w:color="auto"/>
              <w:left w:val="single" w:sz="6" w:space="0" w:color="auto"/>
              <w:bottom w:val="single" w:sz="6" w:space="0" w:color="auto"/>
              <w:right w:val="single" w:sz="6" w:space="0" w:color="auto"/>
            </w:tcBorders>
            <w:vAlign w:val="center"/>
          </w:tcPr>
          <w:p w:rsidR="00442E6A" w:rsidRPr="00F15EFB" w:rsidRDefault="00F15EFB" w:rsidP="00F15EFB">
            <w:pPr>
              <w:pStyle w:val="Style23"/>
              <w:widowControl/>
              <w:spacing w:line="360" w:lineRule="auto"/>
              <w:jc w:val="both"/>
              <w:rPr>
                <w:rStyle w:val="FontStyle37"/>
                <w:sz w:val="20"/>
                <w:szCs w:val="20"/>
              </w:rPr>
            </w:pPr>
            <w:r w:rsidRPr="00F15EFB">
              <w:rPr>
                <w:rStyle w:val="FontStyle37"/>
                <w:sz w:val="20"/>
                <w:szCs w:val="20"/>
              </w:rPr>
              <w:t>П</w:t>
            </w:r>
            <w:r w:rsidR="00442E6A" w:rsidRPr="00F15EFB">
              <w:rPr>
                <w:rStyle w:val="FontStyle37"/>
                <w:sz w:val="20"/>
                <w:szCs w:val="20"/>
              </w:rPr>
              <w:t>роцентные</w:t>
            </w:r>
            <w:r>
              <w:rPr>
                <w:rStyle w:val="FontStyle37"/>
                <w:sz w:val="20"/>
                <w:szCs w:val="20"/>
              </w:rPr>
              <w:t xml:space="preserve"> </w:t>
            </w:r>
            <w:r w:rsidR="00442E6A" w:rsidRPr="00F15EFB">
              <w:rPr>
                <w:rStyle w:val="FontStyle37"/>
                <w:sz w:val="20"/>
                <w:szCs w:val="20"/>
              </w:rPr>
              <w:t>фьючерсы</w:t>
            </w:r>
          </w:p>
        </w:tc>
        <w:tc>
          <w:tcPr>
            <w:tcW w:w="746"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1454.5</w:t>
            </w:r>
          </w:p>
        </w:tc>
        <w:tc>
          <w:tcPr>
            <w:tcW w:w="746"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2156.7</w:t>
            </w:r>
          </w:p>
        </w:tc>
        <w:tc>
          <w:tcPr>
            <w:tcW w:w="746"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2913.0</w:t>
            </w:r>
          </w:p>
        </w:tc>
        <w:tc>
          <w:tcPr>
            <w:tcW w:w="739"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4958,7</w:t>
            </w:r>
          </w:p>
        </w:tc>
        <w:tc>
          <w:tcPr>
            <w:tcW w:w="746"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5777.6</w:t>
            </w:r>
          </w:p>
        </w:tc>
        <w:tc>
          <w:tcPr>
            <w:tcW w:w="739"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5863.4</w:t>
            </w:r>
          </w:p>
        </w:tc>
        <w:tc>
          <w:tcPr>
            <w:tcW w:w="866"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7702,0</w:t>
            </w:r>
          </w:p>
        </w:tc>
        <w:tc>
          <w:tcPr>
            <w:tcW w:w="909"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78923</w:t>
            </w:r>
          </w:p>
        </w:tc>
        <w:tc>
          <w:tcPr>
            <w:tcW w:w="859"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92653</w:t>
            </w:r>
          </w:p>
        </w:tc>
        <w:tc>
          <w:tcPr>
            <w:tcW w:w="842"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9956.6</w:t>
            </w:r>
          </w:p>
        </w:tc>
        <w:tc>
          <w:tcPr>
            <w:tcW w:w="851"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13123.7</w:t>
            </w:r>
          </w:p>
        </w:tc>
        <w:tc>
          <w:tcPr>
            <w:tcW w:w="850"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181643</w:t>
            </w:r>
          </w:p>
        </w:tc>
        <w:tc>
          <w:tcPr>
            <w:tcW w:w="755"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20449.6</w:t>
            </w:r>
          </w:p>
        </w:tc>
      </w:tr>
      <w:tr w:rsidR="00442E6A" w:rsidRPr="00F15EFB" w:rsidTr="00F15EFB">
        <w:trPr>
          <w:trHeight w:val="222"/>
        </w:trPr>
        <w:tc>
          <w:tcPr>
            <w:tcW w:w="2126" w:type="dxa"/>
            <w:tcBorders>
              <w:top w:val="single" w:sz="6" w:space="0" w:color="auto"/>
              <w:left w:val="single" w:sz="6" w:space="0" w:color="auto"/>
              <w:bottom w:val="single" w:sz="6" w:space="0" w:color="auto"/>
              <w:right w:val="single" w:sz="6" w:space="0" w:color="auto"/>
            </w:tcBorders>
            <w:vAlign w:val="center"/>
          </w:tcPr>
          <w:p w:rsidR="00442E6A" w:rsidRPr="00F15EFB" w:rsidRDefault="00F15EFB" w:rsidP="00F15EFB">
            <w:pPr>
              <w:pStyle w:val="Style23"/>
              <w:widowControl/>
              <w:spacing w:line="360" w:lineRule="auto"/>
              <w:jc w:val="both"/>
              <w:rPr>
                <w:rStyle w:val="FontStyle37"/>
                <w:sz w:val="20"/>
                <w:szCs w:val="20"/>
              </w:rPr>
            </w:pPr>
            <w:r w:rsidRPr="00F15EFB">
              <w:rPr>
                <w:rStyle w:val="FontStyle37"/>
                <w:sz w:val="20"/>
                <w:szCs w:val="20"/>
              </w:rPr>
              <w:t>П</w:t>
            </w:r>
            <w:r w:rsidR="00442E6A" w:rsidRPr="00F15EFB">
              <w:rPr>
                <w:rStyle w:val="FontStyle37"/>
                <w:sz w:val="20"/>
                <w:szCs w:val="20"/>
              </w:rPr>
              <w:t>роцентные</w:t>
            </w:r>
            <w:r>
              <w:rPr>
                <w:rStyle w:val="FontStyle37"/>
                <w:sz w:val="20"/>
                <w:szCs w:val="20"/>
              </w:rPr>
              <w:t xml:space="preserve"> </w:t>
            </w:r>
            <w:r w:rsidR="00442E6A" w:rsidRPr="00F15EFB">
              <w:rPr>
                <w:rStyle w:val="FontStyle37"/>
                <w:sz w:val="20"/>
                <w:szCs w:val="20"/>
              </w:rPr>
              <w:t>опционы</w:t>
            </w:r>
          </w:p>
        </w:tc>
        <w:tc>
          <w:tcPr>
            <w:tcW w:w="746"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5993</w:t>
            </w:r>
          </w:p>
        </w:tc>
        <w:tc>
          <w:tcPr>
            <w:tcW w:w="746"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1072.6</w:t>
            </w:r>
          </w:p>
        </w:tc>
        <w:tc>
          <w:tcPr>
            <w:tcW w:w="746"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1385.4</w:t>
            </w:r>
          </w:p>
        </w:tc>
        <w:tc>
          <w:tcPr>
            <w:tcW w:w="739"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2362,4</w:t>
            </w:r>
          </w:p>
        </w:tc>
        <w:tc>
          <w:tcPr>
            <w:tcW w:w="746"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2623,6</w:t>
            </w:r>
          </w:p>
        </w:tc>
        <w:tc>
          <w:tcPr>
            <w:tcW w:w="739"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2741,7</w:t>
            </w:r>
          </w:p>
        </w:tc>
        <w:tc>
          <w:tcPr>
            <w:tcW w:w="866"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4603.0</w:t>
            </w:r>
          </w:p>
        </w:tc>
        <w:tc>
          <w:tcPr>
            <w:tcW w:w="909"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4734.2</w:t>
            </w:r>
          </w:p>
        </w:tc>
        <w:tc>
          <w:tcPr>
            <w:tcW w:w="859"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12492.8</w:t>
            </w:r>
          </w:p>
        </w:tc>
        <w:tc>
          <w:tcPr>
            <w:tcW w:w="842"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117593</w:t>
            </w:r>
          </w:p>
        </w:tc>
        <w:tc>
          <w:tcPr>
            <w:tcW w:w="851"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20793.8</w:t>
            </w:r>
          </w:p>
        </w:tc>
        <w:tc>
          <w:tcPr>
            <w:tcW w:w="850"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24604.1</w:t>
            </w:r>
          </w:p>
        </w:tc>
        <w:tc>
          <w:tcPr>
            <w:tcW w:w="755"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34328.6</w:t>
            </w:r>
          </w:p>
        </w:tc>
      </w:tr>
      <w:tr w:rsidR="00442E6A" w:rsidRPr="00F15EFB" w:rsidTr="00F15EFB">
        <w:trPr>
          <w:trHeight w:val="284"/>
        </w:trPr>
        <w:tc>
          <w:tcPr>
            <w:tcW w:w="2126" w:type="dxa"/>
            <w:tcBorders>
              <w:top w:val="single" w:sz="6" w:space="0" w:color="auto"/>
              <w:left w:val="single" w:sz="6" w:space="0" w:color="auto"/>
              <w:bottom w:val="nil"/>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валютные фьючерсы</w:t>
            </w:r>
          </w:p>
        </w:tc>
        <w:tc>
          <w:tcPr>
            <w:tcW w:w="746" w:type="dxa"/>
            <w:tcBorders>
              <w:top w:val="single" w:sz="6" w:space="0" w:color="auto"/>
              <w:left w:val="single" w:sz="6" w:space="0" w:color="auto"/>
              <w:bottom w:val="nil"/>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17.0</w:t>
            </w:r>
          </w:p>
        </w:tc>
        <w:tc>
          <w:tcPr>
            <w:tcW w:w="746" w:type="dxa"/>
            <w:tcBorders>
              <w:top w:val="single" w:sz="6" w:space="0" w:color="auto"/>
              <w:left w:val="single" w:sz="6" w:space="0" w:color="auto"/>
              <w:bottom w:val="nil"/>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183</w:t>
            </w:r>
          </w:p>
        </w:tc>
        <w:tc>
          <w:tcPr>
            <w:tcW w:w="746" w:type="dxa"/>
            <w:tcBorders>
              <w:top w:val="single" w:sz="6" w:space="0" w:color="auto"/>
              <w:left w:val="single" w:sz="6" w:space="0" w:color="auto"/>
              <w:bottom w:val="nil"/>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263</w:t>
            </w:r>
          </w:p>
        </w:tc>
        <w:tc>
          <w:tcPr>
            <w:tcW w:w="739" w:type="dxa"/>
            <w:tcBorders>
              <w:top w:val="single" w:sz="6" w:space="0" w:color="auto"/>
              <w:left w:val="single" w:sz="6" w:space="0" w:color="auto"/>
              <w:bottom w:val="nil"/>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34.7</w:t>
            </w:r>
          </w:p>
        </w:tc>
        <w:tc>
          <w:tcPr>
            <w:tcW w:w="746" w:type="dxa"/>
            <w:tcBorders>
              <w:top w:val="single" w:sz="6" w:space="0" w:color="auto"/>
              <w:left w:val="single" w:sz="6" w:space="0" w:color="auto"/>
              <w:bottom w:val="nil"/>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40.1</w:t>
            </w:r>
          </w:p>
        </w:tc>
        <w:tc>
          <w:tcPr>
            <w:tcW w:w="739" w:type="dxa"/>
            <w:tcBorders>
              <w:top w:val="single" w:sz="6" w:space="0" w:color="auto"/>
              <w:left w:val="single" w:sz="6" w:space="0" w:color="auto"/>
              <w:right w:val="single" w:sz="6" w:space="0" w:color="auto"/>
            </w:tcBorders>
            <w:vAlign w:val="center"/>
          </w:tcPr>
          <w:p w:rsidR="00442E6A" w:rsidRPr="00F15EFB" w:rsidRDefault="00442E6A" w:rsidP="00F15EFB">
            <w:pPr>
              <w:pStyle w:val="Style23"/>
              <w:spacing w:line="360" w:lineRule="auto"/>
              <w:jc w:val="both"/>
              <w:rPr>
                <w:rFonts w:ascii="Times New Roman" w:hAnsi="Times New Roman"/>
                <w:sz w:val="20"/>
                <w:szCs w:val="20"/>
              </w:rPr>
            </w:pPr>
            <w:r w:rsidRPr="00F15EFB">
              <w:rPr>
                <w:rStyle w:val="FontStyle37"/>
                <w:sz w:val="20"/>
                <w:szCs w:val="20"/>
              </w:rPr>
              <w:t>373</w:t>
            </w:r>
          </w:p>
        </w:tc>
        <w:tc>
          <w:tcPr>
            <w:tcW w:w="866" w:type="dxa"/>
            <w:tcBorders>
              <w:top w:val="single" w:sz="6" w:space="0" w:color="auto"/>
              <w:left w:val="single" w:sz="6" w:space="0" w:color="auto"/>
              <w:right w:val="single" w:sz="6" w:space="0" w:color="auto"/>
            </w:tcBorders>
            <w:vAlign w:val="center"/>
          </w:tcPr>
          <w:p w:rsidR="00442E6A" w:rsidRPr="00F15EFB" w:rsidRDefault="00442E6A" w:rsidP="00F15EFB">
            <w:pPr>
              <w:pStyle w:val="Style23"/>
              <w:spacing w:line="360" w:lineRule="auto"/>
              <w:jc w:val="both"/>
              <w:rPr>
                <w:rFonts w:ascii="Times New Roman" w:hAnsi="Times New Roman"/>
                <w:sz w:val="20"/>
                <w:szCs w:val="20"/>
              </w:rPr>
            </w:pPr>
            <w:r w:rsidRPr="00F15EFB">
              <w:rPr>
                <w:rStyle w:val="FontStyle37"/>
                <w:sz w:val="20"/>
                <w:szCs w:val="20"/>
              </w:rPr>
              <w:t>38.0</w:t>
            </w:r>
          </w:p>
        </w:tc>
        <w:tc>
          <w:tcPr>
            <w:tcW w:w="909" w:type="dxa"/>
            <w:tcBorders>
              <w:top w:val="single" w:sz="6" w:space="0" w:color="auto"/>
              <w:left w:val="single" w:sz="6" w:space="0" w:color="auto"/>
              <w:bottom w:val="nil"/>
              <w:right w:val="single" w:sz="6" w:space="0" w:color="auto"/>
            </w:tcBorders>
            <w:vAlign w:val="center"/>
          </w:tcPr>
          <w:p w:rsidR="00442E6A" w:rsidRPr="00F15EFB" w:rsidRDefault="00442E6A" w:rsidP="00F15EFB">
            <w:pPr>
              <w:pStyle w:val="Style13"/>
              <w:widowControl/>
              <w:spacing w:line="360" w:lineRule="auto"/>
              <w:jc w:val="both"/>
              <w:rPr>
                <w:rStyle w:val="FontStyle35"/>
                <w:b w:val="0"/>
                <w:i w:val="0"/>
                <w:sz w:val="20"/>
                <w:szCs w:val="20"/>
              </w:rPr>
            </w:pPr>
            <w:r w:rsidRPr="00F15EFB">
              <w:rPr>
                <w:rStyle w:val="FontStyle35"/>
                <w:b w:val="0"/>
                <w:i w:val="0"/>
                <w:sz w:val="20"/>
                <w:szCs w:val="20"/>
              </w:rPr>
              <w:t>74</w:t>
            </w:r>
          </w:p>
        </w:tc>
        <w:tc>
          <w:tcPr>
            <w:tcW w:w="859" w:type="dxa"/>
            <w:tcBorders>
              <w:top w:val="single" w:sz="6" w:space="0" w:color="auto"/>
              <w:left w:val="single" w:sz="6" w:space="0" w:color="auto"/>
              <w:right w:val="single" w:sz="6" w:space="0" w:color="auto"/>
            </w:tcBorders>
            <w:vAlign w:val="center"/>
          </w:tcPr>
          <w:p w:rsidR="00442E6A" w:rsidRPr="00F15EFB" w:rsidRDefault="00442E6A" w:rsidP="00F15EFB">
            <w:pPr>
              <w:pStyle w:val="Style23"/>
              <w:spacing w:line="360" w:lineRule="auto"/>
              <w:jc w:val="both"/>
              <w:rPr>
                <w:rFonts w:ascii="Times New Roman" w:hAnsi="Times New Roman"/>
                <w:sz w:val="20"/>
                <w:szCs w:val="20"/>
              </w:rPr>
            </w:pPr>
            <w:r w:rsidRPr="00F15EFB">
              <w:rPr>
                <w:rStyle w:val="FontStyle37"/>
                <w:sz w:val="20"/>
                <w:szCs w:val="20"/>
              </w:rPr>
              <w:t>65.6</w:t>
            </w:r>
          </w:p>
        </w:tc>
        <w:tc>
          <w:tcPr>
            <w:tcW w:w="842" w:type="dxa"/>
            <w:tcBorders>
              <w:top w:val="single" w:sz="6" w:space="0" w:color="auto"/>
              <w:left w:val="single" w:sz="6" w:space="0" w:color="auto"/>
              <w:right w:val="single" w:sz="6" w:space="0" w:color="auto"/>
            </w:tcBorders>
            <w:vAlign w:val="center"/>
          </w:tcPr>
          <w:p w:rsidR="00442E6A" w:rsidRPr="00F15EFB" w:rsidRDefault="00442E6A" w:rsidP="00F15EFB">
            <w:pPr>
              <w:pStyle w:val="Style23"/>
              <w:spacing w:line="360" w:lineRule="auto"/>
              <w:jc w:val="both"/>
              <w:rPr>
                <w:rFonts w:ascii="Times New Roman" w:hAnsi="Times New Roman"/>
                <w:sz w:val="20"/>
                <w:szCs w:val="20"/>
              </w:rPr>
            </w:pPr>
            <w:r w:rsidRPr="00F15EFB">
              <w:rPr>
                <w:rStyle w:val="FontStyle37"/>
                <w:sz w:val="20"/>
                <w:szCs w:val="20"/>
              </w:rPr>
              <w:t>47.0</w:t>
            </w:r>
          </w:p>
        </w:tc>
        <w:tc>
          <w:tcPr>
            <w:tcW w:w="851" w:type="dxa"/>
            <w:tcBorders>
              <w:top w:val="single" w:sz="6" w:space="0" w:color="auto"/>
              <w:left w:val="single" w:sz="6" w:space="0" w:color="auto"/>
              <w:right w:val="single" w:sz="6" w:space="0" w:color="auto"/>
            </w:tcBorders>
            <w:vAlign w:val="center"/>
          </w:tcPr>
          <w:p w:rsidR="00442E6A" w:rsidRPr="00F15EFB" w:rsidRDefault="00442E6A" w:rsidP="00F15EFB">
            <w:pPr>
              <w:pStyle w:val="Style23"/>
              <w:spacing w:line="360" w:lineRule="auto"/>
              <w:jc w:val="both"/>
              <w:rPr>
                <w:rFonts w:ascii="Times New Roman" w:hAnsi="Times New Roman"/>
                <w:sz w:val="20"/>
                <w:szCs w:val="20"/>
              </w:rPr>
            </w:pPr>
            <w:r w:rsidRPr="00F15EFB">
              <w:rPr>
                <w:rStyle w:val="FontStyle37"/>
                <w:sz w:val="20"/>
                <w:szCs w:val="20"/>
              </w:rPr>
              <w:t>80.1</w:t>
            </w:r>
          </w:p>
        </w:tc>
        <w:tc>
          <w:tcPr>
            <w:tcW w:w="850" w:type="dxa"/>
            <w:tcBorders>
              <w:top w:val="single" w:sz="6" w:space="0" w:color="auto"/>
              <w:left w:val="single" w:sz="6" w:space="0" w:color="auto"/>
              <w:right w:val="single" w:sz="6" w:space="0" w:color="auto"/>
            </w:tcBorders>
            <w:vAlign w:val="center"/>
          </w:tcPr>
          <w:p w:rsidR="00442E6A" w:rsidRPr="00F15EFB" w:rsidRDefault="00442E6A" w:rsidP="00F15EFB">
            <w:pPr>
              <w:pStyle w:val="Style23"/>
              <w:spacing w:line="360" w:lineRule="auto"/>
              <w:jc w:val="both"/>
              <w:rPr>
                <w:rFonts w:ascii="Times New Roman" w:hAnsi="Times New Roman"/>
                <w:sz w:val="20"/>
                <w:szCs w:val="20"/>
              </w:rPr>
            </w:pPr>
            <w:r w:rsidRPr="00F15EFB">
              <w:rPr>
                <w:rStyle w:val="FontStyle37"/>
                <w:sz w:val="20"/>
                <w:szCs w:val="20"/>
              </w:rPr>
              <w:t>1043</w:t>
            </w:r>
          </w:p>
        </w:tc>
        <w:tc>
          <w:tcPr>
            <w:tcW w:w="755" w:type="dxa"/>
            <w:tcBorders>
              <w:top w:val="single" w:sz="6" w:space="0" w:color="auto"/>
              <w:left w:val="single" w:sz="6" w:space="0" w:color="auto"/>
              <w:right w:val="single" w:sz="6" w:space="0" w:color="auto"/>
            </w:tcBorders>
            <w:vAlign w:val="center"/>
          </w:tcPr>
          <w:p w:rsidR="00442E6A" w:rsidRPr="00F15EFB" w:rsidRDefault="00442E6A" w:rsidP="00F15EFB">
            <w:pPr>
              <w:pStyle w:val="Style23"/>
              <w:spacing w:line="360" w:lineRule="auto"/>
              <w:jc w:val="both"/>
              <w:rPr>
                <w:rFonts w:ascii="Times New Roman" w:hAnsi="Times New Roman"/>
                <w:sz w:val="20"/>
                <w:szCs w:val="20"/>
              </w:rPr>
            </w:pPr>
            <w:r w:rsidRPr="00F15EFB">
              <w:rPr>
                <w:rStyle w:val="FontStyle37"/>
                <w:sz w:val="20"/>
                <w:szCs w:val="20"/>
              </w:rPr>
              <w:t>873</w:t>
            </w:r>
          </w:p>
        </w:tc>
      </w:tr>
      <w:tr w:rsidR="00442E6A" w:rsidRPr="00F15EFB" w:rsidTr="00F15EFB">
        <w:trPr>
          <w:trHeight w:val="219"/>
        </w:trPr>
        <w:tc>
          <w:tcPr>
            <w:tcW w:w="2126"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валютные опционы</w:t>
            </w:r>
          </w:p>
        </w:tc>
        <w:tc>
          <w:tcPr>
            <w:tcW w:w="746"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563</w:t>
            </w:r>
          </w:p>
        </w:tc>
        <w:tc>
          <w:tcPr>
            <w:tcW w:w="746"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62.9</w:t>
            </w:r>
          </w:p>
        </w:tc>
        <w:tc>
          <w:tcPr>
            <w:tcW w:w="746"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71,1</w:t>
            </w:r>
          </w:p>
        </w:tc>
        <w:tc>
          <w:tcPr>
            <w:tcW w:w="739"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75,6</w:t>
            </w:r>
          </w:p>
        </w:tc>
        <w:tc>
          <w:tcPr>
            <w:tcW w:w="746"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55.6</w:t>
            </w:r>
          </w:p>
        </w:tc>
        <w:tc>
          <w:tcPr>
            <w:tcW w:w="739"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433</w:t>
            </w:r>
          </w:p>
        </w:tc>
        <w:tc>
          <w:tcPr>
            <w:tcW w:w="866"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19.0</w:t>
            </w:r>
          </w:p>
        </w:tc>
        <w:tc>
          <w:tcPr>
            <w:tcW w:w="909"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21.4</w:t>
            </w:r>
          </w:p>
        </w:tc>
        <w:tc>
          <w:tcPr>
            <w:tcW w:w="859"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27,4</w:t>
            </w:r>
          </w:p>
        </w:tc>
        <w:tc>
          <w:tcPr>
            <w:tcW w:w="842"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27,4</w:t>
            </w:r>
          </w:p>
        </w:tc>
        <w:tc>
          <w:tcPr>
            <w:tcW w:w="851"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37.9</w:t>
            </w:r>
          </w:p>
        </w:tc>
        <w:tc>
          <w:tcPr>
            <w:tcW w:w="850"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60,7</w:t>
            </w:r>
          </w:p>
        </w:tc>
        <w:tc>
          <w:tcPr>
            <w:tcW w:w="755" w:type="dxa"/>
            <w:tcBorders>
              <w:top w:val="single" w:sz="6" w:space="0" w:color="auto"/>
              <w:left w:val="single" w:sz="6" w:space="0" w:color="auto"/>
              <w:bottom w:val="single" w:sz="6" w:space="0" w:color="auto"/>
              <w:right w:val="single" w:sz="6" w:space="0" w:color="auto"/>
            </w:tcBorders>
            <w:vAlign w:val="center"/>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60.0</w:t>
            </w:r>
          </w:p>
        </w:tc>
      </w:tr>
      <w:tr w:rsidR="00442E6A" w:rsidRPr="00F15EFB" w:rsidTr="00F15EFB">
        <w:trPr>
          <w:trHeight w:val="181"/>
        </w:trPr>
        <w:tc>
          <w:tcPr>
            <w:tcW w:w="2126" w:type="dxa"/>
            <w:tcBorders>
              <w:top w:val="single" w:sz="6" w:space="0" w:color="auto"/>
              <w:left w:val="single" w:sz="6" w:space="0" w:color="auto"/>
              <w:bottom w:val="single" w:sz="6" w:space="0" w:color="auto"/>
              <w:right w:val="single" w:sz="6" w:space="0" w:color="auto"/>
            </w:tcBorders>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фьючерсы индексов акций</w:t>
            </w:r>
          </w:p>
        </w:tc>
        <w:tc>
          <w:tcPr>
            <w:tcW w:w="746" w:type="dxa"/>
            <w:tcBorders>
              <w:top w:val="single" w:sz="6" w:space="0" w:color="auto"/>
              <w:left w:val="single" w:sz="6" w:space="0" w:color="auto"/>
              <w:bottom w:val="single" w:sz="6" w:space="0" w:color="auto"/>
              <w:right w:val="single" w:sz="6" w:space="0" w:color="auto"/>
            </w:tcBorders>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69.1</w:t>
            </w:r>
          </w:p>
        </w:tc>
        <w:tc>
          <w:tcPr>
            <w:tcW w:w="746" w:type="dxa"/>
            <w:tcBorders>
              <w:top w:val="single" w:sz="6" w:space="0" w:color="auto"/>
              <w:left w:val="single" w:sz="6" w:space="0" w:color="auto"/>
              <w:bottom w:val="single" w:sz="6" w:space="0" w:color="auto"/>
              <w:right w:val="single" w:sz="6" w:space="0" w:color="auto"/>
            </w:tcBorders>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76.0</w:t>
            </w:r>
          </w:p>
        </w:tc>
        <w:tc>
          <w:tcPr>
            <w:tcW w:w="746" w:type="dxa"/>
            <w:tcBorders>
              <w:top w:val="single" w:sz="6" w:space="0" w:color="auto"/>
              <w:left w:val="single" w:sz="6" w:space="0" w:color="auto"/>
              <w:bottom w:val="single" w:sz="6" w:space="0" w:color="auto"/>
              <w:right w:val="single" w:sz="6" w:space="0" w:color="auto"/>
            </w:tcBorders>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793</w:t>
            </w:r>
          </w:p>
        </w:tc>
        <w:tc>
          <w:tcPr>
            <w:tcW w:w="739" w:type="dxa"/>
            <w:tcBorders>
              <w:top w:val="single" w:sz="6" w:space="0" w:color="auto"/>
              <w:left w:val="single" w:sz="6" w:space="0" w:color="auto"/>
              <w:bottom w:val="single" w:sz="6" w:space="0" w:color="auto"/>
              <w:right w:val="single" w:sz="6" w:space="0" w:color="auto"/>
            </w:tcBorders>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110.0</w:t>
            </w:r>
          </w:p>
        </w:tc>
        <w:tc>
          <w:tcPr>
            <w:tcW w:w="746" w:type="dxa"/>
            <w:tcBorders>
              <w:top w:val="single" w:sz="6" w:space="0" w:color="auto"/>
              <w:left w:val="single" w:sz="6" w:space="0" w:color="auto"/>
              <w:bottom w:val="single" w:sz="6" w:space="0" w:color="auto"/>
              <w:right w:val="single" w:sz="6" w:space="0" w:color="auto"/>
            </w:tcBorders>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1273</w:t>
            </w:r>
          </w:p>
        </w:tc>
        <w:tc>
          <w:tcPr>
            <w:tcW w:w="739" w:type="dxa"/>
            <w:tcBorders>
              <w:top w:val="single" w:sz="6" w:space="0" w:color="auto"/>
              <w:left w:val="single" w:sz="6" w:space="0" w:color="auto"/>
              <w:bottom w:val="single" w:sz="6" w:space="0" w:color="auto"/>
              <w:right w:val="single" w:sz="6" w:space="0" w:color="auto"/>
            </w:tcBorders>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172.2</w:t>
            </w:r>
          </w:p>
        </w:tc>
        <w:tc>
          <w:tcPr>
            <w:tcW w:w="866" w:type="dxa"/>
            <w:tcBorders>
              <w:top w:val="single" w:sz="6" w:space="0" w:color="auto"/>
              <w:left w:val="single" w:sz="6" w:space="0" w:color="auto"/>
              <w:bottom w:val="single" w:sz="6" w:space="0" w:color="auto"/>
              <w:right w:val="single" w:sz="6" w:space="0" w:color="auto"/>
            </w:tcBorders>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321.0</w:t>
            </w:r>
          </w:p>
        </w:tc>
        <w:tc>
          <w:tcPr>
            <w:tcW w:w="909" w:type="dxa"/>
            <w:tcBorders>
              <w:top w:val="single" w:sz="6" w:space="0" w:color="auto"/>
              <w:left w:val="single" w:sz="6" w:space="0" w:color="auto"/>
              <w:bottom w:val="single" w:sz="6" w:space="0" w:color="auto"/>
              <w:right w:val="single" w:sz="6" w:space="0" w:color="auto"/>
            </w:tcBorders>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3773</w:t>
            </w:r>
          </w:p>
        </w:tc>
        <w:tc>
          <w:tcPr>
            <w:tcW w:w="859" w:type="dxa"/>
            <w:tcBorders>
              <w:top w:val="single" w:sz="6" w:space="0" w:color="auto"/>
              <w:left w:val="single" w:sz="6" w:space="0" w:color="auto"/>
              <w:bottom w:val="single" w:sz="6" w:space="0" w:color="auto"/>
              <w:right w:val="single" w:sz="6" w:space="0" w:color="auto"/>
            </w:tcBorders>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34.7</w:t>
            </w:r>
          </w:p>
        </w:tc>
        <w:tc>
          <w:tcPr>
            <w:tcW w:w="842" w:type="dxa"/>
            <w:tcBorders>
              <w:top w:val="single" w:sz="6" w:space="0" w:color="auto"/>
              <w:left w:val="single" w:sz="6" w:space="0" w:color="auto"/>
              <w:bottom w:val="single" w:sz="6" w:space="0" w:color="auto"/>
              <w:right w:val="single" w:sz="6" w:space="0" w:color="auto"/>
            </w:tcBorders>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3253</w:t>
            </w:r>
          </w:p>
        </w:tc>
        <w:tc>
          <w:tcPr>
            <w:tcW w:w="851" w:type="dxa"/>
            <w:tcBorders>
              <w:top w:val="single" w:sz="6" w:space="0" w:color="auto"/>
              <w:left w:val="single" w:sz="6" w:space="0" w:color="auto"/>
              <w:bottom w:val="single" w:sz="6" w:space="0" w:color="auto"/>
              <w:right w:val="single" w:sz="6" w:space="0" w:color="auto"/>
            </w:tcBorders>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5013</w:t>
            </w:r>
          </w:p>
        </w:tc>
        <w:tc>
          <w:tcPr>
            <w:tcW w:w="850" w:type="dxa"/>
            <w:tcBorders>
              <w:top w:val="single" w:sz="6" w:space="0" w:color="auto"/>
              <w:left w:val="single" w:sz="6" w:space="0" w:color="auto"/>
              <w:bottom w:val="single" w:sz="6" w:space="0" w:color="auto"/>
              <w:right w:val="single" w:sz="6" w:space="0" w:color="auto"/>
            </w:tcBorders>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6343</w:t>
            </w:r>
          </w:p>
        </w:tc>
        <w:tc>
          <w:tcPr>
            <w:tcW w:w="755" w:type="dxa"/>
            <w:tcBorders>
              <w:top w:val="single" w:sz="6" w:space="0" w:color="auto"/>
              <w:left w:val="single" w:sz="6" w:space="0" w:color="auto"/>
              <w:bottom w:val="single" w:sz="6" w:space="0" w:color="auto"/>
              <w:right w:val="single" w:sz="6" w:space="0" w:color="auto"/>
            </w:tcBorders>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712.4</w:t>
            </w:r>
          </w:p>
        </w:tc>
      </w:tr>
      <w:tr w:rsidR="00442E6A" w:rsidRPr="00F15EFB" w:rsidTr="00F15EFB">
        <w:trPr>
          <w:trHeight w:val="181"/>
        </w:trPr>
        <w:tc>
          <w:tcPr>
            <w:tcW w:w="2126" w:type="dxa"/>
            <w:tcBorders>
              <w:top w:val="single" w:sz="6" w:space="0" w:color="auto"/>
              <w:left w:val="single" w:sz="6" w:space="0" w:color="auto"/>
              <w:bottom w:val="single" w:sz="6" w:space="0" w:color="auto"/>
              <w:right w:val="single" w:sz="6" w:space="0" w:color="auto"/>
            </w:tcBorders>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 xml:space="preserve">опционы </w:t>
            </w:r>
            <w:r w:rsidR="00F15EFB" w:rsidRPr="00F15EFB">
              <w:rPr>
                <w:rStyle w:val="FontStyle37"/>
                <w:sz w:val="20"/>
                <w:szCs w:val="20"/>
              </w:rPr>
              <w:t>ин</w:t>
            </w:r>
            <w:r w:rsidR="00F15EFB">
              <w:rPr>
                <w:rStyle w:val="FontStyle37"/>
                <w:sz w:val="20"/>
                <w:szCs w:val="20"/>
              </w:rPr>
              <w:t>д</w:t>
            </w:r>
            <w:r w:rsidR="00F15EFB" w:rsidRPr="00F15EFB">
              <w:rPr>
                <w:rStyle w:val="FontStyle37"/>
                <w:sz w:val="20"/>
                <w:szCs w:val="20"/>
              </w:rPr>
              <w:t>ексов</w:t>
            </w:r>
            <w:r w:rsidRPr="00F15EFB">
              <w:rPr>
                <w:rStyle w:val="FontStyle37"/>
                <w:sz w:val="20"/>
                <w:szCs w:val="20"/>
              </w:rPr>
              <w:t xml:space="preserve"> акций</w:t>
            </w:r>
          </w:p>
        </w:tc>
        <w:tc>
          <w:tcPr>
            <w:tcW w:w="746" w:type="dxa"/>
            <w:tcBorders>
              <w:top w:val="single" w:sz="6" w:space="0" w:color="auto"/>
              <w:left w:val="single" w:sz="6" w:space="0" w:color="auto"/>
              <w:bottom w:val="single" w:sz="6" w:space="0" w:color="auto"/>
              <w:right w:val="single" w:sz="6" w:space="0" w:color="auto"/>
            </w:tcBorders>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93,7</w:t>
            </w:r>
          </w:p>
        </w:tc>
        <w:tc>
          <w:tcPr>
            <w:tcW w:w="746" w:type="dxa"/>
            <w:tcBorders>
              <w:top w:val="single" w:sz="6" w:space="0" w:color="auto"/>
              <w:left w:val="single" w:sz="6" w:space="0" w:color="auto"/>
              <w:bottom w:val="single" w:sz="6" w:space="0" w:color="auto"/>
              <w:right w:val="single" w:sz="6" w:space="0" w:color="auto"/>
            </w:tcBorders>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1323</w:t>
            </w:r>
          </w:p>
        </w:tc>
        <w:tc>
          <w:tcPr>
            <w:tcW w:w="746" w:type="dxa"/>
            <w:tcBorders>
              <w:top w:val="single" w:sz="6" w:space="0" w:color="auto"/>
              <w:left w:val="single" w:sz="6" w:space="0" w:color="auto"/>
              <w:bottom w:val="single" w:sz="6" w:space="0" w:color="auto"/>
              <w:right w:val="single" w:sz="6" w:space="0" w:color="auto"/>
            </w:tcBorders>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158.6</w:t>
            </w:r>
          </w:p>
        </w:tc>
        <w:tc>
          <w:tcPr>
            <w:tcW w:w="739" w:type="dxa"/>
            <w:tcBorders>
              <w:top w:val="single" w:sz="6" w:space="0" w:color="auto"/>
              <w:left w:val="single" w:sz="6" w:space="0" w:color="auto"/>
              <w:bottom w:val="single" w:sz="6" w:space="0" w:color="auto"/>
              <w:right w:val="single" w:sz="6" w:space="0" w:color="auto"/>
            </w:tcBorders>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229,7</w:t>
            </w:r>
          </w:p>
        </w:tc>
        <w:tc>
          <w:tcPr>
            <w:tcW w:w="746" w:type="dxa"/>
            <w:tcBorders>
              <w:top w:val="single" w:sz="6" w:space="0" w:color="auto"/>
              <w:left w:val="single" w:sz="6" w:space="0" w:color="auto"/>
              <w:bottom w:val="single" w:sz="6" w:space="0" w:color="auto"/>
              <w:right w:val="single" w:sz="6" w:space="0" w:color="auto"/>
            </w:tcBorders>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2383</w:t>
            </w:r>
          </w:p>
        </w:tc>
        <w:tc>
          <w:tcPr>
            <w:tcW w:w="739" w:type="dxa"/>
            <w:tcBorders>
              <w:top w:val="single" w:sz="6" w:space="0" w:color="auto"/>
              <w:left w:val="single" w:sz="6" w:space="0" w:color="auto"/>
              <w:bottom w:val="single" w:sz="6" w:space="0" w:color="auto"/>
              <w:right w:val="single" w:sz="6" w:space="0" w:color="auto"/>
            </w:tcBorders>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326,9</w:t>
            </w:r>
          </w:p>
        </w:tc>
        <w:tc>
          <w:tcPr>
            <w:tcW w:w="866" w:type="dxa"/>
            <w:tcBorders>
              <w:top w:val="single" w:sz="6" w:space="0" w:color="auto"/>
              <w:left w:val="single" w:sz="6" w:space="0" w:color="auto"/>
              <w:bottom w:val="single" w:sz="6" w:space="0" w:color="auto"/>
              <w:right w:val="single" w:sz="6" w:space="0" w:color="auto"/>
            </w:tcBorders>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867.0</w:t>
            </w:r>
          </w:p>
        </w:tc>
        <w:tc>
          <w:tcPr>
            <w:tcW w:w="909" w:type="dxa"/>
            <w:tcBorders>
              <w:top w:val="single" w:sz="6" w:space="0" w:color="auto"/>
              <w:left w:val="single" w:sz="6" w:space="0" w:color="auto"/>
              <w:bottom w:val="single" w:sz="6" w:space="0" w:color="auto"/>
              <w:right w:val="single" w:sz="6" w:space="0" w:color="auto"/>
            </w:tcBorders>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1162.9</w:t>
            </w:r>
          </w:p>
        </w:tc>
        <w:tc>
          <w:tcPr>
            <w:tcW w:w="859" w:type="dxa"/>
            <w:tcBorders>
              <w:top w:val="single" w:sz="6" w:space="0" w:color="auto"/>
              <w:left w:val="single" w:sz="6" w:space="0" w:color="auto"/>
              <w:bottom w:val="single" w:sz="6" w:space="0" w:color="auto"/>
              <w:right w:val="single" w:sz="6" w:space="0" w:color="auto"/>
            </w:tcBorders>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16053</w:t>
            </w:r>
          </w:p>
        </w:tc>
        <w:tc>
          <w:tcPr>
            <w:tcW w:w="842" w:type="dxa"/>
            <w:tcBorders>
              <w:top w:val="single" w:sz="6" w:space="0" w:color="auto"/>
              <w:left w:val="single" w:sz="6" w:space="0" w:color="auto"/>
              <w:bottom w:val="single" w:sz="6" w:space="0" w:color="auto"/>
              <w:right w:val="single" w:sz="6" w:space="0" w:color="auto"/>
            </w:tcBorders>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17003</w:t>
            </w:r>
          </w:p>
        </w:tc>
        <w:tc>
          <w:tcPr>
            <w:tcW w:w="851" w:type="dxa"/>
            <w:tcBorders>
              <w:top w:val="single" w:sz="6" w:space="0" w:color="auto"/>
              <w:left w:val="single" w:sz="6" w:space="0" w:color="auto"/>
              <w:bottom w:val="single" w:sz="6" w:space="0" w:color="auto"/>
              <w:right w:val="single" w:sz="6" w:space="0" w:color="auto"/>
            </w:tcBorders>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2202,3</w:t>
            </w:r>
          </w:p>
        </w:tc>
        <w:tc>
          <w:tcPr>
            <w:tcW w:w="850" w:type="dxa"/>
            <w:tcBorders>
              <w:top w:val="single" w:sz="6" w:space="0" w:color="auto"/>
              <w:left w:val="single" w:sz="6" w:space="0" w:color="auto"/>
              <w:bottom w:val="single" w:sz="6" w:space="0" w:color="auto"/>
              <w:right w:val="single" w:sz="6" w:space="0" w:color="auto"/>
            </w:tcBorders>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3023,9</w:t>
            </w:r>
          </w:p>
        </w:tc>
        <w:tc>
          <w:tcPr>
            <w:tcW w:w="755" w:type="dxa"/>
            <w:tcBorders>
              <w:top w:val="single" w:sz="6" w:space="0" w:color="auto"/>
              <w:left w:val="single" w:sz="6" w:space="0" w:color="auto"/>
              <w:bottom w:val="single" w:sz="6" w:space="0" w:color="auto"/>
              <w:right w:val="single" w:sz="6" w:space="0" w:color="auto"/>
            </w:tcBorders>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3768.9</w:t>
            </w:r>
          </w:p>
        </w:tc>
      </w:tr>
      <w:tr w:rsidR="00442E6A" w:rsidRPr="00F15EFB" w:rsidTr="00F15EFB">
        <w:trPr>
          <w:trHeight w:val="181"/>
        </w:trPr>
        <w:tc>
          <w:tcPr>
            <w:tcW w:w="2126" w:type="dxa"/>
            <w:tcBorders>
              <w:top w:val="single" w:sz="6" w:space="0" w:color="auto"/>
              <w:left w:val="single" w:sz="6" w:space="0" w:color="auto"/>
              <w:bottom w:val="single" w:sz="6" w:space="0" w:color="auto"/>
              <w:right w:val="single" w:sz="6" w:space="0" w:color="auto"/>
            </w:tcBorders>
          </w:tcPr>
          <w:p w:rsidR="00442E6A" w:rsidRPr="00F15EFB" w:rsidRDefault="00442E6A" w:rsidP="00F15EFB">
            <w:pPr>
              <w:pStyle w:val="Style20"/>
              <w:widowControl/>
              <w:spacing w:line="360" w:lineRule="auto"/>
              <w:jc w:val="both"/>
              <w:rPr>
                <w:rStyle w:val="FontStyle34"/>
                <w:b w:val="0"/>
                <w:sz w:val="20"/>
                <w:szCs w:val="20"/>
              </w:rPr>
            </w:pPr>
            <w:r w:rsidRPr="00F15EFB">
              <w:rPr>
                <w:rStyle w:val="FontStyle34"/>
                <w:b w:val="0"/>
                <w:sz w:val="20"/>
                <w:szCs w:val="20"/>
              </w:rPr>
              <w:t>Внебиржевой торговля</w:t>
            </w:r>
          </w:p>
        </w:tc>
        <w:tc>
          <w:tcPr>
            <w:tcW w:w="746" w:type="dxa"/>
            <w:tcBorders>
              <w:top w:val="single" w:sz="6" w:space="0" w:color="auto"/>
              <w:left w:val="single" w:sz="6" w:space="0" w:color="auto"/>
              <w:bottom w:val="single" w:sz="6" w:space="0" w:color="auto"/>
              <w:right w:val="single" w:sz="6" w:space="0" w:color="auto"/>
            </w:tcBorders>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34503</w:t>
            </w:r>
          </w:p>
        </w:tc>
        <w:tc>
          <w:tcPr>
            <w:tcW w:w="746" w:type="dxa"/>
            <w:tcBorders>
              <w:top w:val="single" w:sz="6" w:space="0" w:color="auto"/>
              <w:left w:val="single" w:sz="6" w:space="0" w:color="auto"/>
              <w:bottom w:val="single" w:sz="6" w:space="0" w:color="auto"/>
              <w:right w:val="single" w:sz="6" w:space="0" w:color="auto"/>
            </w:tcBorders>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4449.4</w:t>
            </w:r>
          </w:p>
        </w:tc>
        <w:tc>
          <w:tcPr>
            <w:tcW w:w="746" w:type="dxa"/>
            <w:tcBorders>
              <w:top w:val="single" w:sz="6" w:space="0" w:color="auto"/>
              <w:left w:val="single" w:sz="6" w:space="0" w:color="auto"/>
              <w:bottom w:val="single" w:sz="6" w:space="0" w:color="auto"/>
              <w:right w:val="single" w:sz="6" w:space="0" w:color="auto"/>
            </w:tcBorders>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5345.7</w:t>
            </w:r>
          </w:p>
        </w:tc>
        <w:tc>
          <w:tcPr>
            <w:tcW w:w="739" w:type="dxa"/>
            <w:tcBorders>
              <w:top w:val="single" w:sz="6" w:space="0" w:color="auto"/>
              <w:left w:val="single" w:sz="6" w:space="0" w:color="auto"/>
              <w:bottom w:val="single" w:sz="6" w:space="0" w:color="auto"/>
              <w:right w:val="single" w:sz="6" w:space="0" w:color="auto"/>
            </w:tcBorders>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8474.6</w:t>
            </w:r>
          </w:p>
        </w:tc>
        <w:tc>
          <w:tcPr>
            <w:tcW w:w="746" w:type="dxa"/>
            <w:tcBorders>
              <w:top w:val="single" w:sz="6" w:space="0" w:color="auto"/>
              <w:left w:val="single" w:sz="6" w:space="0" w:color="auto"/>
              <w:bottom w:val="single" w:sz="6" w:space="0" w:color="auto"/>
              <w:right w:val="single" w:sz="6" w:space="0" w:color="auto"/>
            </w:tcBorders>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113033</w:t>
            </w:r>
          </w:p>
        </w:tc>
        <w:tc>
          <w:tcPr>
            <w:tcW w:w="739" w:type="dxa"/>
            <w:tcBorders>
              <w:top w:val="single" w:sz="6" w:space="0" w:color="auto"/>
              <w:left w:val="single" w:sz="6" w:space="0" w:color="auto"/>
              <w:bottom w:val="single" w:sz="6" w:space="0" w:color="auto"/>
              <w:right w:val="single" w:sz="6" w:space="0" w:color="auto"/>
            </w:tcBorders>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17990.0</w:t>
            </w:r>
          </w:p>
        </w:tc>
        <w:tc>
          <w:tcPr>
            <w:tcW w:w="866" w:type="dxa"/>
            <w:tcBorders>
              <w:top w:val="single" w:sz="6" w:space="0" w:color="auto"/>
              <w:left w:val="single" w:sz="6" w:space="0" w:color="auto"/>
              <w:bottom w:val="single" w:sz="6" w:space="0" w:color="auto"/>
              <w:right w:val="single" w:sz="6" w:space="0" w:color="auto"/>
            </w:tcBorders>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48904.0</w:t>
            </w:r>
          </w:p>
        </w:tc>
        <w:tc>
          <w:tcPr>
            <w:tcW w:w="909" w:type="dxa"/>
            <w:tcBorders>
              <w:top w:val="single" w:sz="6" w:space="0" w:color="auto"/>
              <w:left w:val="single" w:sz="6" w:space="0" w:color="auto"/>
              <w:bottom w:val="single" w:sz="6" w:space="0" w:color="auto"/>
              <w:right w:val="single" w:sz="6" w:space="0" w:color="auto"/>
            </w:tcBorders>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64275.0</w:t>
            </w:r>
          </w:p>
        </w:tc>
        <w:tc>
          <w:tcPr>
            <w:tcW w:w="859" w:type="dxa"/>
            <w:tcBorders>
              <w:top w:val="single" w:sz="6" w:space="0" w:color="auto"/>
              <w:left w:val="single" w:sz="6" w:space="0" w:color="auto"/>
              <w:bottom w:val="single" w:sz="6" w:space="0" w:color="auto"/>
              <w:right w:val="single" w:sz="6" w:space="0" w:color="auto"/>
            </w:tcBorders>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77223,0</w:t>
            </w:r>
          </w:p>
        </w:tc>
        <w:tc>
          <w:tcPr>
            <w:tcW w:w="842" w:type="dxa"/>
            <w:tcBorders>
              <w:top w:val="single" w:sz="6" w:space="0" w:color="auto"/>
              <w:left w:val="single" w:sz="6" w:space="0" w:color="auto"/>
              <w:bottom w:val="single" w:sz="6" w:space="0" w:color="auto"/>
              <w:right w:val="single" w:sz="6" w:space="0" w:color="auto"/>
            </w:tcBorders>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101961.0</w:t>
            </w:r>
          </w:p>
        </w:tc>
        <w:tc>
          <w:tcPr>
            <w:tcW w:w="851" w:type="dxa"/>
            <w:tcBorders>
              <w:top w:val="single" w:sz="6" w:space="0" w:color="auto"/>
              <w:left w:val="single" w:sz="6" w:space="0" w:color="auto"/>
              <w:bottom w:val="single" w:sz="6" w:space="0" w:color="auto"/>
              <w:right w:val="single" w:sz="6" w:space="0" w:color="auto"/>
            </w:tcBorders>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143088.0</w:t>
            </w:r>
          </w:p>
        </w:tc>
        <w:tc>
          <w:tcPr>
            <w:tcW w:w="850" w:type="dxa"/>
            <w:tcBorders>
              <w:top w:val="single" w:sz="6" w:space="0" w:color="auto"/>
              <w:left w:val="single" w:sz="6" w:space="0" w:color="auto"/>
              <w:bottom w:val="single" w:sz="6" w:space="0" w:color="auto"/>
              <w:right w:val="single" w:sz="6" w:space="0" w:color="auto"/>
            </w:tcBorders>
          </w:tcPr>
          <w:p w:rsidR="00442E6A" w:rsidRPr="00F15EFB" w:rsidRDefault="00442E6A" w:rsidP="00F15EFB">
            <w:pPr>
              <w:pStyle w:val="Style23"/>
              <w:widowControl/>
              <w:spacing w:line="360" w:lineRule="auto"/>
              <w:jc w:val="both"/>
              <w:rPr>
                <w:rStyle w:val="FontStyle37"/>
                <w:sz w:val="20"/>
                <w:szCs w:val="20"/>
              </w:rPr>
            </w:pPr>
            <w:r w:rsidRPr="00F15EFB">
              <w:rPr>
                <w:rStyle w:val="FontStyle37"/>
                <w:sz w:val="20"/>
                <w:szCs w:val="20"/>
              </w:rPr>
              <w:t>181132.0</w:t>
            </w:r>
          </w:p>
        </w:tc>
        <w:tc>
          <w:tcPr>
            <w:tcW w:w="755" w:type="dxa"/>
            <w:tcBorders>
              <w:top w:val="single" w:sz="6" w:space="0" w:color="auto"/>
              <w:left w:val="single" w:sz="6" w:space="0" w:color="auto"/>
              <w:bottom w:val="single" w:sz="6" w:space="0" w:color="auto"/>
              <w:right w:val="single" w:sz="6" w:space="0" w:color="auto"/>
            </w:tcBorders>
          </w:tcPr>
          <w:p w:rsidR="00442E6A" w:rsidRPr="00F15EFB" w:rsidRDefault="00442E6A" w:rsidP="00F15EFB">
            <w:pPr>
              <w:pStyle w:val="Style11"/>
              <w:widowControl/>
              <w:spacing w:line="360" w:lineRule="auto"/>
              <w:jc w:val="both"/>
              <w:rPr>
                <w:rStyle w:val="FontStyle36"/>
                <w:sz w:val="20"/>
                <w:szCs w:val="20"/>
              </w:rPr>
            </w:pPr>
            <w:r w:rsidRPr="00F15EFB">
              <w:rPr>
                <w:rStyle w:val="FontStyle36"/>
                <w:sz w:val="20"/>
                <w:szCs w:val="20"/>
              </w:rPr>
              <w:t>-</w:t>
            </w:r>
          </w:p>
        </w:tc>
      </w:tr>
    </w:tbl>
    <w:p w:rsidR="00F15EFB" w:rsidRDefault="00F15EFB" w:rsidP="00F15EFB">
      <w:pPr>
        <w:pStyle w:val="Style3"/>
        <w:widowControl/>
        <w:spacing w:line="360" w:lineRule="auto"/>
        <w:ind w:firstLine="720"/>
        <w:rPr>
          <w:rStyle w:val="FontStyle28"/>
          <w:sz w:val="28"/>
          <w:szCs w:val="28"/>
        </w:rPr>
      </w:pPr>
    </w:p>
    <w:p w:rsidR="00F15EFB" w:rsidRDefault="00F15EFB" w:rsidP="00F15EFB">
      <w:pPr>
        <w:pStyle w:val="Style3"/>
        <w:widowControl/>
        <w:spacing w:line="360" w:lineRule="auto"/>
        <w:ind w:firstLine="720"/>
        <w:rPr>
          <w:rStyle w:val="FontStyle28"/>
          <w:sz w:val="28"/>
          <w:szCs w:val="28"/>
        </w:rPr>
        <w:sectPr w:rsidR="00F15EFB" w:rsidSect="00F15EFB">
          <w:pgSz w:w="16837" w:h="11905" w:orient="landscape" w:code="9"/>
          <w:pgMar w:top="851" w:right="1134" w:bottom="1701" w:left="1134" w:header="720" w:footer="720" w:gutter="0"/>
          <w:pgNumType w:start="2"/>
          <w:cols w:space="60"/>
          <w:noEndnote/>
        </w:sectPr>
      </w:pPr>
    </w:p>
    <w:p w:rsidR="009241C6" w:rsidRPr="00F15EFB" w:rsidRDefault="009241C6" w:rsidP="00F15EFB">
      <w:pPr>
        <w:pStyle w:val="Style3"/>
        <w:widowControl/>
        <w:spacing w:line="360" w:lineRule="auto"/>
        <w:ind w:firstLine="720"/>
        <w:rPr>
          <w:rStyle w:val="FontStyle28"/>
          <w:sz w:val="28"/>
          <w:szCs w:val="28"/>
        </w:rPr>
      </w:pPr>
      <w:r w:rsidRPr="00F15EFB">
        <w:rPr>
          <w:rStyle w:val="FontStyle28"/>
          <w:sz w:val="28"/>
          <w:szCs w:val="28"/>
        </w:rPr>
        <w:t xml:space="preserve">Дополнительно к приведенным в табл. </w:t>
      </w:r>
      <w:r w:rsidR="00F9585F" w:rsidRPr="00F15EFB">
        <w:rPr>
          <w:rStyle w:val="FontStyle28"/>
          <w:sz w:val="28"/>
          <w:szCs w:val="28"/>
        </w:rPr>
        <w:t>1</w:t>
      </w:r>
      <w:r w:rsidRPr="00F15EFB">
        <w:rPr>
          <w:rStyle w:val="FontStyle28"/>
          <w:sz w:val="28"/>
          <w:szCs w:val="28"/>
        </w:rPr>
        <w:t>.1 инструментам на внебиржевом рынке имеют место опционы на иностранную валюту, процентные опционы, соглашения о будущей процентной ставке (</w:t>
      </w:r>
      <w:r w:rsidRPr="00F15EFB">
        <w:rPr>
          <w:rStyle w:val="FontStyle28"/>
          <w:sz w:val="28"/>
          <w:szCs w:val="28"/>
          <w:lang w:val="en-US"/>
        </w:rPr>
        <w:t>FRA</w:t>
      </w:r>
      <w:r w:rsidRPr="00F15EFB">
        <w:rPr>
          <w:rStyle w:val="FontStyle28"/>
          <w:sz w:val="28"/>
          <w:szCs w:val="28"/>
        </w:rPr>
        <w:t>), опционы и свопы по обыкновенным акциям, а также форвардные сделки с иностранной валютой в значительных размерах по обыкновенным акциям.</w:t>
      </w:r>
    </w:p>
    <w:p w:rsidR="009241C6" w:rsidRPr="00F15EFB" w:rsidRDefault="009241C6" w:rsidP="00F15EFB">
      <w:pPr>
        <w:pStyle w:val="Style3"/>
        <w:widowControl/>
        <w:spacing w:line="360" w:lineRule="auto"/>
        <w:ind w:firstLine="720"/>
        <w:rPr>
          <w:rStyle w:val="FontStyle28"/>
          <w:sz w:val="28"/>
          <w:szCs w:val="28"/>
        </w:rPr>
      </w:pPr>
      <w:r w:rsidRPr="00F15EFB">
        <w:rPr>
          <w:rStyle w:val="FontStyle28"/>
          <w:sz w:val="28"/>
          <w:szCs w:val="28"/>
        </w:rPr>
        <w:t xml:space="preserve">По данным того же </w:t>
      </w:r>
      <w:r w:rsidRPr="00F15EFB">
        <w:rPr>
          <w:rStyle w:val="FontStyle28"/>
          <w:sz w:val="28"/>
          <w:szCs w:val="28"/>
          <w:lang w:val="en-US"/>
        </w:rPr>
        <w:t>BMP</w:t>
      </w:r>
      <w:r w:rsidRPr="00F15EFB">
        <w:rPr>
          <w:rStyle w:val="FontStyle28"/>
          <w:sz w:val="28"/>
          <w:szCs w:val="28"/>
        </w:rPr>
        <w:t xml:space="preserve"> (</w:t>
      </w:r>
      <w:r w:rsidRPr="00F15EFB">
        <w:rPr>
          <w:rStyle w:val="FontStyle28"/>
          <w:sz w:val="28"/>
          <w:szCs w:val="28"/>
          <w:lang w:val="en-US"/>
        </w:rPr>
        <w:t>Bis</w:t>
      </w:r>
      <w:r w:rsidRPr="00F15EFB">
        <w:rPr>
          <w:rStyle w:val="FontStyle28"/>
          <w:sz w:val="28"/>
          <w:szCs w:val="28"/>
        </w:rPr>
        <w:t>), на внебиржевом рынке объем открытых позиций по финансовым опционам составил в декабре 2000 г. 13,4 трлн</w:t>
      </w:r>
      <w:r w:rsidR="004234C2">
        <w:rPr>
          <w:rStyle w:val="FontStyle28"/>
          <w:sz w:val="28"/>
          <w:szCs w:val="28"/>
        </w:rPr>
        <w:t>.</w:t>
      </w:r>
      <w:r w:rsidRPr="00F15EFB">
        <w:rPr>
          <w:rStyle w:val="FontStyle28"/>
          <w:sz w:val="28"/>
          <w:szCs w:val="28"/>
        </w:rPr>
        <w:t xml:space="preserve"> долл., в декабре 2004 г. — 36,91 трлн</w:t>
      </w:r>
      <w:r w:rsidR="004234C2">
        <w:rPr>
          <w:rStyle w:val="FontStyle28"/>
          <w:sz w:val="28"/>
          <w:szCs w:val="28"/>
        </w:rPr>
        <w:t>.</w:t>
      </w:r>
      <w:r w:rsidRPr="00F15EFB">
        <w:rPr>
          <w:rStyle w:val="FontStyle28"/>
          <w:sz w:val="28"/>
          <w:szCs w:val="28"/>
        </w:rPr>
        <w:t xml:space="preserve"> долл.; по </w:t>
      </w:r>
      <w:r w:rsidRPr="00F15EFB">
        <w:rPr>
          <w:rStyle w:val="FontStyle28"/>
          <w:sz w:val="28"/>
          <w:szCs w:val="28"/>
          <w:lang w:val="en-US"/>
        </w:rPr>
        <w:t>FRA</w:t>
      </w:r>
      <w:r w:rsidRPr="00F15EFB">
        <w:rPr>
          <w:rStyle w:val="FontStyle28"/>
          <w:sz w:val="28"/>
          <w:szCs w:val="28"/>
        </w:rPr>
        <w:t xml:space="preserve"> — соответственно 6,4 трлн</w:t>
      </w:r>
      <w:r w:rsidR="004234C2">
        <w:rPr>
          <w:rStyle w:val="FontStyle28"/>
          <w:sz w:val="28"/>
          <w:szCs w:val="28"/>
        </w:rPr>
        <w:t>.</w:t>
      </w:r>
      <w:r w:rsidRPr="00F15EFB">
        <w:rPr>
          <w:rStyle w:val="FontStyle28"/>
          <w:sz w:val="28"/>
          <w:szCs w:val="28"/>
        </w:rPr>
        <w:t xml:space="preserve"> и 12,805 трлн</w:t>
      </w:r>
      <w:r w:rsidR="004234C2">
        <w:rPr>
          <w:rStyle w:val="FontStyle28"/>
          <w:sz w:val="28"/>
          <w:szCs w:val="28"/>
        </w:rPr>
        <w:t>.</w:t>
      </w:r>
      <w:r w:rsidRPr="00F15EFB">
        <w:rPr>
          <w:rStyle w:val="FontStyle28"/>
          <w:sz w:val="28"/>
          <w:szCs w:val="28"/>
        </w:rPr>
        <w:t xml:space="preserve"> долл.</w:t>
      </w:r>
    </w:p>
    <w:p w:rsidR="009241C6" w:rsidRPr="00F15EFB" w:rsidRDefault="009241C6" w:rsidP="00F15EFB">
      <w:pPr>
        <w:pStyle w:val="Style3"/>
        <w:widowControl/>
        <w:spacing w:line="360" w:lineRule="auto"/>
        <w:ind w:firstLine="720"/>
        <w:rPr>
          <w:rStyle w:val="FontStyle28"/>
          <w:sz w:val="28"/>
          <w:szCs w:val="28"/>
        </w:rPr>
      </w:pPr>
      <w:r w:rsidRPr="00F15EFB">
        <w:rPr>
          <w:rStyle w:val="FontStyle28"/>
          <w:sz w:val="28"/>
          <w:szCs w:val="28"/>
        </w:rPr>
        <w:t xml:space="preserve">Особенности принятых измерителей не позволяют утверждать, что величины, указанные в табл. </w:t>
      </w:r>
      <w:r w:rsidR="00442E6A" w:rsidRPr="00F15EFB">
        <w:rPr>
          <w:rStyle w:val="FontStyle28"/>
          <w:sz w:val="28"/>
          <w:szCs w:val="28"/>
        </w:rPr>
        <w:t>1</w:t>
      </w:r>
      <w:r w:rsidRPr="00F15EFB">
        <w:rPr>
          <w:rStyle w:val="FontStyle28"/>
          <w:sz w:val="28"/>
          <w:szCs w:val="28"/>
        </w:rPr>
        <w:t xml:space="preserve">.1, равны в сумме массе потенциальной ликвидности на данных рынках. Эти показатели свидетельствуют, во-первых, о стоимости ресурсов, </w:t>
      </w:r>
      <w:r w:rsidRPr="00F15EFB">
        <w:rPr>
          <w:rStyle w:val="FontStyle38"/>
          <w:i w:val="0"/>
          <w:sz w:val="28"/>
          <w:szCs w:val="28"/>
        </w:rPr>
        <w:t>пред</w:t>
      </w:r>
      <w:r w:rsidRPr="00F15EFB">
        <w:rPr>
          <w:rStyle w:val="FontStyle39"/>
          <w:i w:val="0"/>
          <w:sz w:val="28"/>
          <w:szCs w:val="28"/>
        </w:rPr>
        <w:t xml:space="preserve">ставленных </w:t>
      </w:r>
      <w:r w:rsidRPr="00F15EFB">
        <w:rPr>
          <w:rStyle w:val="FontStyle28"/>
          <w:sz w:val="28"/>
          <w:szCs w:val="28"/>
        </w:rPr>
        <w:t>на рынках производных; во-вторых, о динамике данных рынков; в-третьих, об их стоимостной структуре; в-четвертых, о территориально-страновом распределении на планете торговли производными.</w:t>
      </w:r>
    </w:p>
    <w:p w:rsidR="00A11483" w:rsidRPr="00F15EFB" w:rsidRDefault="00A11483" w:rsidP="00F15EFB">
      <w:pPr>
        <w:pStyle w:val="Style3"/>
        <w:widowControl/>
        <w:spacing w:line="360" w:lineRule="auto"/>
        <w:ind w:firstLine="720"/>
        <w:rPr>
          <w:rStyle w:val="FontStyle28"/>
          <w:sz w:val="28"/>
          <w:szCs w:val="28"/>
        </w:rPr>
      </w:pPr>
    </w:p>
    <w:p w:rsidR="009241C6" w:rsidRPr="00F15EFB" w:rsidRDefault="00F15EFB" w:rsidP="00F15EFB">
      <w:pPr>
        <w:pStyle w:val="Style3"/>
        <w:widowControl/>
        <w:spacing w:line="360" w:lineRule="auto"/>
        <w:ind w:firstLine="720"/>
        <w:rPr>
          <w:rStyle w:val="FontStyle28"/>
          <w:sz w:val="28"/>
          <w:szCs w:val="28"/>
        </w:rPr>
      </w:pPr>
      <w:bookmarkStart w:id="4" w:name="_Toc243274435"/>
      <w:r>
        <w:rPr>
          <w:rStyle w:val="FontStyle28"/>
          <w:sz w:val="28"/>
          <w:szCs w:val="28"/>
        </w:rPr>
        <w:br w:type="page"/>
      </w:r>
      <w:r w:rsidR="00A11483" w:rsidRPr="00F15EFB">
        <w:rPr>
          <w:rStyle w:val="FontStyle28"/>
          <w:sz w:val="28"/>
          <w:szCs w:val="28"/>
        </w:rPr>
        <w:t>ЗАКЛЮЧЕНИЕ</w:t>
      </w:r>
      <w:bookmarkEnd w:id="4"/>
    </w:p>
    <w:p w:rsidR="00A11483" w:rsidRPr="00F15EFB" w:rsidRDefault="00A11483" w:rsidP="00F15EFB">
      <w:pPr>
        <w:pStyle w:val="Style3"/>
        <w:widowControl/>
        <w:spacing w:line="360" w:lineRule="auto"/>
        <w:ind w:firstLine="720"/>
        <w:rPr>
          <w:rStyle w:val="FontStyle28"/>
          <w:sz w:val="28"/>
          <w:szCs w:val="28"/>
        </w:rPr>
      </w:pPr>
    </w:p>
    <w:p w:rsidR="00A11483" w:rsidRPr="00F15EFB" w:rsidRDefault="00A11483" w:rsidP="00F15EFB">
      <w:pPr>
        <w:spacing w:line="360" w:lineRule="auto"/>
        <w:ind w:firstLine="720"/>
        <w:jc w:val="both"/>
        <w:rPr>
          <w:rFonts w:ascii="Times New Roman" w:hAnsi="Times New Roman"/>
          <w:sz w:val="28"/>
          <w:szCs w:val="28"/>
        </w:rPr>
      </w:pPr>
      <w:r w:rsidRPr="00F15EFB">
        <w:rPr>
          <w:rFonts w:ascii="Times New Roman" w:hAnsi="Times New Roman"/>
          <w:sz w:val="28"/>
          <w:szCs w:val="28"/>
        </w:rPr>
        <w:t xml:space="preserve">Главным фактором формирования мирового финансового рынка в мировой экономике стал процесс глобализации, который наиболее прогрессировал именно в финансовой сфере. </w:t>
      </w:r>
      <w:r w:rsidR="00DE7EF0" w:rsidRPr="00F15EFB">
        <w:rPr>
          <w:rFonts w:ascii="Times New Roman" w:hAnsi="Times New Roman"/>
          <w:sz w:val="28"/>
          <w:szCs w:val="28"/>
        </w:rPr>
        <w:t xml:space="preserve">Предпосылками стали </w:t>
      </w:r>
      <w:r w:rsidRPr="00F15EFB">
        <w:rPr>
          <w:rFonts w:ascii="Times New Roman" w:hAnsi="Times New Roman"/>
          <w:sz w:val="28"/>
          <w:szCs w:val="28"/>
        </w:rPr>
        <w:t>новые информационные технологии, связавшие основные финансовые центры и резко снизившие транзакционные издержки финансовых операций</w:t>
      </w:r>
      <w:r w:rsidR="00DE7EF0" w:rsidRPr="00F15EFB">
        <w:rPr>
          <w:rFonts w:ascii="Times New Roman" w:hAnsi="Times New Roman"/>
          <w:sz w:val="28"/>
          <w:szCs w:val="28"/>
        </w:rPr>
        <w:t>,</w:t>
      </w:r>
      <w:r w:rsidRPr="00F15EFB">
        <w:rPr>
          <w:rFonts w:ascii="Times New Roman" w:hAnsi="Times New Roman"/>
          <w:sz w:val="28"/>
          <w:szCs w:val="28"/>
        </w:rPr>
        <w:t xml:space="preserve"> изменение условий деятельности финансовых институтов</w:t>
      </w:r>
      <w:r w:rsidR="00DE7EF0" w:rsidRPr="00F15EFB">
        <w:rPr>
          <w:rFonts w:ascii="Times New Roman" w:hAnsi="Times New Roman"/>
          <w:sz w:val="28"/>
          <w:szCs w:val="28"/>
        </w:rPr>
        <w:t xml:space="preserve">, </w:t>
      </w:r>
      <w:r w:rsidRPr="00F15EFB">
        <w:rPr>
          <w:rFonts w:ascii="Times New Roman" w:hAnsi="Times New Roman"/>
          <w:sz w:val="28"/>
          <w:szCs w:val="28"/>
        </w:rPr>
        <w:t>появление и развитие новых инстру</w:t>
      </w:r>
      <w:r w:rsidR="00DE7EF0" w:rsidRPr="00F15EFB">
        <w:rPr>
          <w:rFonts w:ascii="Times New Roman" w:hAnsi="Times New Roman"/>
          <w:sz w:val="28"/>
          <w:szCs w:val="28"/>
        </w:rPr>
        <w:t>ментов финансового рынка. Развитие мирового финансового рынка повлекло за собой развитие рынка деривативов.</w:t>
      </w:r>
    </w:p>
    <w:p w:rsidR="00DE7EF0" w:rsidRPr="00F15EFB" w:rsidRDefault="00DE7EF0" w:rsidP="00F15EFB">
      <w:pPr>
        <w:spacing w:line="360" w:lineRule="auto"/>
        <w:ind w:firstLine="720"/>
        <w:jc w:val="both"/>
        <w:rPr>
          <w:rFonts w:ascii="Times New Roman" w:hAnsi="Times New Roman"/>
          <w:sz w:val="28"/>
          <w:szCs w:val="28"/>
        </w:rPr>
      </w:pPr>
      <w:r w:rsidRPr="00F15EFB">
        <w:rPr>
          <w:rFonts w:ascii="Times New Roman" w:hAnsi="Times New Roman"/>
          <w:sz w:val="28"/>
          <w:szCs w:val="28"/>
        </w:rPr>
        <w:t>Дериватив (Derivative) – производный финансовый инструмент на основе обращающихся ценных бумаг: опцион, фьючерс, варрант, своп, базирующийся на курсах валют, ценных бумаг или товаров. Производные инструменты, или дериватив, могут использоваться для хеджирования позиции или для установления “синтетической” открытой позиции.</w:t>
      </w:r>
    </w:p>
    <w:p w:rsidR="00A11483" w:rsidRDefault="00DE7EF0" w:rsidP="00F15EFB">
      <w:pPr>
        <w:spacing w:line="360" w:lineRule="auto"/>
        <w:ind w:firstLine="720"/>
        <w:jc w:val="both"/>
        <w:rPr>
          <w:rFonts w:ascii="Times New Roman" w:hAnsi="Times New Roman"/>
          <w:sz w:val="28"/>
          <w:szCs w:val="28"/>
        </w:rPr>
      </w:pPr>
      <w:r w:rsidRPr="00F15EFB">
        <w:rPr>
          <w:rFonts w:ascii="Times New Roman" w:hAnsi="Times New Roman"/>
          <w:sz w:val="28"/>
          <w:szCs w:val="28"/>
        </w:rPr>
        <w:t>После Азиатского кризиса стало очевидно, что развитие деривативов несет в себе угрозу. С учетом того, что деривативы уже очень укоренились в мировой финансовый рынок, с целью избежание дальнейших кризисных явлений следует решить следующие проблемы:</w:t>
      </w:r>
      <w:r w:rsidR="00A11483" w:rsidRPr="00F15EFB">
        <w:rPr>
          <w:rFonts w:ascii="Times New Roman" w:hAnsi="Times New Roman"/>
          <w:sz w:val="28"/>
          <w:szCs w:val="28"/>
        </w:rPr>
        <w:t xml:space="preserve"> это проблемы национальных валютных систем в условиях глобализации, мирового долгового кризиса и открытости рынка товаров и услуг.</w:t>
      </w:r>
    </w:p>
    <w:p w:rsidR="00F15EFB" w:rsidRPr="00F15EFB" w:rsidRDefault="00F15EFB" w:rsidP="00F15EFB">
      <w:pPr>
        <w:spacing w:line="360" w:lineRule="auto"/>
        <w:ind w:firstLine="720"/>
        <w:jc w:val="both"/>
        <w:rPr>
          <w:rFonts w:ascii="Times New Roman" w:hAnsi="Times New Roman"/>
          <w:sz w:val="28"/>
          <w:szCs w:val="28"/>
        </w:rPr>
      </w:pPr>
    </w:p>
    <w:p w:rsidR="00A11483" w:rsidRPr="00F15EFB" w:rsidRDefault="00113C55" w:rsidP="00F15EFB">
      <w:pPr>
        <w:pStyle w:val="Style3"/>
        <w:widowControl/>
        <w:spacing w:line="360" w:lineRule="auto"/>
        <w:ind w:firstLine="720"/>
        <w:rPr>
          <w:rStyle w:val="FontStyle28"/>
          <w:sz w:val="28"/>
          <w:szCs w:val="28"/>
        </w:rPr>
      </w:pPr>
      <w:r w:rsidRPr="00F15EFB">
        <w:rPr>
          <w:rStyle w:val="FontStyle28"/>
          <w:sz w:val="28"/>
          <w:szCs w:val="28"/>
        </w:rPr>
        <w:br w:type="page"/>
      </w:r>
      <w:bookmarkStart w:id="5" w:name="_Toc243274436"/>
      <w:r w:rsidRPr="00F15EFB">
        <w:rPr>
          <w:rStyle w:val="FontStyle28"/>
          <w:sz w:val="28"/>
          <w:szCs w:val="28"/>
        </w:rPr>
        <w:t>СПИСОК ИСПОЛЬЗОВАННЫХ ИСТОЧНИКОВ</w:t>
      </w:r>
      <w:bookmarkEnd w:id="5"/>
    </w:p>
    <w:p w:rsidR="00D079A7" w:rsidRPr="00F15EFB" w:rsidRDefault="00D079A7" w:rsidP="00F15EFB">
      <w:pPr>
        <w:pStyle w:val="Style3"/>
        <w:widowControl/>
        <w:spacing w:line="360" w:lineRule="auto"/>
        <w:ind w:firstLine="720"/>
        <w:rPr>
          <w:rStyle w:val="FontStyle28"/>
          <w:sz w:val="28"/>
          <w:szCs w:val="28"/>
        </w:rPr>
      </w:pPr>
    </w:p>
    <w:p w:rsidR="00D079A7" w:rsidRPr="00F15EFB" w:rsidRDefault="00D079A7" w:rsidP="00F15EFB">
      <w:pPr>
        <w:pStyle w:val="Style3"/>
        <w:widowControl/>
        <w:numPr>
          <w:ilvl w:val="0"/>
          <w:numId w:val="3"/>
        </w:numPr>
        <w:tabs>
          <w:tab w:val="clear" w:pos="2006"/>
          <w:tab w:val="num" w:pos="567"/>
        </w:tabs>
        <w:spacing w:line="360" w:lineRule="auto"/>
        <w:ind w:left="0" w:firstLine="0"/>
        <w:rPr>
          <w:rStyle w:val="FontStyle28"/>
          <w:sz w:val="28"/>
          <w:szCs w:val="28"/>
        </w:rPr>
      </w:pPr>
      <w:r w:rsidRPr="00F15EFB">
        <w:rPr>
          <w:rStyle w:val="FontStyle28"/>
          <w:sz w:val="28"/>
          <w:szCs w:val="28"/>
        </w:rPr>
        <w:t>Международный финансовый рынок: учебное пособие: по специальностям "Финансы и кредит", "Мировая экономика" / Российская экономическая академия им. Г. В. Плеханова. -</w:t>
      </w:r>
      <w:r w:rsidR="00F15EFB">
        <w:rPr>
          <w:rStyle w:val="FontStyle28"/>
          <w:sz w:val="28"/>
          <w:szCs w:val="28"/>
        </w:rPr>
        <w:t xml:space="preserve"> Москва: Магистр, 2007. - 543</w:t>
      </w:r>
    </w:p>
    <w:p w:rsidR="00D079A7" w:rsidRPr="00F15EFB" w:rsidRDefault="00D079A7" w:rsidP="00F15EFB">
      <w:pPr>
        <w:pStyle w:val="Style3"/>
        <w:widowControl/>
        <w:numPr>
          <w:ilvl w:val="0"/>
          <w:numId w:val="3"/>
        </w:numPr>
        <w:tabs>
          <w:tab w:val="clear" w:pos="2006"/>
          <w:tab w:val="num" w:pos="567"/>
        </w:tabs>
        <w:spacing w:line="360" w:lineRule="auto"/>
        <w:ind w:left="0" w:firstLine="0"/>
        <w:rPr>
          <w:rStyle w:val="FontStyle28"/>
          <w:sz w:val="28"/>
          <w:szCs w:val="28"/>
        </w:rPr>
      </w:pPr>
      <w:r w:rsidRPr="00F15EFB">
        <w:rPr>
          <w:rStyle w:val="FontStyle28"/>
          <w:sz w:val="28"/>
          <w:szCs w:val="28"/>
        </w:rPr>
        <w:t>Международный финансовый менеджмент в условиях формирования глобального финансового рынка: 08.00.10 ; 08.00.14 / Мамедов Артур Оскарович: автореферат диссертации на соискание ученой степени доктора экономических наук. - Москва, 2007. - 42 с.</w:t>
      </w:r>
    </w:p>
    <w:p w:rsidR="00D079A7" w:rsidRPr="00F15EFB" w:rsidRDefault="00D079A7" w:rsidP="00F15EFB">
      <w:pPr>
        <w:pStyle w:val="Style3"/>
        <w:widowControl/>
        <w:numPr>
          <w:ilvl w:val="0"/>
          <w:numId w:val="3"/>
        </w:numPr>
        <w:tabs>
          <w:tab w:val="clear" w:pos="2006"/>
          <w:tab w:val="num" w:pos="567"/>
        </w:tabs>
        <w:spacing w:line="360" w:lineRule="auto"/>
        <w:ind w:left="0" w:firstLine="0"/>
        <w:rPr>
          <w:rStyle w:val="FontStyle28"/>
          <w:sz w:val="28"/>
          <w:szCs w:val="28"/>
        </w:rPr>
      </w:pPr>
      <w:r w:rsidRPr="00F15EFB">
        <w:rPr>
          <w:rStyle w:val="FontStyle28"/>
          <w:sz w:val="28"/>
          <w:szCs w:val="28"/>
        </w:rPr>
        <w:t>Суэтин А.А. Международный финансовый рынок: учебник для студентов, обучающихся по специальностям "Финансы и кредит", "Бухгалтерский учет, анализ и аудит", "Мировая экономика" / А. А. Суэтин. - Москва: КноРус, 2009. - 262 с.</w:t>
      </w:r>
    </w:p>
    <w:p w:rsidR="00D079A7" w:rsidRPr="00F15EFB" w:rsidRDefault="00D079A7" w:rsidP="00F15EFB">
      <w:pPr>
        <w:pStyle w:val="Style3"/>
        <w:widowControl/>
        <w:numPr>
          <w:ilvl w:val="0"/>
          <w:numId w:val="3"/>
        </w:numPr>
        <w:tabs>
          <w:tab w:val="clear" w:pos="2006"/>
          <w:tab w:val="num" w:pos="567"/>
        </w:tabs>
        <w:spacing w:line="360" w:lineRule="auto"/>
        <w:ind w:left="0" w:firstLine="0"/>
        <w:rPr>
          <w:rStyle w:val="FontStyle28"/>
          <w:sz w:val="28"/>
          <w:szCs w:val="28"/>
        </w:rPr>
      </w:pPr>
      <w:r w:rsidRPr="00F15EFB">
        <w:rPr>
          <w:rStyle w:val="FontStyle28"/>
          <w:sz w:val="28"/>
          <w:szCs w:val="28"/>
        </w:rPr>
        <w:t>Фельдман А.Б. Производные финансовые и товарные инструменты: Учеб. для студентов, обучающихся по специальностям "Финансы и кредит", "Мировая экономика" / А.Б.Фельдман. - М.: Финансы и статистика, 2003. - 301 с.</w:t>
      </w:r>
      <w:bookmarkStart w:id="6" w:name="_GoBack"/>
      <w:bookmarkEnd w:id="6"/>
    </w:p>
    <w:sectPr w:rsidR="00D079A7" w:rsidRPr="00F15EFB" w:rsidSect="00F15EFB">
      <w:pgSz w:w="11905" w:h="16837" w:code="9"/>
      <w:pgMar w:top="1134" w:right="851" w:bottom="1134" w:left="1701" w:header="720" w:footer="720" w:gutter="0"/>
      <w:pgNumType w:start="2"/>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1458" w:rsidRDefault="00631458">
      <w:r>
        <w:separator/>
      </w:r>
    </w:p>
  </w:endnote>
  <w:endnote w:type="continuationSeparator" w:id="0">
    <w:p w:rsidR="00631458" w:rsidRDefault="00631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1458" w:rsidRDefault="00631458">
      <w:r>
        <w:separator/>
      </w:r>
    </w:p>
  </w:footnote>
  <w:footnote w:type="continuationSeparator" w:id="0">
    <w:p w:rsidR="00631458" w:rsidRDefault="006314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280F37A"/>
    <w:lvl w:ilvl="0">
      <w:numFmt w:val="bullet"/>
      <w:lvlText w:val="*"/>
      <w:lvlJc w:val="left"/>
    </w:lvl>
  </w:abstractNum>
  <w:abstractNum w:abstractNumId="1">
    <w:nsid w:val="10F23DFF"/>
    <w:multiLevelType w:val="hybridMultilevel"/>
    <w:tmpl w:val="997238FE"/>
    <w:lvl w:ilvl="0" w:tplc="9E7A4842">
      <w:start w:val="1"/>
      <w:numFmt w:val="decimal"/>
      <w:lvlText w:val="%1."/>
      <w:lvlJc w:val="left"/>
      <w:pPr>
        <w:tabs>
          <w:tab w:val="num" w:pos="2006"/>
        </w:tabs>
        <w:ind w:left="2006" w:hanging="1155"/>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2">
    <w:nsid w:val="78F92CF2"/>
    <w:multiLevelType w:val="hybridMultilevel"/>
    <w:tmpl w:val="03D668A0"/>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num w:numId="1">
    <w:abstractNumId w:val="0"/>
    <w:lvlOverride w:ilvl="0">
      <w:lvl w:ilvl="0">
        <w:numFmt w:val="bullet"/>
        <w:lvlText w:val="•"/>
        <w:legacy w:legacy="1" w:legacySpace="0" w:legacyIndent="187"/>
        <w:lvlJc w:val="left"/>
        <w:rPr>
          <w:rFonts w:ascii="Times New Roman" w:hAnsi="Times New Roman"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415E"/>
    <w:rsid w:val="000F45E7"/>
    <w:rsid w:val="00113C55"/>
    <w:rsid w:val="00123710"/>
    <w:rsid w:val="001C45E5"/>
    <w:rsid w:val="0029415E"/>
    <w:rsid w:val="004234C2"/>
    <w:rsid w:val="00442E6A"/>
    <w:rsid w:val="00583D7F"/>
    <w:rsid w:val="005C6E8F"/>
    <w:rsid w:val="00631458"/>
    <w:rsid w:val="006C7792"/>
    <w:rsid w:val="00770C56"/>
    <w:rsid w:val="009241C6"/>
    <w:rsid w:val="00A11483"/>
    <w:rsid w:val="00C10B90"/>
    <w:rsid w:val="00C2723F"/>
    <w:rsid w:val="00D079A7"/>
    <w:rsid w:val="00D67B3B"/>
    <w:rsid w:val="00D809BC"/>
    <w:rsid w:val="00DC0869"/>
    <w:rsid w:val="00DE7EF0"/>
    <w:rsid w:val="00F15EFB"/>
    <w:rsid w:val="00F62621"/>
    <w:rsid w:val="00F958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261A124-517D-41E6-A8F4-1D0490DA9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hAnsi="Courier New"/>
      <w:sz w:val="24"/>
      <w:szCs w:val="24"/>
    </w:rPr>
  </w:style>
  <w:style w:type="paragraph" w:styleId="1">
    <w:name w:val="heading 1"/>
    <w:basedOn w:val="a"/>
    <w:next w:val="a"/>
    <w:link w:val="10"/>
    <w:uiPriority w:val="9"/>
    <w:qFormat/>
    <w:rsid w:val="00123710"/>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123710"/>
    <w:rPr>
      <w:rFonts w:ascii="Cambria" w:hAnsi="Cambria" w:cs="Times New Roman"/>
      <w:b/>
      <w:bCs/>
      <w:kern w:val="32"/>
      <w:sz w:val="32"/>
      <w:szCs w:val="32"/>
    </w:rPr>
  </w:style>
  <w:style w:type="paragraph" w:customStyle="1" w:styleId="Style1">
    <w:name w:val="Style1"/>
    <w:basedOn w:val="a"/>
  </w:style>
  <w:style w:type="paragraph" w:customStyle="1" w:styleId="Style2">
    <w:name w:val="Style2"/>
    <w:basedOn w:val="a"/>
    <w:pPr>
      <w:spacing w:line="252" w:lineRule="exact"/>
      <w:jc w:val="both"/>
    </w:pPr>
  </w:style>
  <w:style w:type="paragraph" w:customStyle="1" w:styleId="Style3">
    <w:name w:val="Style3"/>
    <w:basedOn w:val="a"/>
    <w:pPr>
      <w:spacing w:line="258" w:lineRule="exact"/>
      <w:ind w:firstLine="302"/>
      <w:jc w:val="both"/>
    </w:pPr>
  </w:style>
  <w:style w:type="paragraph" w:customStyle="1" w:styleId="Style4">
    <w:name w:val="Style4"/>
    <w:basedOn w:val="a"/>
    <w:pPr>
      <w:spacing w:line="220" w:lineRule="exact"/>
      <w:ind w:firstLine="302"/>
      <w:jc w:val="both"/>
    </w:pPr>
  </w:style>
  <w:style w:type="paragraph" w:customStyle="1" w:styleId="Style5">
    <w:name w:val="Style5"/>
    <w:basedOn w:val="a"/>
  </w:style>
  <w:style w:type="paragraph" w:customStyle="1" w:styleId="Style6">
    <w:name w:val="Style6"/>
    <w:basedOn w:val="a"/>
    <w:pPr>
      <w:spacing w:line="259" w:lineRule="exact"/>
      <w:jc w:val="both"/>
    </w:pPr>
  </w:style>
  <w:style w:type="paragraph" w:customStyle="1" w:styleId="Style7">
    <w:name w:val="Style7"/>
    <w:basedOn w:val="a"/>
    <w:pPr>
      <w:spacing w:line="144" w:lineRule="exact"/>
    </w:pPr>
  </w:style>
  <w:style w:type="paragraph" w:customStyle="1" w:styleId="Style8">
    <w:name w:val="Style8"/>
    <w:basedOn w:val="a"/>
  </w:style>
  <w:style w:type="paragraph" w:customStyle="1" w:styleId="Style9">
    <w:name w:val="Style9"/>
    <w:basedOn w:val="a"/>
  </w:style>
  <w:style w:type="paragraph" w:customStyle="1" w:styleId="Style10">
    <w:name w:val="Style10"/>
    <w:basedOn w:val="a"/>
    <w:pPr>
      <w:spacing w:line="259" w:lineRule="exact"/>
      <w:ind w:hanging="187"/>
    </w:pPr>
  </w:style>
  <w:style w:type="paragraph" w:customStyle="1" w:styleId="Style11">
    <w:name w:val="Style11"/>
    <w:basedOn w:val="a"/>
  </w:style>
  <w:style w:type="paragraph" w:customStyle="1" w:styleId="Style12">
    <w:name w:val="Style12"/>
    <w:basedOn w:val="a"/>
    <w:pPr>
      <w:spacing w:line="227" w:lineRule="exact"/>
    </w:pPr>
  </w:style>
  <w:style w:type="paragraph" w:customStyle="1" w:styleId="Style13">
    <w:name w:val="Style13"/>
    <w:basedOn w:val="a"/>
  </w:style>
  <w:style w:type="paragraph" w:customStyle="1" w:styleId="Style14">
    <w:name w:val="Style14"/>
    <w:basedOn w:val="a"/>
  </w:style>
  <w:style w:type="paragraph" w:customStyle="1" w:styleId="Style15">
    <w:name w:val="Style15"/>
    <w:basedOn w:val="a"/>
  </w:style>
  <w:style w:type="paragraph" w:customStyle="1" w:styleId="Style16">
    <w:name w:val="Style16"/>
    <w:basedOn w:val="a"/>
    <w:pPr>
      <w:spacing w:line="299" w:lineRule="exact"/>
    </w:pPr>
  </w:style>
  <w:style w:type="paragraph" w:customStyle="1" w:styleId="Style17">
    <w:name w:val="Style17"/>
    <w:basedOn w:val="a"/>
    <w:pPr>
      <w:spacing w:line="228" w:lineRule="exact"/>
    </w:pPr>
  </w:style>
  <w:style w:type="paragraph" w:customStyle="1" w:styleId="Style18">
    <w:name w:val="Style18"/>
    <w:basedOn w:val="a"/>
  </w:style>
  <w:style w:type="paragraph" w:customStyle="1" w:styleId="Style19">
    <w:name w:val="Style19"/>
    <w:basedOn w:val="a"/>
    <w:pPr>
      <w:spacing w:line="216" w:lineRule="exact"/>
      <w:ind w:hanging="619"/>
    </w:pPr>
  </w:style>
  <w:style w:type="paragraph" w:customStyle="1" w:styleId="Style20">
    <w:name w:val="Style20"/>
    <w:basedOn w:val="a"/>
    <w:pPr>
      <w:spacing w:line="144" w:lineRule="exact"/>
    </w:pPr>
  </w:style>
  <w:style w:type="paragraph" w:customStyle="1" w:styleId="Style21">
    <w:name w:val="Style21"/>
    <w:basedOn w:val="a"/>
    <w:pPr>
      <w:spacing w:line="216" w:lineRule="exact"/>
      <w:ind w:hanging="562"/>
    </w:pPr>
  </w:style>
  <w:style w:type="paragraph" w:customStyle="1" w:styleId="Style22">
    <w:name w:val="Style22"/>
    <w:basedOn w:val="a"/>
    <w:pPr>
      <w:spacing w:line="173" w:lineRule="exact"/>
      <w:ind w:firstLine="94"/>
    </w:pPr>
  </w:style>
  <w:style w:type="paragraph" w:customStyle="1" w:styleId="Style23">
    <w:name w:val="Style23"/>
    <w:basedOn w:val="a"/>
    <w:pPr>
      <w:spacing w:line="173" w:lineRule="exact"/>
      <w:jc w:val="center"/>
    </w:pPr>
  </w:style>
  <w:style w:type="character" w:customStyle="1" w:styleId="FontStyle25">
    <w:name w:val="Font Style25"/>
    <w:rPr>
      <w:rFonts w:ascii="Courier New" w:hAnsi="Courier New" w:cs="Courier New"/>
      <w:b/>
      <w:bCs/>
      <w:sz w:val="38"/>
      <w:szCs w:val="38"/>
    </w:rPr>
  </w:style>
  <w:style w:type="character" w:customStyle="1" w:styleId="FontStyle26">
    <w:name w:val="Font Style26"/>
    <w:rPr>
      <w:rFonts w:ascii="Times New Roman" w:hAnsi="Times New Roman" w:cs="Times New Roman"/>
      <w:i/>
      <w:iCs/>
      <w:sz w:val="22"/>
      <w:szCs w:val="22"/>
    </w:rPr>
  </w:style>
  <w:style w:type="character" w:customStyle="1" w:styleId="FontStyle27">
    <w:name w:val="Font Style27"/>
    <w:rPr>
      <w:rFonts w:ascii="Times New Roman" w:hAnsi="Times New Roman" w:cs="Times New Roman"/>
      <w:i/>
      <w:iCs/>
      <w:sz w:val="18"/>
      <w:szCs w:val="18"/>
    </w:rPr>
  </w:style>
  <w:style w:type="character" w:customStyle="1" w:styleId="FontStyle28">
    <w:name w:val="Font Style28"/>
    <w:rPr>
      <w:rFonts w:ascii="Times New Roman" w:hAnsi="Times New Roman" w:cs="Times New Roman"/>
      <w:sz w:val="22"/>
      <w:szCs w:val="22"/>
    </w:rPr>
  </w:style>
  <w:style w:type="character" w:customStyle="1" w:styleId="FontStyle29">
    <w:name w:val="Font Style29"/>
    <w:rPr>
      <w:rFonts w:ascii="Times New Roman" w:hAnsi="Times New Roman" w:cs="Times New Roman"/>
      <w:b/>
      <w:bCs/>
      <w:i/>
      <w:iCs/>
      <w:sz w:val="22"/>
      <w:szCs w:val="22"/>
    </w:rPr>
  </w:style>
  <w:style w:type="character" w:customStyle="1" w:styleId="FontStyle30">
    <w:name w:val="Font Style30"/>
    <w:rPr>
      <w:rFonts w:ascii="Times New Roman" w:hAnsi="Times New Roman" w:cs="Times New Roman"/>
      <w:b/>
      <w:bCs/>
      <w:sz w:val="18"/>
      <w:szCs w:val="18"/>
    </w:rPr>
  </w:style>
  <w:style w:type="character" w:customStyle="1" w:styleId="FontStyle31">
    <w:name w:val="Font Style31"/>
    <w:rPr>
      <w:rFonts w:ascii="Arial" w:hAnsi="Arial" w:cs="Arial"/>
      <w:spacing w:val="80"/>
      <w:sz w:val="26"/>
      <w:szCs w:val="26"/>
    </w:rPr>
  </w:style>
  <w:style w:type="character" w:customStyle="1" w:styleId="FontStyle32">
    <w:name w:val="Font Style32"/>
    <w:rPr>
      <w:rFonts w:ascii="Arial" w:hAnsi="Arial" w:cs="Arial"/>
      <w:b/>
      <w:bCs/>
      <w:sz w:val="24"/>
      <w:szCs w:val="24"/>
    </w:rPr>
  </w:style>
  <w:style w:type="character" w:customStyle="1" w:styleId="FontStyle33">
    <w:name w:val="Font Style33"/>
    <w:rPr>
      <w:rFonts w:ascii="Arial" w:hAnsi="Arial" w:cs="Arial"/>
      <w:b/>
      <w:bCs/>
      <w:sz w:val="20"/>
      <w:szCs w:val="20"/>
    </w:rPr>
  </w:style>
  <w:style w:type="character" w:customStyle="1" w:styleId="FontStyle34">
    <w:name w:val="Font Style34"/>
    <w:rPr>
      <w:rFonts w:ascii="Times New Roman" w:hAnsi="Times New Roman" w:cs="Times New Roman"/>
      <w:b/>
      <w:bCs/>
      <w:sz w:val="12"/>
      <w:szCs w:val="12"/>
    </w:rPr>
  </w:style>
  <w:style w:type="character" w:customStyle="1" w:styleId="FontStyle35">
    <w:name w:val="Font Style35"/>
    <w:rPr>
      <w:rFonts w:ascii="Times New Roman" w:hAnsi="Times New Roman" w:cs="Times New Roman"/>
      <w:b/>
      <w:bCs/>
      <w:i/>
      <w:iCs/>
      <w:sz w:val="12"/>
      <w:szCs w:val="12"/>
    </w:rPr>
  </w:style>
  <w:style w:type="character" w:customStyle="1" w:styleId="FontStyle36">
    <w:name w:val="Font Style36"/>
    <w:rPr>
      <w:rFonts w:ascii="Times New Roman" w:hAnsi="Times New Roman" w:cs="Times New Roman"/>
      <w:sz w:val="26"/>
      <w:szCs w:val="26"/>
    </w:rPr>
  </w:style>
  <w:style w:type="character" w:customStyle="1" w:styleId="FontStyle37">
    <w:name w:val="Font Style37"/>
    <w:rPr>
      <w:rFonts w:ascii="Times New Roman" w:hAnsi="Times New Roman" w:cs="Times New Roman"/>
      <w:sz w:val="12"/>
      <w:szCs w:val="12"/>
    </w:rPr>
  </w:style>
  <w:style w:type="character" w:customStyle="1" w:styleId="FontStyle38">
    <w:name w:val="Font Style38"/>
    <w:rPr>
      <w:rFonts w:ascii="Times New Roman" w:hAnsi="Times New Roman" w:cs="Times New Roman"/>
      <w:i/>
      <w:iCs/>
      <w:sz w:val="22"/>
      <w:szCs w:val="22"/>
    </w:rPr>
  </w:style>
  <w:style w:type="character" w:customStyle="1" w:styleId="FontStyle39">
    <w:name w:val="Font Style39"/>
    <w:rPr>
      <w:rFonts w:ascii="Times New Roman" w:hAnsi="Times New Roman" w:cs="Times New Roman"/>
      <w:i/>
      <w:iCs/>
      <w:sz w:val="22"/>
      <w:szCs w:val="22"/>
    </w:rPr>
  </w:style>
  <w:style w:type="character" w:customStyle="1" w:styleId="FontStyle40">
    <w:name w:val="Font Style40"/>
    <w:rPr>
      <w:rFonts w:ascii="Arial" w:hAnsi="Arial" w:cs="Arial"/>
      <w:b/>
      <w:bCs/>
      <w:sz w:val="18"/>
      <w:szCs w:val="18"/>
    </w:rPr>
  </w:style>
  <w:style w:type="character" w:customStyle="1" w:styleId="FontStyle41">
    <w:name w:val="Font Style41"/>
    <w:rPr>
      <w:rFonts w:ascii="Times New Roman" w:hAnsi="Times New Roman" w:cs="Times New Roman"/>
      <w:b/>
      <w:bCs/>
      <w:sz w:val="18"/>
      <w:szCs w:val="18"/>
    </w:rPr>
  </w:style>
  <w:style w:type="paragraph" w:styleId="a3">
    <w:name w:val="header"/>
    <w:basedOn w:val="a"/>
    <w:link w:val="a4"/>
    <w:uiPriority w:val="99"/>
    <w:rsid w:val="0029415E"/>
    <w:pPr>
      <w:tabs>
        <w:tab w:val="center" w:pos="4677"/>
        <w:tab w:val="right" w:pos="9355"/>
      </w:tabs>
    </w:pPr>
  </w:style>
  <w:style w:type="character" w:customStyle="1" w:styleId="a4">
    <w:name w:val="Верхний колонтитул Знак"/>
    <w:link w:val="a3"/>
    <w:uiPriority w:val="99"/>
    <w:semiHidden/>
    <w:rPr>
      <w:rFonts w:hAnsi="Courier New"/>
      <w:sz w:val="24"/>
      <w:szCs w:val="24"/>
    </w:rPr>
  </w:style>
  <w:style w:type="paragraph" w:styleId="a5">
    <w:name w:val="footer"/>
    <w:basedOn w:val="a"/>
    <w:link w:val="a6"/>
    <w:uiPriority w:val="99"/>
    <w:rsid w:val="0029415E"/>
    <w:pPr>
      <w:tabs>
        <w:tab w:val="center" w:pos="4677"/>
        <w:tab w:val="right" w:pos="9355"/>
      </w:tabs>
    </w:pPr>
  </w:style>
  <w:style w:type="character" w:customStyle="1" w:styleId="a6">
    <w:name w:val="Нижний колонтитул Знак"/>
    <w:link w:val="a5"/>
    <w:uiPriority w:val="99"/>
    <w:locked/>
    <w:rsid w:val="00123710"/>
    <w:rPr>
      <w:rFonts w:hAnsi="Courier New" w:cs="Times New Roman"/>
      <w:sz w:val="24"/>
      <w:szCs w:val="24"/>
    </w:rPr>
  </w:style>
  <w:style w:type="paragraph" w:styleId="a7">
    <w:name w:val="TOC Heading"/>
    <w:basedOn w:val="1"/>
    <w:next w:val="a"/>
    <w:uiPriority w:val="39"/>
    <w:semiHidden/>
    <w:unhideWhenUsed/>
    <w:qFormat/>
    <w:rsid w:val="00123710"/>
    <w:pPr>
      <w:keepLines/>
      <w:widowControl/>
      <w:autoSpaceDE/>
      <w:autoSpaceDN/>
      <w:adjustRightInd/>
      <w:spacing w:before="480" w:after="0" w:line="276" w:lineRule="auto"/>
      <w:outlineLvl w:val="9"/>
    </w:pPr>
    <w:rPr>
      <w:color w:val="365F91"/>
      <w:kern w:val="0"/>
      <w:sz w:val="28"/>
      <w:szCs w:val="28"/>
      <w:lang w:eastAsia="en-US"/>
    </w:rPr>
  </w:style>
  <w:style w:type="paragraph" w:styleId="11">
    <w:name w:val="toc 1"/>
    <w:basedOn w:val="a"/>
    <w:next w:val="a"/>
    <w:autoRedefine/>
    <w:uiPriority w:val="39"/>
    <w:rsid w:val="00123710"/>
  </w:style>
  <w:style w:type="character" w:styleId="a8">
    <w:name w:val="Hyperlink"/>
    <w:uiPriority w:val="99"/>
    <w:unhideWhenUsed/>
    <w:rsid w:val="0012371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7151C-4245-4F10-AFCA-699C5224B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2461</Words>
  <Characters>14031</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2014-02-28T06:19:00Z</dcterms:created>
  <dcterms:modified xsi:type="dcterms:W3CDTF">2014-02-28T06:19:00Z</dcterms:modified>
</cp:coreProperties>
</file>