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776" w:rsidRPr="000A03EC" w:rsidRDefault="00F73776" w:rsidP="000A03EC">
      <w:pPr>
        <w:pStyle w:val="1"/>
        <w:widowControl w:val="0"/>
        <w:spacing w:before="0" w:after="0" w:line="360" w:lineRule="auto"/>
        <w:ind w:firstLine="720"/>
        <w:rPr>
          <w:rFonts w:ascii="Times New Roman" w:hAnsi="Times New Roman"/>
          <w:b w:val="0"/>
          <w:sz w:val="28"/>
          <w:szCs w:val="32"/>
        </w:rPr>
      </w:pPr>
      <w:r w:rsidRPr="000A03EC">
        <w:rPr>
          <w:rFonts w:ascii="Times New Roman" w:hAnsi="Times New Roman"/>
          <w:b w:val="0"/>
          <w:sz w:val="28"/>
          <w:szCs w:val="28"/>
        </w:rPr>
        <w:t>Кафедра</w:t>
      </w:r>
      <w:r w:rsidR="000A03EC">
        <w:rPr>
          <w:rFonts w:ascii="Times New Roman" w:hAnsi="Times New Roman"/>
          <w:b w:val="0"/>
          <w:sz w:val="28"/>
          <w:szCs w:val="28"/>
        </w:rPr>
        <w:t xml:space="preserve"> </w:t>
      </w:r>
      <w:r w:rsidRPr="000A03EC">
        <w:rPr>
          <w:rFonts w:ascii="Times New Roman" w:hAnsi="Times New Roman"/>
          <w:b w:val="0"/>
          <w:sz w:val="28"/>
          <w:szCs w:val="28"/>
        </w:rPr>
        <w:t>фінансів</w:t>
      </w: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keepNext/>
        <w:spacing w:line="360" w:lineRule="auto"/>
        <w:ind w:firstLine="720"/>
        <w:jc w:val="both"/>
        <w:rPr>
          <w:sz w:val="28"/>
          <w:lang w:val="uk-UA"/>
        </w:rPr>
      </w:pPr>
    </w:p>
    <w:p w:rsidR="00F73776" w:rsidRPr="000A03EC" w:rsidRDefault="00F73776" w:rsidP="000A03EC">
      <w:pPr>
        <w:pStyle w:val="2"/>
        <w:widowControl w:val="0"/>
        <w:spacing w:before="0" w:after="0" w:line="360" w:lineRule="auto"/>
        <w:ind w:firstLine="720"/>
        <w:rPr>
          <w:rFonts w:ascii="Times New Roman" w:hAnsi="Times New Roman"/>
          <w:szCs w:val="52"/>
        </w:rPr>
      </w:pPr>
      <w:r w:rsidRPr="000A03EC">
        <w:rPr>
          <w:rFonts w:ascii="Times New Roman" w:hAnsi="Times New Roman"/>
          <w:szCs w:val="52"/>
        </w:rPr>
        <w:t>Контрольна</w:t>
      </w:r>
      <w:r w:rsidR="000A03EC" w:rsidRPr="000A03EC">
        <w:rPr>
          <w:rFonts w:ascii="Times New Roman" w:hAnsi="Times New Roman"/>
          <w:szCs w:val="52"/>
          <w:lang w:val="ru-RU"/>
        </w:rPr>
        <w:t xml:space="preserve"> </w:t>
      </w:r>
      <w:r w:rsidRPr="000A03EC">
        <w:rPr>
          <w:rFonts w:ascii="Times New Roman" w:hAnsi="Times New Roman"/>
          <w:szCs w:val="52"/>
        </w:rPr>
        <w:t>робота</w:t>
      </w:r>
    </w:p>
    <w:p w:rsidR="00F73776" w:rsidRPr="000A03EC" w:rsidRDefault="00F73776" w:rsidP="000A03EC">
      <w:pPr>
        <w:keepNext/>
        <w:spacing w:line="360" w:lineRule="auto"/>
        <w:ind w:firstLine="720"/>
        <w:jc w:val="center"/>
        <w:rPr>
          <w:b/>
          <w:sz w:val="28"/>
          <w:szCs w:val="48"/>
          <w:lang w:val="uk-UA"/>
        </w:rPr>
      </w:pPr>
      <w:r w:rsidRPr="000A03EC">
        <w:rPr>
          <w:b/>
          <w:sz w:val="28"/>
          <w:szCs w:val="48"/>
          <w:lang w:val="uk-UA"/>
        </w:rPr>
        <w:t>з дисципліни:</w:t>
      </w:r>
    </w:p>
    <w:p w:rsidR="00F73776" w:rsidRPr="000A03EC" w:rsidRDefault="00F73776" w:rsidP="000A03EC">
      <w:pPr>
        <w:keepNext/>
        <w:spacing w:line="360" w:lineRule="auto"/>
        <w:ind w:firstLine="720"/>
        <w:jc w:val="center"/>
        <w:rPr>
          <w:sz w:val="28"/>
          <w:szCs w:val="48"/>
          <w:lang w:val="uk-UA"/>
        </w:rPr>
      </w:pPr>
      <w:r w:rsidRPr="000A03EC">
        <w:rPr>
          <w:b/>
          <w:sz w:val="28"/>
          <w:szCs w:val="48"/>
          <w:lang w:val="uk-UA"/>
        </w:rPr>
        <w:t>«Валютне регулювання»</w:t>
      </w:r>
    </w:p>
    <w:p w:rsidR="00551084" w:rsidRPr="000A03EC" w:rsidRDefault="00F73776" w:rsidP="000A03EC">
      <w:pPr>
        <w:keepNext/>
        <w:spacing w:line="360" w:lineRule="auto"/>
        <w:ind w:firstLine="720"/>
        <w:jc w:val="center"/>
        <w:rPr>
          <w:b/>
          <w:sz w:val="28"/>
          <w:szCs w:val="28"/>
          <w:lang w:val="uk-UA"/>
        </w:rPr>
      </w:pPr>
      <w:r w:rsidRPr="000A03EC">
        <w:rPr>
          <w:sz w:val="28"/>
          <w:szCs w:val="28"/>
          <w:lang w:val="uk-UA"/>
        </w:rPr>
        <w:br w:type="page"/>
      </w:r>
      <w:r w:rsidR="00551084" w:rsidRPr="000A03EC">
        <w:rPr>
          <w:b/>
          <w:sz w:val="28"/>
          <w:szCs w:val="28"/>
          <w:lang w:val="uk-UA"/>
        </w:rPr>
        <w:t>Зміст контрольної роботи</w:t>
      </w:r>
    </w:p>
    <w:p w:rsidR="00551084" w:rsidRPr="000A03EC" w:rsidRDefault="00551084" w:rsidP="000A03EC">
      <w:pPr>
        <w:keepNext/>
        <w:spacing w:line="360" w:lineRule="auto"/>
        <w:ind w:firstLine="720"/>
        <w:jc w:val="both"/>
        <w:rPr>
          <w:sz w:val="28"/>
          <w:szCs w:val="28"/>
          <w:lang w:val="uk-UA"/>
        </w:rPr>
      </w:pPr>
    </w:p>
    <w:p w:rsidR="00551084" w:rsidRPr="000A03EC" w:rsidRDefault="00551084" w:rsidP="000A03EC">
      <w:pPr>
        <w:keepNext/>
        <w:spacing w:line="360" w:lineRule="auto"/>
        <w:rPr>
          <w:sz w:val="28"/>
          <w:szCs w:val="28"/>
          <w:lang w:val="uk-UA"/>
        </w:rPr>
      </w:pPr>
      <w:r w:rsidRPr="000A03EC">
        <w:rPr>
          <w:sz w:val="28"/>
          <w:szCs w:val="28"/>
          <w:lang w:val="uk-UA"/>
        </w:rPr>
        <w:t>1. Міжнародна валютна ліквідність</w:t>
      </w:r>
    </w:p>
    <w:p w:rsidR="00551084" w:rsidRPr="000A03EC" w:rsidRDefault="00A45137" w:rsidP="000A03EC">
      <w:pPr>
        <w:keepNext/>
        <w:spacing w:line="360" w:lineRule="auto"/>
        <w:rPr>
          <w:sz w:val="28"/>
          <w:szCs w:val="28"/>
          <w:lang w:val="uk-UA"/>
        </w:rPr>
      </w:pPr>
      <w:r w:rsidRPr="000A03EC">
        <w:rPr>
          <w:sz w:val="28"/>
          <w:szCs w:val="28"/>
          <w:lang w:val="uk-UA"/>
        </w:rPr>
        <w:t>2</w:t>
      </w:r>
      <w:r w:rsidR="00551084" w:rsidRPr="000A03EC">
        <w:rPr>
          <w:sz w:val="28"/>
          <w:szCs w:val="28"/>
          <w:lang w:val="uk-UA"/>
        </w:rPr>
        <w:t>. Чинники, що впливають на формування валютного курсу (курсоутворюючі чинники</w:t>
      </w:r>
      <w:r w:rsidR="000A03EC">
        <w:rPr>
          <w:sz w:val="28"/>
          <w:szCs w:val="28"/>
          <w:lang w:val="uk-UA"/>
        </w:rPr>
        <w:t>)</w:t>
      </w:r>
    </w:p>
    <w:p w:rsidR="00551084" w:rsidRPr="000A03EC" w:rsidRDefault="00551084" w:rsidP="000A03EC">
      <w:pPr>
        <w:keepNext/>
        <w:spacing w:line="360" w:lineRule="auto"/>
        <w:rPr>
          <w:sz w:val="28"/>
          <w:szCs w:val="28"/>
          <w:lang w:val="uk-UA"/>
        </w:rPr>
      </w:pPr>
      <w:r w:rsidRPr="000A03EC">
        <w:rPr>
          <w:sz w:val="28"/>
          <w:szCs w:val="28"/>
          <w:lang w:val="uk-UA"/>
        </w:rPr>
        <w:t>Література</w:t>
      </w:r>
    </w:p>
    <w:p w:rsidR="004606FC" w:rsidRPr="000A03EC" w:rsidRDefault="00F73776" w:rsidP="000A03EC">
      <w:pPr>
        <w:keepNext/>
        <w:spacing w:line="360" w:lineRule="auto"/>
        <w:ind w:firstLine="720"/>
        <w:jc w:val="center"/>
        <w:rPr>
          <w:b/>
          <w:sz w:val="28"/>
          <w:szCs w:val="28"/>
          <w:lang w:val="uk-UA"/>
        </w:rPr>
      </w:pPr>
      <w:r w:rsidRPr="000A03EC">
        <w:rPr>
          <w:sz w:val="28"/>
          <w:szCs w:val="28"/>
          <w:lang w:val="uk-UA"/>
        </w:rPr>
        <w:br w:type="page"/>
      </w:r>
      <w:r w:rsidR="00147B20" w:rsidRPr="000A03EC">
        <w:rPr>
          <w:b/>
          <w:sz w:val="28"/>
          <w:szCs w:val="28"/>
          <w:lang w:val="uk-UA"/>
        </w:rPr>
        <w:t>1.</w:t>
      </w:r>
      <w:r w:rsidR="004606FC" w:rsidRPr="000A03EC">
        <w:rPr>
          <w:b/>
          <w:sz w:val="28"/>
          <w:szCs w:val="28"/>
          <w:lang w:val="uk-UA"/>
        </w:rPr>
        <w:t xml:space="preserve"> </w:t>
      </w:r>
      <w:r w:rsidR="00147B20" w:rsidRPr="000A03EC">
        <w:rPr>
          <w:b/>
          <w:sz w:val="28"/>
          <w:szCs w:val="28"/>
          <w:lang w:val="uk-UA"/>
        </w:rPr>
        <w:t>Міжн</w:t>
      </w:r>
      <w:r w:rsidR="000A03EC">
        <w:rPr>
          <w:b/>
          <w:sz w:val="28"/>
          <w:szCs w:val="28"/>
          <w:lang w:val="uk-UA"/>
        </w:rPr>
        <w:t>ародна валютна ліквідність</w:t>
      </w:r>
    </w:p>
    <w:p w:rsidR="00147B20" w:rsidRPr="000A03EC" w:rsidRDefault="00147B20" w:rsidP="000A03EC">
      <w:pPr>
        <w:keepNext/>
        <w:spacing w:line="360" w:lineRule="auto"/>
        <w:ind w:firstLine="720"/>
        <w:jc w:val="center"/>
        <w:rPr>
          <w:b/>
          <w:sz w:val="28"/>
          <w:szCs w:val="28"/>
          <w:lang w:val="uk-UA"/>
        </w:rPr>
      </w:pP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 xml:space="preserve">Під міжнародною валютною ліквідністю розуміють сукупність усіх джерел фінансування та кредитування світового платіжного обороту, до яких належать валютні резерви, золоті запаси, міждержавні кредити, міжнародний ринок позичкових капіталів, сукупність різних джерел фінансування та кредитування зовнішньої торгівлі. Показники міжнародної ліквідності кожної країни </w:t>
      </w:r>
      <w:r w:rsidR="00147B20" w:rsidRPr="000A03EC">
        <w:rPr>
          <w:sz w:val="28"/>
          <w:szCs w:val="28"/>
          <w:lang w:val="uk-UA"/>
        </w:rPr>
        <w:t>прискіпливо вивчаються та аналі</w:t>
      </w:r>
      <w:r w:rsidRPr="000A03EC">
        <w:rPr>
          <w:sz w:val="28"/>
          <w:szCs w:val="28"/>
          <w:lang w:val="uk-UA"/>
        </w:rPr>
        <w:t>зуються фінансистами, економістами і політиками, а тому уряди приділяють велику увагу публікації та розповсюдженню відповідної інформації.</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У квітні 1992 р. на прохання України Міжнародний валютний фонд (МВФ) і Міжнародний банк реконструкції та розвитку (МБРР — Світовий банк) прийняли рішення про членство України в цих авторитетних фінансових організаціях. Верховна Рада України 3 червня 1992 р. прийняла Закон України "Про вступ України до Міжнародного валютного фонду, Міжнародного банку реконструкції та розвитку, Міжнародної фінансової корпорації, Міжнародної асоціації розвитку та багатостороннього агентства по гарантіях інвестицій". З вересня 1992 р. наша держава стала членом МВФ та МБРР.</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У своїй політиці та діяльності МВФ керується Статутом, прийнятим у 1994 р. на Бреттон-Вудській валютно-фінансовій конференції, який відомий як "Статті угоди про МВФ". Згідно із "Статтями угоди про МВФ" країна-член повинна надавати Фонду інформацію, яку він вважає необхідною для своєї діяльності.</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Із грудня 1992 р. Національний банк України надає Міжнародному валютному фонду зведені балансові звіти Національного та комерційних банків України, а також інформацію щодо валютних курсів та відсоткових ставок, а з 1993 р. складається платіжний баланс України.</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Розпорядженням Кабінету Міністрів та Національного банку України від 14 грудня 1995 р. Національний банк був призначений відповідальним за підготовку показників і проектів публікацій грошово-кредитної статистики та статистики платіжного балансу в збірнику "Міжнародна фінансова статистика".</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Збірник "Міжнародна фінансова статистика" ("International Financial Statistics", IFS) є основним статистичним виданням Міжнародного валютного фонду, який публікується англійською мовою щомісяця починаючи з січня 1948 р. МФС містить сторінки країн — членів Фонду. Сторінки країн демонструють основні агреговані економічні показники, які використовуються для аналізу економічного розвитку та містять інформацію про валютні курси, міжнародну ліквідність, гроші та</w:t>
      </w:r>
      <w:r w:rsidR="00147B20" w:rsidRPr="000A03EC">
        <w:rPr>
          <w:sz w:val="28"/>
          <w:szCs w:val="28"/>
          <w:lang w:val="uk-UA"/>
        </w:rPr>
        <w:t xml:space="preserve"> </w:t>
      </w:r>
      <w:r w:rsidRPr="000A03EC">
        <w:rPr>
          <w:sz w:val="28"/>
          <w:szCs w:val="28"/>
          <w:lang w:val="uk-UA"/>
        </w:rPr>
        <w:t>банківські операції, відсоткові ставки, виробництво, цінові показники, міжнародні трансакції, рахунки державного сектора та національні рахунки. Крім міжнародних організацій і донорів інформація цього видання широко використовується на фінансових ринках, а також потенційними іноземними інвесторами.</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Перше видання сторінки України було надруковано в липневому випуску збірника МФС за 1996 р. і містило показники грошово-кредитної статистики починаючи з грудня 1992 р. і статистики платіжного балансу починаючи з першого кварталу 1994 р. Показники розраховуються за методологією Міжнародного валютного фонду. Перелік показників, що входять до збірника, стандартний для всіх країн — членів МВФ. Дані опубліковано в збірнику на тематичній сторінці, присвяченій Україні.</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Дані для публікацій у збірнику МВФ "Міжнародна фінансова статистика" готуються на основі статистичної звітності, яку щомісяця складає Економічний департамент Національного банку України й надає Міжнародному валютному фонду.</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Міжнародні резерви — це зовнішні активи, що контролюються органами грошово-кредитного регулювання і можуть бути використані для фінансування дефіциту платіжного балансу, а також для проведення інтервенцій на валютних ринках та ін. До складу міжнародних резервів входять:</w:t>
      </w:r>
    </w:p>
    <w:p w:rsidR="004606FC" w:rsidRPr="000A03EC" w:rsidRDefault="004606FC" w:rsidP="000A03EC">
      <w:pPr>
        <w:keepNext/>
        <w:numPr>
          <w:ilvl w:val="0"/>
          <w:numId w:val="2"/>
        </w:numPr>
        <w:tabs>
          <w:tab w:val="clear" w:pos="1571"/>
          <w:tab w:val="num" w:pos="709"/>
        </w:tabs>
        <w:spacing w:line="360" w:lineRule="auto"/>
        <w:ind w:left="0" w:firstLine="720"/>
        <w:jc w:val="both"/>
        <w:rPr>
          <w:sz w:val="28"/>
          <w:szCs w:val="28"/>
          <w:lang w:val="uk-UA"/>
        </w:rPr>
      </w:pPr>
      <w:r w:rsidRPr="000A03EC">
        <w:rPr>
          <w:sz w:val="28"/>
          <w:szCs w:val="28"/>
          <w:lang w:val="uk-UA"/>
        </w:rPr>
        <w:t>монетарне золото — високочисте золото у формі монет, злитків або брусків не нижче 995 проби, що перебуває у</w:t>
      </w:r>
      <w:r w:rsidR="00147B20" w:rsidRPr="000A03EC">
        <w:rPr>
          <w:sz w:val="28"/>
          <w:szCs w:val="28"/>
          <w:lang w:val="uk-UA"/>
        </w:rPr>
        <w:t xml:space="preserve"> </w:t>
      </w:r>
      <w:r w:rsidRPr="000A03EC">
        <w:rPr>
          <w:sz w:val="28"/>
          <w:szCs w:val="28"/>
          <w:lang w:val="uk-UA"/>
        </w:rPr>
        <w:t>власності або під контролем центрального банку або органів</w:t>
      </w:r>
      <w:r w:rsidR="00147B20" w:rsidRPr="000A03EC">
        <w:rPr>
          <w:sz w:val="28"/>
          <w:szCs w:val="28"/>
          <w:lang w:val="uk-UA"/>
        </w:rPr>
        <w:t xml:space="preserve"> </w:t>
      </w:r>
      <w:r w:rsidRPr="000A03EC">
        <w:rPr>
          <w:sz w:val="28"/>
          <w:szCs w:val="28"/>
          <w:lang w:val="uk-UA"/>
        </w:rPr>
        <w:t>державного управління і є частиною їх міжнародних резервів;</w:t>
      </w:r>
    </w:p>
    <w:p w:rsidR="004606FC" w:rsidRPr="000A03EC" w:rsidRDefault="004606FC" w:rsidP="000A03EC">
      <w:pPr>
        <w:keepNext/>
        <w:numPr>
          <w:ilvl w:val="0"/>
          <w:numId w:val="2"/>
        </w:numPr>
        <w:tabs>
          <w:tab w:val="clear" w:pos="1571"/>
          <w:tab w:val="num" w:pos="709"/>
        </w:tabs>
        <w:spacing w:line="360" w:lineRule="auto"/>
        <w:ind w:left="0" w:firstLine="720"/>
        <w:jc w:val="both"/>
        <w:rPr>
          <w:sz w:val="28"/>
          <w:szCs w:val="28"/>
          <w:lang w:val="uk-UA"/>
        </w:rPr>
      </w:pPr>
      <w:r w:rsidRPr="000A03EC">
        <w:rPr>
          <w:sz w:val="28"/>
          <w:szCs w:val="28"/>
          <w:lang w:val="uk-UA"/>
        </w:rPr>
        <w:t>СДР, що належать Україні (у доларовому еквіваленті);</w:t>
      </w:r>
    </w:p>
    <w:p w:rsidR="004606FC" w:rsidRPr="000A03EC" w:rsidRDefault="004606FC" w:rsidP="000A03EC">
      <w:pPr>
        <w:keepNext/>
        <w:numPr>
          <w:ilvl w:val="0"/>
          <w:numId w:val="2"/>
        </w:numPr>
        <w:tabs>
          <w:tab w:val="clear" w:pos="1571"/>
          <w:tab w:val="num" w:pos="709"/>
        </w:tabs>
        <w:spacing w:line="360" w:lineRule="auto"/>
        <w:ind w:left="0" w:firstLine="720"/>
        <w:jc w:val="both"/>
        <w:rPr>
          <w:sz w:val="28"/>
          <w:szCs w:val="28"/>
          <w:lang w:val="uk-UA"/>
        </w:rPr>
      </w:pPr>
      <w:r w:rsidRPr="000A03EC">
        <w:rPr>
          <w:sz w:val="28"/>
          <w:szCs w:val="28"/>
          <w:lang w:val="uk-UA"/>
        </w:rPr>
        <w:t>резервна позиція України в Міжнародному валютному</w:t>
      </w:r>
      <w:r w:rsidR="00147B20" w:rsidRPr="000A03EC">
        <w:rPr>
          <w:sz w:val="28"/>
          <w:szCs w:val="28"/>
          <w:lang w:val="uk-UA"/>
        </w:rPr>
        <w:t xml:space="preserve"> </w:t>
      </w:r>
      <w:r w:rsidRPr="000A03EC">
        <w:rPr>
          <w:sz w:val="28"/>
          <w:szCs w:val="28"/>
          <w:lang w:val="uk-UA"/>
        </w:rPr>
        <w:t>фонді;</w:t>
      </w:r>
    </w:p>
    <w:p w:rsidR="004606FC" w:rsidRPr="000A03EC" w:rsidRDefault="004606FC" w:rsidP="000A03EC">
      <w:pPr>
        <w:keepNext/>
        <w:numPr>
          <w:ilvl w:val="0"/>
          <w:numId w:val="2"/>
        </w:numPr>
        <w:tabs>
          <w:tab w:val="clear" w:pos="1571"/>
          <w:tab w:val="num" w:pos="709"/>
        </w:tabs>
        <w:spacing w:line="360" w:lineRule="auto"/>
        <w:ind w:left="0" w:firstLine="720"/>
        <w:jc w:val="both"/>
        <w:rPr>
          <w:sz w:val="28"/>
          <w:szCs w:val="28"/>
          <w:lang w:val="uk-UA"/>
        </w:rPr>
      </w:pPr>
      <w:r w:rsidRPr="000A03EC">
        <w:rPr>
          <w:sz w:val="28"/>
          <w:szCs w:val="28"/>
          <w:lang w:val="uk-UA"/>
        </w:rPr>
        <w:t>валютні активи (валюта, вклади та депозити й цінні</w:t>
      </w:r>
      <w:r w:rsidR="00147B20" w:rsidRPr="000A03EC">
        <w:rPr>
          <w:sz w:val="28"/>
          <w:szCs w:val="28"/>
          <w:lang w:val="uk-UA"/>
        </w:rPr>
        <w:t xml:space="preserve"> </w:t>
      </w:r>
      <w:r w:rsidRPr="000A03EC">
        <w:rPr>
          <w:sz w:val="28"/>
          <w:szCs w:val="28"/>
          <w:lang w:val="uk-UA"/>
        </w:rPr>
        <w:t>папери).</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Показник "іноземна валюта" включає вимоги монетарних органів до нерезидентів у вигляді банківських депозитів, казначейських векселів, коротко- та довгострокових державних цінних паперів, євро та інші вимоги, які використовуються при потребі платіжного балан</w:t>
      </w:r>
      <w:r w:rsidR="00147B20" w:rsidRPr="000A03EC">
        <w:rPr>
          <w:sz w:val="28"/>
          <w:szCs w:val="28"/>
          <w:lang w:val="uk-UA"/>
        </w:rPr>
        <w:t>су незалежно від того, деноміно</w:t>
      </w:r>
      <w:r w:rsidRPr="000A03EC">
        <w:rPr>
          <w:sz w:val="28"/>
          <w:szCs w:val="28"/>
          <w:lang w:val="uk-UA"/>
        </w:rPr>
        <w:t>вані вони у валюті дебіторів чи кредиторів.</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Квота в Міжнародному валютному фонді — це частка країни — члена МВФ у капіталі Фонду. Залежно від квоти у МВФ визначається кількість голосів країни в керівних органах</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 xml:space="preserve">Фонду, сума СДР при розподілі, обсяг одержання кредитів. Статутом МВФ передбачено, що величина квоти (внеску) встановлюється для кожної країни окремо з урахуванням її ролі у світовій економіці, насамперед — у міжнародній торгівлі (враховуються також валовий внутрішній продукт і міжнародні резерви). Внески у МВФ здійснюються у національній валюті, СДР або іноземній валюті, що визначається МВФ. До 1 квітня 1978 р. 25% квоти сплачувалося золотом. Розмір квоти у МВФ переглядається не частіше одного разу на п'ять років. </w:t>
      </w:r>
    </w:p>
    <w:p w:rsidR="004606FC" w:rsidRPr="000A03EC" w:rsidRDefault="004606FC" w:rsidP="000A03EC">
      <w:pPr>
        <w:keepNext/>
        <w:spacing w:line="360" w:lineRule="auto"/>
        <w:ind w:firstLine="720"/>
        <w:jc w:val="both"/>
        <w:rPr>
          <w:sz w:val="28"/>
          <w:szCs w:val="28"/>
          <w:lang w:val="uk-UA"/>
        </w:rPr>
      </w:pPr>
      <w:r w:rsidRPr="000A03EC">
        <w:rPr>
          <w:sz w:val="28"/>
          <w:szCs w:val="28"/>
          <w:lang w:val="uk-UA"/>
        </w:rPr>
        <w:t>Авуари в СДР (СПЗ) — це резервні активи, що належать учасникам Фонду та встановленим міжнародним фінансовим установам і є частиною міжнародних резервів країн — членів МВФ. Запроваджений у 1969 р. Спеціальний рахунок запозичення МВФ надає країнам — членам МВФ додаткові міжнародні резерви. СПЗ не є зобов'язаннями МВФ. Вони розглядаються як активи, оскільки дають право на отримання інших активів — іноземної валюти або інших резервних активів. Починаючи з січня 1996 р. вартість одиниці СПЗ визначається Фондом щодня як середньозважене значення валютних курсів п'яти провідних валют.</w:t>
      </w:r>
    </w:p>
    <w:p w:rsidR="00147B20" w:rsidRPr="000A03EC" w:rsidRDefault="004606FC" w:rsidP="000A03EC">
      <w:pPr>
        <w:keepNext/>
        <w:spacing w:line="360" w:lineRule="auto"/>
        <w:ind w:firstLine="720"/>
        <w:jc w:val="both"/>
        <w:rPr>
          <w:sz w:val="28"/>
          <w:szCs w:val="28"/>
          <w:lang w:val="uk-UA"/>
        </w:rPr>
      </w:pPr>
      <w:r w:rsidRPr="000A03EC">
        <w:rPr>
          <w:sz w:val="28"/>
          <w:szCs w:val="28"/>
          <w:lang w:val="uk-UA"/>
        </w:rPr>
        <w:t>У цілому позицію України в Міжнародному валютному фонді можна визначити як стабільну, однак слід зазначити, що сума заборгованості за кредитами і позичками Фонду за останні роки значно зросла.</w:t>
      </w:r>
    </w:p>
    <w:p w:rsidR="00551084" w:rsidRPr="000A03EC" w:rsidRDefault="00551084" w:rsidP="000A03EC">
      <w:pPr>
        <w:keepNext/>
        <w:spacing w:line="360" w:lineRule="auto"/>
        <w:ind w:firstLine="720"/>
        <w:jc w:val="both"/>
        <w:rPr>
          <w:sz w:val="28"/>
          <w:szCs w:val="28"/>
          <w:lang w:val="uk-UA"/>
        </w:rPr>
      </w:pPr>
    </w:p>
    <w:p w:rsidR="00551084" w:rsidRPr="000A03EC" w:rsidRDefault="00AD724F" w:rsidP="000A03EC">
      <w:pPr>
        <w:keepNext/>
        <w:spacing w:line="360" w:lineRule="auto"/>
        <w:ind w:firstLine="720"/>
        <w:jc w:val="center"/>
        <w:rPr>
          <w:b/>
          <w:sz w:val="28"/>
          <w:szCs w:val="28"/>
          <w:lang w:val="uk-UA"/>
        </w:rPr>
      </w:pPr>
      <w:r w:rsidRPr="000A03EC">
        <w:rPr>
          <w:b/>
          <w:sz w:val="28"/>
          <w:szCs w:val="28"/>
          <w:lang w:val="uk-UA"/>
        </w:rPr>
        <w:t>2</w:t>
      </w:r>
      <w:r w:rsidR="00551084" w:rsidRPr="000A03EC">
        <w:rPr>
          <w:b/>
          <w:sz w:val="28"/>
          <w:szCs w:val="28"/>
          <w:lang w:val="uk-UA"/>
        </w:rPr>
        <w:t>. Чинники, що впливають на формування валютного курсу (курсоутворюючі чинники)</w:t>
      </w:r>
    </w:p>
    <w:p w:rsidR="00551084" w:rsidRPr="000A03EC" w:rsidRDefault="00551084" w:rsidP="000A03EC">
      <w:pPr>
        <w:keepNext/>
        <w:spacing w:line="360" w:lineRule="auto"/>
        <w:ind w:firstLine="720"/>
        <w:jc w:val="both"/>
        <w:rPr>
          <w:sz w:val="28"/>
          <w:szCs w:val="28"/>
          <w:lang w:val="uk-UA"/>
        </w:rPr>
      </w:pP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Валютний курс є ціною, в якій грошова одиниця однієї країни виражається (відображується) в грошовій одиниці іншої країни, а тому, як і на ціну будь-якого іншого товару, на рівень і динаміку валютного курсу впливає ціла низка чинників. Розрізняють чинники структурного (макроекономічного) характеру, тобто такі, що відображають стан економіки даної країни, та кон'юнктурні, які постійно змінюються під впливом тенденцій внутрішнього та світового ринків.</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До структурних чинників належать:</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показники економічного зростання;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обсяг грошової маси в обігу;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рівень інфляції;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рівень облікової ставки;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стан і структура платіжного балансу країни;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обсяги дефіциту державного бюджету;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 xml:space="preserve">платоспроможність країни та довіра до національної валюти на внутрішньому і зовнішньому ринках; </w:t>
      </w:r>
    </w:p>
    <w:p w:rsidR="00551084" w:rsidRPr="000A03EC" w:rsidRDefault="00551084" w:rsidP="000A03EC">
      <w:pPr>
        <w:keepNext/>
        <w:numPr>
          <w:ilvl w:val="0"/>
          <w:numId w:val="3"/>
        </w:numPr>
        <w:tabs>
          <w:tab w:val="clear" w:pos="1571"/>
          <w:tab w:val="num" w:pos="851"/>
        </w:tabs>
        <w:spacing w:line="360" w:lineRule="auto"/>
        <w:ind w:left="0" w:firstLine="720"/>
        <w:jc w:val="both"/>
        <w:rPr>
          <w:sz w:val="28"/>
          <w:szCs w:val="28"/>
          <w:lang w:val="uk-UA"/>
        </w:rPr>
      </w:pPr>
      <w:r w:rsidRPr="000A03EC">
        <w:rPr>
          <w:sz w:val="28"/>
          <w:szCs w:val="28"/>
          <w:lang w:val="uk-UA"/>
        </w:rPr>
        <w:t>обсяги внутрішніх та зовнішніх запозичень тощо.</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Кон'юнктурними чинниками можна вважати:</w:t>
      </w:r>
    </w:p>
    <w:p w:rsidR="00551084" w:rsidRPr="000A03EC" w:rsidRDefault="00551084" w:rsidP="000A03EC">
      <w:pPr>
        <w:keepNext/>
        <w:numPr>
          <w:ilvl w:val="0"/>
          <w:numId w:val="4"/>
        </w:numPr>
        <w:tabs>
          <w:tab w:val="clear" w:pos="1571"/>
          <w:tab w:val="num" w:pos="851"/>
        </w:tabs>
        <w:spacing w:line="360" w:lineRule="auto"/>
        <w:ind w:left="0" w:firstLine="720"/>
        <w:jc w:val="both"/>
        <w:rPr>
          <w:sz w:val="28"/>
          <w:szCs w:val="28"/>
          <w:lang w:val="uk-UA"/>
        </w:rPr>
      </w:pPr>
      <w:r w:rsidRPr="000A03EC">
        <w:rPr>
          <w:sz w:val="28"/>
          <w:szCs w:val="28"/>
          <w:lang w:val="uk-UA"/>
        </w:rPr>
        <w:t xml:space="preserve">спекулятивні валютні операції; </w:t>
      </w:r>
    </w:p>
    <w:p w:rsidR="00551084" w:rsidRPr="000A03EC" w:rsidRDefault="00551084" w:rsidP="000A03EC">
      <w:pPr>
        <w:keepNext/>
        <w:numPr>
          <w:ilvl w:val="0"/>
          <w:numId w:val="4"/>
        </w:numPr>
        <w:tabs>
          <w:tab w:val="clear" w:pos="1571"/>
          <w:tab w:val="num" w:pos="851"/>
        </w:tabs>
        <w:spacing w:line="360" w:lineRule="auto"/>
        <w:ind w:left="0" w:firstLine="720"/>
        <w:jc w:val="both"/>
        <w:rPr>
          <w:sz w:val="28"/>
          <w:szCs w:val="28"/>
          <w:lang w:val="uk-UA"/>
        </w:rPr>
      </w:pPr>
      <w:r w:rsidRPr="000A03EC">
        <w:rPr>
          <w:sz w:val="28"/>
          <w:szCs w:val="28"/>
          <w:lang w:val="uk-UA"/>
        </w:rPr>
        <w:t xml:space="preserve">формування інфляційних очікувань; </w:t>
      </w:r>
    </w:p>
    <w:p w:rsidR="00551084" w:rsidRPr="000A03EC" w:rsidRDefault="00551084" w:rsidP="000A03EC">
      <w:pPr>
        <w:keepNext/>
        <w:numPr>
          <w:ilvl w:val="0"/>
          <w:numId w:val="4"/>
        </w:numPr>
        <w:tabs>
          <w:tab w:val="clear" w:pos="1571"/>
          <w:tab w:val="num" w:pos="851"/>
        </w:tabs>
        <w:spacing w:line="360" w:lineRule="auto"/>
        <w:ind w:left="0" w:firstLine="720"/>
        <w:jc w:val="both"/>
        <w:rPr>
          <w:sz w:val="28"/>
          <w:szCs w:val="28"/>
          <w:lang w:val="uk-UA"/>
        </w:rPr>
      </w:pPr>
      <w:r w:rsidRPr="000A03EC">
        <w:rPr>
          <w:sz w:val="28"/>
          <w:szCs w:val="28"/>
          <w:lang w:val="uk-UA"/>
        </w:rPr>
        <w:t xml:space="preserve">часті зміни урядів; </w:t>
      </w:r>
    </w:p>
    <w:p w:rsidR="00551084" w:rsidRPr="000A03EC" w:rsidRDefault="00551084" w:rsidP="000A03EC">
      <w:pPr>
        <w:keepNext/>
        <w:numPr>
          <w:ilvl w:val="0"/>
          <w:numId w:val="4"/>
        </w:numPr>
        <w:tabs>
          <w:tab w:val="clear" w:pos="1571"/>
          <w:tab w:val="num" w:pos="851"/>
        </w:tabs>
        <w:spacing w:line="360" w:lineRule="auto"/>
        <w:ind w:left="0" w:firstLine="720"/>
        <w:jc w:val="both"/>
        <w:rPr>
          <w:sz w:val="28"/>
          <w:szCs w:val="28"/>
          <w:lang w:val="uk-UA"/>
        </w:rPr>
      </w:pPr>
      <w:r w:rsidRPr="000A03EC">
        <w:rPr>
          <w:sz w:val="28"/>
          <w:szCs w:val="28"/>
          <w:lang w:val="uk-UA"/>
        </w:rPr>
        <w:t xml:space="preserve">лобіювання у вищих ешелонах влади інтересів певних політичних та економічних структур; </w:t>
      </w:r>
    </w:p>
    <w:p w:rsidR="00551084" w:rsidRPr="000A03EC" w:rsidRDefault="00551084" w:rsidP="000A03EC">
      <w:pPr>
        <w:keepNext/>
        <w:numPr>
          <w:ilvl w:val="0"/>
          <w:numId w:val="4"/>
        </w:numPr>
        <w:tabs>
          <w:tab w:val="clear" w:pos="1571"/>
          <w:tab w:val="num" w:pos="851"/>
        </w:tabs>
        <w:spacing w:line="360" w:lineRule="auto"/>
        <w:ind w:left="0" w:firstLine="720"/>
        <w:jc w:val="both"/>
        <w:rPr>
          <w:sz w:val="28"/>
          <w:szCs w:val="28"/>
          <w:lang w:val="uk-UA"/>
        </w:rPr>
      </w:pPr>
      <w:r w:rsidRPr="000A03EC">
        <w:rPr>
          <w:sz w:val="28"/>
          <w:szCs w:val="28"/>
          <w:lang w:val="uk-UA"/>
        </w:rPr>
        <w:t>рівень розвиненості інших секторів фінансового ринку та ін.</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Стан платіжного балансу, який характеризує ефективність зовнішньоекономічної діяльності країни, безпосередньо впливає на рівень і динаміку валютного курсу. При цьому найбільший вплив на нього спричиняють поточні операції балансу (купівля товарів, послуг, доходи від інвестицій тощо). Дефіцит поточного балансу свідчить про низьку конкурентоспроможність національних товарів і послуг на світових ринках та більшу привабливість іноземних товарів. За наявності дефіциту платіжного балансу відбувається збільшення зовнішньої заборгованості країни та виникають умови для підвищення курсу національної валюти. Активне сальдо платіжного балансу свідчить про підвищення попиту на національну валюту і зниження її курсу по відношенню до іноземних валют.</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Суттєвий вплив на валютний курс мають збільшення обсягів грошової маси, підвищення темпів інфляції та наявність інфляційних очікувань. Практично у всіх країнах, особливо за умови спаду виробництва, ці чинники призвели до підвищення курсів національних валют. Показовим прикладом може бути фінансова криза 1998 р. Інфляційні очікування почали проявлятися ще в травні—червні 1998 p., коли з ринку ОВДП пішли нерезиденти. В серпні фінансова криза розпочалася спочатку в Росії, а потім перекинулася й до України. Однак завдяки тому, що Національному банку України вдалося частково погасити інфляційні очікування, перші наслідки фінансової кризи в Україні не були такими руйнівними, як в Росії, коли з полиць магазинів за кілька днів зникли товари широкого вжитку. Оскільки чинники фінансової кризи в Україні та Росії були схожими, її наслідки знайшли свій прояв у суттєвому підвищенні курсів і гривні, й рубля по відношенню до більш стабільних валют.</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Підвищення відсоткових ставок означає подорожчання грошей, а тому сприяє зміщенню (переміщенню) інвестиційного та спекулятивного попиту з іноземної валюти на внутрішній грошовий ринок. Маневрування відсотковими ставками спричиняє перетоки значних сум капіталів на міжнародних фінансових ринках. Підвищення відсоткових ставок сприяє притоку іноземних інвестицій і стабілізації валютного курсу.</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В цілому слід зазначити, що чинники, які формують валютні курси, досить мобільні, і їх взаємний вплив часто може нейтралізувати або підсилити дію один одного, а тому, керуючись загальними тенденціями динаміки валютних курсів, потрібно в кожній конкретній ситуації аналізувати дію кожного чинника у взаємозв'язку з іншими.</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У сучасних умовах валютний курс формується, як і будь-яка ринкова ціна, під впливом попиту та пропозиції. Зрівноважування останніх на валютному ринку приводить до встановлення рівноважного рівня ринкового курсу валюти. Це так називане «фундаментальна рівновага».</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Розмір попиту на іноземну валюту визначається потребами країни в імпорті товарів і послуг, витратами туристів даної країни, що виїжджають в іноземні держави, попитом на іноземні фінансові активи і попитом на іноземну валюту в зв'язку з намірами резидентів здійснювати інвестиційні проекти за рубежем.</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Чим вище курс іноземної валюти, тим менше попит на неї; чим нижче курс іноземної валюти, тим більше попит на неї.</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Розмір пропозиції іноземної валюти визначається попитом резидентів іноземної держави на валюту даної держави, попитом іноземних туристів на послуги в даній державі, попитом іноземних інвесторів на активи, виражені в національній валюті даної держави, і попитом на національну валюту в зв'язку з намірами нерезидентів здійснювати інвестиційні проекти в даній державі.</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Так, чим вище курс іноземної валюти стосовно вітчизняного, тим менша кількість національних суб'єктів валютного ринку готового запропонувати вітчизняну в обмін на іноземну і навпаки, чим нижче курс національної валюти стосовно іноземного, тим більша кількість суб'єктів національного ринку готового придбати іноземну валюту.</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Як будь-яка ціна, валютний курс відхиляється від вартісної основи — купівельної спроможності валют — під впливом попиту та пропозиції валюти. Співвідношення такого попиту та пропозиції залежить від ряду факторів, Багатофакторність валютного курсу відбиває його зв'язок з іншими економічними категоріями — вартістю, ціною, грошима, відсотком, платіжним балансом і т.д. Причому відбувається складне їхнє переплетення і висування в якості вирішальних то одних, то інших факторів.</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Фактори, що впливають на величину валютного курсу, підрозділяються на структурні-діючі в довгостроковому періоді і кон'юнктурні-викликаючі короткострокове коливання валютного курсу та пов'язані із коливаннями ділової активності в країні, політичної ситуації, чутками і прогнозами (табл. 1.).</w:t>
      </w:r>
    </w:p>
    <w:p w:rsidR="000A03EC" w:rsidRDefault="000A03EC" w:rsidP="000A03EC">
      <w:pPr>
        <w:keepNext/>
        <w:spacing w:line="360" w:lineRule="auto"/>
        <w:ind w:firstLine="720"/>
        <w:jc w:val="both"/>
        <w:rPr>
          <w:sz w:val="28"/>
          <w:szCs w:val="28"/>
          <w:lang w:val="uk-UA"/>
        </w:rPr>
      </w:pP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Таблиця 1.</w:t>
      </w:r>
    </w:p>
    <w:p w:rsidR="00551084" w:rsidRPr="000A03EC" w:rsidRDefault="00551084" w:rsidP="000A03EC">
      <w:pPr>
        <w:keepNext/>
        <w:spacing w:line="360" w:lineRule="auto"/>
        <w:ind w:firstLine="720"/>
        <w:jc w:val="both"/>
        <w:rPr>
          <w:sz w:val="28"/>
          <w:szCs w:val="28"/>
          <w:lang w:val="uk-UA"/>
        </w:rPr>
      </w:pPr>
      <w:r w:rsidRPr="000A03EC">
        <w:rPr>
          <w:sz w:val="28"/>
          <w:szCs w:val="28"/>
          <w:lang w:val="uk-UA"/>
        </w:rPr>
        <w:t>Класифікація факторів впливу на розмір валютного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37"/>
      </w:tblGrid>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Структурні чинники</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Кон 'юнктурні чинники</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конкурентоспроможність товарів країни на світовому ринку і її зміни</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діяльність валютних ринків</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стан платіжного балансу країни</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спекулятивні валютні операції</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купівельна спроможність грошових одиниць і темпи інфляції</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кризи, війни, стихійні лиха</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різниця %-х ставок у різних</w:t>
            </w:r>
            <w:r w:rsidR="000A03EC" w:rsidRPr="000353F9">
              <w:rPr>
                <w:lang w:val="uk-UA"/>
              </w:rPr>
              <w:t xml:space="preserve"> </w:t>
            </w:r>
            <w:r w:rsidRPr="000353F9">
              <w:rPr>
                <w:lang w:val="uk-UA"/>
              </w:rPr>
              <w:t>країнах</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прогнози</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державне регулювання</w:t>
            </w:r>
            <w:r w:rsidR="000A03EC" w:rsidRPr="000353F9">
              <w:rPr>
                <w:lang w:val="uk-UA"/>
              </w:rPr>
              <w:t xml:space="preserve"> </w:t>
            </w:r>
            <w:r w:rsidRPr="000353F9">
              <w:rPr>
                <w:lang w:val="uk-UA"/>
              </w:rPr>
              <w:t>валютного курсу</w:t>
            </w:r>
          </w:p>
        </w:tc>
        <w:tc>
          <w:tcPr>
            <w:tcW w:w="4537" w:type="dxa"/>
            <w:shd w:val="clear" w:color="auto" w:fill="auto"/>
          </w:tcPr>
          <w:p w:rsidR="00551084" w:rsidRPr="000353F9" w:rsidRDefault="00551084" w:rsidP="000353F9">
            <w:pPr>
              <w:keepNext/>
              <w:spacing w:line="360" w:lineRule="auto"/>
              <w:jc w:val="both"/>
              <w:rPr>
                <w:lang w:val="uk-UA"/>
              </w:rPr>
            </w:pPr>
            <w:r w:rsidRPr="000353F9">
              <w:rPr>
                <w:lang w:val="uk-UA"/>
              </w:rPr>
              <w:t>циклічність ділової активності в країні</w:t>
            </w:r>
          </w:p>
        </w:tc>
      </w:tr>
      <w:tr w:rsidR="00551084" w:rsidRPr="000353F9" w:rsidTr="000353F9">
        <w:tc>
          <w:tcPr>
            <w:tcW w:w="4785" w:type="dxa"/>
            <w:shd w:val="clear" w:color="auto" w:fill="auto"/>
          </w:tcPr>
          <w:p w:rsidR="00551084" w:rsidRPr="000353F9" w:rsidRDefault="00551084" w:rsidP="000353F9">
            <w:pPr>
              <w:keepNext/>
              <w:spacing w:line="360" w:lineRule="auto"/>
              <w:jc w:val="both"/>
              <w:rPr>
                <w:lang w:val="uk-UA"/>
              </w:rPr>
            </w:pPr>
            <w:r w:rsidRPr="000353F9">
              <w:rPr>
                <w:lang w:val="uk-UA"/>
              </w:rPr>
              <w:t>ступінь відкритості економіки</w:t>
            </w:r>
          </w:p>
        </w:tc>
        <w:tc>
          <w:tcPr>
            <w:tcW w:w="4537" w:type="dxa"/>
            <w:shd w:val="clear" w:color="auto" w:fill="auto"/>
          </w:tcPr>
          <w:p w:rsidR="00551084" w:rsidRPr="000353F9" w:rsidRDefault="00551084" w:rsidP="000353F9">
            <w:pPr>
              <w:keepNext/>
              <w:spacing w:line="360" w:lineRule="auto"/>
              <w:jc w:val="both"/>
              <w:rPr>
                <w:lang w:val="uk-UA"/>
              </w:rPr>
            </w:pPr>
          </w:p>
        </w:tc>
      </w:tr>
    </w:tbl>
    <w:p w:rsidR="00AD724F" w:rsidRPr="000A03EC" w:rsidRDefault="00AD724F" w:rsidP="000A03EC">
      <w:pPr>
        <w:keepNext/>
        <w:spacing w:line="360" w:lineRule="auto"/>
        <w:ind w:firstLine="720"/>
        <w:jc w:val="center"/>
        <w:rPr>
          <w:b/>
          <w:sz w:val="28"/>
          <w:szCs w:val="28"/>
        </w:rPr>
      </w:pPr>
      <w:r w:rsidRPr="000A03EC">
        <w:rPr>
          <w:sz w:val="28"/>
          <w:lang w:val="uk-UA"/>
        </w:rPr>
        <w:br w:type="page"/>
      </w:r>
      <w:r w:rsidRPr="000A03EC">
        <w:rPr>
          <w:b/>
          <w:sz w:val="28"/>
          <w:szCs w:val="28"/>
        </w:rPr>
        <w:t>Список літератури</w:t>
      </w:r>
    </w:p>
    <w:p w:rsidR="00AD724F" w:rsidRPr="000A03EC" w:rsidRDefault="00AD724F" w:rsidP="000A03EC">
      <w:pPr>
        <w:keepNext/>
        <w:spacing w:line="360" w:lineRule="auto"/>
        <w:ind w:firstLine="720"/>
        <w:jc w:val="both"/>
        <w:rPr>
          <w:sz w:val="28"/>
          <w:szCs w:val="28"/>
        </w:rPr>
      </w:pP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Банковское дело [Текст] : учебник / Финансовая академия при правительстве РФ ; ред. О. И. Лаврушин. - Изд. 4-е, стер. - М. : КНОРУС, 2006. - 768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Бездітко, Ю. М. Валютне регулювання [Текст] : навчальний посібник / Ю. М. Бездітко, О. О. Мануйленко, Г. А. Стасюк. - Херсон : Олді-плюс, 2004. - 272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Валютне регулювання [Текст] : навчальний посібник / Ю. М. Бездітко, О. О. Мануйленко, Г. А. Стасюк. - Херсон : Олді-плюс, 2004. - 272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Віднійчук-Вірван, Л.А. Міжнародні розрахунки і валютні операції [Текст] : навчальний посібник / Л. А. Віднійчук-Вірван. - Львів : Магнолія 2006, 2007. - 214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Дзюблюк, О.В. Валютна політика [Текст] : підручник / О. В. Дзюблюк. - К. : Знання, 2007. - 422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Єпіфанов, А.О. Операції комерційних банків [Текст] : навчальний посібник / А. О. Єпіфанов, Н. Г. Маслак, І. В. Сало. - Суми : ВТД "Університетська книга", 2007. - 523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Завальна, Ж.В. Валютне право України [Текст] : навчальний посібник / Ж. В. Завальна, М. В. Старинський ; УАБС НБУ. - 2-е вид., перероб. і доп. - Суми : Університетська книга, 2006. - 384 с.</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Попов, Є. Є. Фактори впливу на валютний курс та його регулювання [Текст] / Є. Є. Попов // Формування ринкових відносин в Україні. - 2007. - N 8. - C.31-35</w:t>
      </w:r>
    </w:p>
    <w:p w:rsidR="00AD724F" w:rsidRPr="000A03EC" w:rsidRDefault="00AD724F" w:rsidP="000A03EC">
      <w:pPr>
        <w:keepNext/>
        <w:numPr>
          <w:ilvl w:val="0"/>
          <w:numId w:val="5"/>
        </w:numPr>
        <w:autoSpaceDE/>
        <w:autoSpaceDN/>
        <w:adjustRightInd/>
        <w:spacing w:line="360" w:lineRule="auto"/>
        <w:ind w:left="0" w:firstLine="0"/>
        <w:jc w:val="both"/>
        <w:rPr>
          <w:sz w:val="28"/>
          <w:szCs w:val="28"/>
        </w:rPr>
      </w:pPr>
      <w:r w:rsidRPr="000A03EC">
        <w:rPr>
          <w:sz w:val="28"/>
          <w:szCs w:val="28"/>
        </w:rPr>
        <w:t>Рогач, Ф. Щодо цілей валютно - курсового регулювання в Україні [Текст] / Ф. Рогач // Економіст. - 2008. - N 1. - C.25-28</w:t>
      </w:r>
      <w:bookmarkStart w:id="0" w:name="_GoBack"/>
      <w:bookmarkEnd w:id="0"/>
    </w:p>
    <w:sectPr w:rsidR="00AD724F" w:rsidRPr="000A03EC" w:rsidSect="000A03EC">
      <w:footerReference w:type="even" r:id="rId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3F9" w:rsidRDefault="000353F9">
      <w:r>
        <w:separator/>
      </w:r>
    </w:p>
  </w:endnote>
  <w:endnote w:type="continuationSeparator" w:id="0">
    <w:p w:rsidR="000353F9" w:rsidRDefault="0003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938" w:rsidRDefault="00DE1938" w:rsidP="00A45137">
    <w:pPr>
      <w:pStyle w:val="a8"/>
      <w:framePr w:wrap="around" w:vAnchor="text" w:hAnchor="margin" w:xAlign="right" w:y="1"/>
      <w:rPr>
        <w:rStyle w:val="aa"/>
      </w:rPr>
    </w:pPr>
  </w:p>
  <w:p w:rsidR="00DE1938" w:rsidRDefault="00DE1938" w:rsidP="00A4513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3F9" w:rsidRDefault="000353F9">
      <w:r>
        <w:separator/>
      </w:r>
    </w:p>
  </w:footnote>
  <w:footnote w:type="continuationSeparator" w:id="0">
    <w:p w:rsidR="000353F9" w:rsidRDefault="00035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0227A40"/>
    <w:lvl w:ilvl="0">
      <w:numFmt w:val="decimal"/>
      <w:lvlText w:val="*"/>
      <w:lvlJc w:val="left"/>
      <w:rPr>
        <w:rFonts w:cs="Times New Roman"/>
      </w:rPr>
    </w:lvl>
  </w:abstractNum>
  <w:abstractNum w:abstractNumId="1">
    <w:nsid w:val="15A930E3"/>
    <w:multiLevelType w:val="hybridMultilevel"/>
    <w:tmpl w:val="407C6A3A"/>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5336E88"/>
    <w:multiLevelType w:val="hybridMultilevel"/>
    <w:tmpl w:val="53844704"/>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CBB4DCD"/>
    <w:multiLevelType w:val="hybridMultilevel"/>
    <w:tmpl w:val="E9B44644"/>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1484B72"/>
    <w:multiLevelType w:val="hybridMultilevel"/>
    <w:tmpl w:val="1172C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78"/>
        <w:lvlJc w:val="left"/>
        <w:rPr>
          <w:rFonts w:ascii="Times New Roman" w:hAnsi="Times New Roman" w:hint="default"/>
        </w:rPr>
      </w:lvl>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B20"/>
    <w:rsid w:val="000353F9"/>
    <w:rsid w:val="000A03EC"/>
    <w:rsid w:val="00147B20"/>
    <w:rsid w:val="0032209A"/>
    <w:rsid w:val="004606FC"/>
    <w:rsid w:val="00551084"/>
    <w:rsid w:val="00792BCC"/>
    <w:rsid w:val="008F0FB2"/>
    <w:rsid w:val="00952E7C"/>
    <w:rsid w:val="00980E77"/>
    <w:rsid w:val="00A45137"/>
    <w:rsid w:val="00AD724F"/>
    <w:rsid w:val="00BC4303"/>
    <w:rsid w:val="00DE1938"/>
    <w:rsid w:val="00E25CC4"/>
    <w:rsid w:val="00F221CF"/>
    <w:rsid w:val="00F73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F7EED4-6EA2-4D85-B4EB-C0C153FE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F73776"/>
    <w:pPr>
      <w:keepNext/>
      <w:widowControl/>
      <w:overflowPunct w:val="0"/>
      <w:spacing w:before="240" w:after="60"/>
      <w:jc w:val="center"/>
      <w:outlineLvl w:val="0"/>
    </w:pPr>
    <w:rPr>
      <w:rFonts w:ascii="Arial" w:hAnsi="Arial"/>
      <w:b/>
      <w:kern w:val="28"/>
      <w:sz w:val="36"/>
      <w:lang w:val="uk-UA"/>
    </w:rPr>
  </w:style>
  <w:style w:type="paragraph" w:styleId="2">
    <w:name w:val="heading 2"/>
    <w:basedOn w:val="a"/>
    <w:next w:val="a"/>
    <w:link w:val="20"/>
    <w:uiPriority w:val="9"/>
    <w:qFormat/>
    <w:rsid w:val="00F73776"/>
    <w:pPr>
      <w:keepNext/>
      <w:widowControl/>
      <w:overflowPunct w:val="0"/>
      <w:spacing w:before="240" w:after="60"/>
      <w:jc w:val="center"/>
      <w:outlineLvl w:val="1"/>
    </w:pPr>
    <w:rPr>
      <w:rFonts w:ascii="Arial" w:hAnsi="Arial"/>
      <w:b/>
      <w:sz w:val="28"/>
      <w:lang w:val="uk-UA"/>
    </w:rPr>
  </w:style>
  <w:style w:type="paragraph" w:styleId="5">
    <w:name w:val="heading 5"/>
    <w:basedOn w:val="a"/>
    <w:next w:val="a"/>
    <w:link w:val="50"/>
    <w:uiPriority w:val="9"/>
    <w:qFormat/>
    <w:rsid w:val="00F73776"/>
    <w:pPr>
      <w:keepNext/>
      <w:widowControl/>
      <w:autoSpaceDE/>
      <w:autoSpaceDN/>
      <w:adjustRightInd/>
      <w:jc w:val="center"/>
      <w:outlineLvl w:val="4"/>
    </w:pPr>
    <w:rPr>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rsid w:val="00F73776"/>
    <w:pPr>
      <w:widowControl/>
      <w:autoSpaceDE/>
      <w:autoSpaceDN/>
      <w:adjustRightInd/>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rsid w:val="00F73776"/>
    <w:pPr>
      <w:widowControl/>
      <w:autoSpaceDE/>
      <w:autoSpaceDN/>
      <w:adjustRightInd/>
      <w:jc w:val="center"/>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table" w:styleId="a7">
    <w:name w:val="Table Grid"/>
    <w:basedOn w:val="a1"/>
    <w:uiPriority w:val="59"/>
    <w:rsid w:val="0055108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A45137"/>
    <w:pPr>
      <w:tabs>
        <w:tab w:val="center" w:pos="4677"/>
        <w:tab w:val="right" w:pos="9355"/>
      </w:tabs>
    </w:pPr>
  </w:style>
  <w:style w:type="character" w:customStyle="1" w:styleId="a9">
    <w:name w:val="Нижний колонтитул Знак"/>
    <w:link w:val="a8"/>
    <w:uiPriority w:val="99"/>
    <w:semiHidden/>
  </w:style>
  <w:style w:type="character" w:styleId="aa">
    <w:name w:val="page number"/>
    <w:uiPriority w:val="99"/>
    <w:rsid w:val="00A45137"/>
    <w:rPr>
      <w:rFonts w:cs="Times New Roman"/>
    </w:rPr>
  </w:style>
  <w:style w:type="paragraph" w:styleId="ab">
    <w:name w:val="header"/>
    <w:basedOn w:val="a"/>
    <w:link w:val="ac"/>
    <w:uiPriority w:val="99"/>
    <w:rsid w:val="000A03EC"/>
    <w:pPr>
      <w:tabs>
        <w:tab w:val="center" w:pos="4677"/>
        <w:tab w:val="right" w:pos="9355"/>
      </w:tabs>
    </w:pPr>
  </w:style>
  <w:style w:type="character" w:customStyle="1" w:styleId="ac">
    <w:name w:val="Верхний колонтитул Знак"/>
    <w:link w:val="ab"/>
    <w:uiPriority w:val="99"/>
    <w:locked/>
    <w:rsid w:val="000A03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03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2046</Words>
  <Characters>11667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Національний банк України</vt:lpstr>
    </vt:vector>
  </TitlesOfParts>
  <Company>Home</Company>
  <LinksUpToDate>false</LinksUpToDate>
  <CharactersWithSpaces>13686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України</dc:title>
  <dc:subject/>
  <dc:creator>home</dc:creator>
  <cp:keywords/>
  <dc:description/>
  <cp:lastModifiedBy>admin</cp:lastModifiedBy>
  <cp:revision>2</cp:revision>
  <cp:lastPrinted>2005-02-13T10:10:00Z</cp:lastPrinted>
  <dcterms:created xsi:type="dcterms:W3CDTF">2014-02-28T02:53:00Z</dcterms:created>
  <dcterms:modified xsi:type="dcterms:W3CDTF">2014-02-28T02:53:00Z</dcterms:modified>
</cp:coreProperties>
</file>