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F0B" w:rsidRPr="00383F0B" w:rsidRDefault="00383F0B" w:rsidP="00383F0B">
      <w:pPr>
        <w:spacing w:line="360" w:lineRule="auto"/>
        <w:jc w:val="center"/>
        <w:rPr>
          <w:noProof/>
          <w:color w:val="000000"/>
          <w:sz w:val="28"/>
          <w:szCs w:val="72"/>
        </w:rPr>
      </w:pPr>
    </w:p>
    <w:p w:rsidR="00383F0B" w:rsidRPr="00383F0B" w:rsidRDefault="00383F0B" w:rsidP="00383F0B">
      <w:pPr>
        <w:spacing w:line="360" w:lineRule="auto"/>
        <w:jc w:val="center"/>
        <w:rPr>
          <w:noProof/>
          <w:color w:val="000000"/>
          <w:sz w:val="28"/>
          <w:szCs w:val="72"/>
        </w:rPr>
      </w:pPr>
    </w:p>
    <w:p w:rsidR="00383F0B" w:rsidRPr="00383F0B" w:rsidRDefault="00383F0B" w:rsidP="00383F0B">
      <w:pPr>
        <w:spacing w:line="360" w:lineRule="auto"/>
        <w:jc w:val="center"/>
        <w:rPr>
          <w:noProof/>
          <w:color w:val="000000"/>
          <w:sz w:val="28"/>
          <w:szCs w:val="72"/>
        </w:rPr>
      </w:pPr>
    </w:p>
    <w:p w:rsidR="00383F0B" w:rsidRPr="00383F0B" w:rsidRDefault="00383F0B" w:rsidP="00383F0B">
      <w:pPr>
        <w:spacing w:line="360" w:lineRule="auto"/>
        <w:jc w:val="center"/>
        <w:rPr>
          <w:noProof/>
          <w:color w:val="000000"/>
          <w:sz w:val="28"/>
          <w:szCs w:val="72"/>
        </w:rPr>
      </w:pPr>
    </w:p>
    <w:p w:rsidR="00383F0B" w:rsidRPr="00383F0B" w:rsidRDefault="00383F0B" w:rsidP="00383F0B">
      <w:pPr>
        <w:spacing w:line="360" w:lineRule="auto"/>
        <w:jc w:val="center"/>
        <w:rPr>
          <w:noProof/>
          <w:color w:val="000000"/>
          <w:sz w:val="28"/>
          <w:szCs w:val="72"/>
        </w:rPr>
      </w:pPr>
    </w:p>
    <w:p w:rsidR="00383F0B" w:rsidRPr="00383F0B" w:rsidRDefault="00383F0B" w:rsidP="00383F0B">
      <w:pPr>
        <w:spacing w:line="360" w:lineRule="auto"/>
        <w:jc w:val="center"/>
        <w:rPr>
          <w:noProof/>
          <w:color w:val="000000"/>
          <w:sz w:val="28"/>
          <w:szCs w:val="72"/>
        </w:rPr>
      </w:pPr>
    </w:p>
    <w:p w:rsidR="00383F0B" w:rsidRPr="00383F0B" w:rsidRDefault="00383F0B" w:rsidP="00383F0B">
      <w:pPr>
        <w:spacing w:line="360" w:lineRule="auto"/>
        <w:jc w:val="center"/>
        <w:rPr>
          <w:noProof/>
          <w:color w:val="000000"/>
          <w:sz w:val="28"/>
          <w:szCs w:val="72"/>
        </w:rPr>
      </w:pPr>
    </w:p>
    <w:p w:rsidR="00383F0B" w:rsidRPr="00383F0B" w:rsidRDefault="00383F0B" w:rsidP="00383F0B">
      <w:pPr>
        <w:spacing w:line="360" w:lineRule="auto"/>
        <w:jc w:val="center"/>
        <w:rPr>
          <w:noProof/>
          <w:color w:val="000000"/>
          <w:sz w:val="28"/>
          <w:szCs w:val="72"/>
        </w:rPr>
      </w:pPr>
    </w:p>
    <w:p w:rsidR="00383F0B" w:rsidRPr="00383F0B" w:rsidRDefault="00383F0B" w:rsidP="00383F0B">
      <w:pPr>
        <w:spacing w:line="360" w:lineRule="auto"/>
        <w:jc w:val="center"/>
        <w:rPr>
          <w:noProof/>
          <w:color w:val="000000"/>
          <w:sz w:val="28"/>
          <w:szCs w:val="72"/>
        </w:rPr>
      </w:pPr>
    </w:p>
    <w:p w:rsidR="00383F0B" w:rsidRPr="00383F0B" w:rsidRDefault="00383F0B" w:rsidP="00383F0B">
      <w:pPr>
        <w:spacing w:line="360" w:lineRule="auto"/>
        <w:jc w:val="center"/>
        <w:rPr>
          <w:noProof/>
          <w:color w:val="000000"/>
          <w:sz w:val="28"/>
          <w:szCs w:val="72"/>
        </w:rPr>
      </w:pPr>
    </w:p>
    <w:p w:rsidR="009275FA" w:rsidRPr="00383F0B" w:rsidRDefault="009275FA" w:rsidP="00383F0B">
      <w:pPr>
        <w:spacing w:line="360" w:lineRule="auto"/>
        <w:jc w:val="center"/>
        <w:rPr>
          <w:noProof/>
          <w:color w:val="000000"/>
          <w:sz w:val="28"/>
          <w:szCs w:val="72"/>
        </w:rPr>
      </w:pPr>
      <w:r w:rsidRPr="00383F0B">
        <w:rPr>
          <w:noProof/>
          <w:color w:val="000000"/>
          <w:sz w:val="28"/>
          <w:szCs w:val="72"/>
        </w:rPr>
        <w:t>КОНТРОЛЬНАЯ РАБОТА</w:t>
      </w:r>
    </w:p>
    <w:p w:rsidR="009275FA" w:rsidRPr="00383F0B" w:rsidRDefault="009275FA" w:rsidP="00383F0B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</w:rPr>
        <w:t>по курсу «Бухгалтерский учет и аудит»</w:t>
      </w:r>
    </w:p>
    <w:p w:rsidR="005D16C3" w:rsidRPr="00383F0B" w:rsidRDefault="005D16C3" w:rsidP="00383F0B">
      <w:pPr>
        <w:spacing w:line="360" w:lineRule="auto"/>
        <w:jc w:val="center"/>
        <w:rPr>
          <w:noProof/>
          <w:color w:val="000000"/>
          <w:sz w:val="28"/>
        </w:rPr>
      </w:pPr>
      <w:r w:rsidRPr="00383F0B">
        <w:rPr>
          <w:noProof/>
          <w:color w:val="000000"/>
          <w:sz w:val="28"/>
        </w:rPr>
        <w:t>Т</w:t>
      </w:r>
      <w:r w:rsidR="009275FA" w:rsidRPr="00383F0B">
        <w:rPr>
          <w:noProof/>
          <w:color w:val="000000"/>
          <w:sz w:val="28"/>
        </w:rPr>
        <w:t>ем</w:t>
      </w:r>
      <w:r w:rsidRPr="00383F0B">
        <w:rPr>
          <w:noProof/>
          <w:color w:val="000000"/>
          <w:sz w:val="28"/>
        </w:rPr>
        <w:t>а:</w:t>
      </w:r>
    </w:p>
    <w:p w:rsidR="009275FA" w:rsidRPr="00383F0B" w:rsidRDefault="009275FA" w:rsidP="00383F0B">
      <w:pPr>
        <w:spacing w:line="360" w:lineRule="auto"/>
        <w:jc w:val="center"/>
        <w:rPr>
          <w:b/>
          <w:noProof/>
          <w:color w:val="000000"/>
          <w:sz w:val="28"/>
        </w:rPr>
      </w:pPr>
      <w:r w:rsidRPr="00383F0B">
        <w:rPr>
          <w:b/>
          <w:noProof/>
          <w:color w:val="000000"/>
          <w:sz w:val="28"/>
        </w:rPr>
        <w:t>«Международные стандарты финансовой отчетности</w:t>
      </w:r>
      <w:r w:rsidR="005D16C3" w:rsidRPr="00383F0B">
        <w:rPr>
          <w:b/>
          <w:noProof/>
          <w:color w:val="000000"/>
          <w:sz w:val="28"/>
        </w:rPr>
        <w:t>»</w:t>
      </w:r>
    </w:p>
    <w:p w:rsidR="00F578EB" w:rsidRPr="00383F0B" w:rsidRDefault="00383F0B" w:rsidP="00CE076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 w:rsidRPr="00383F0B">
        <w:rPr>
          <w:noProof/>
          <w:sz w:val="28"/>
          <w:szCs w:val="28"/>
        </w:rPr>
        <w:br w:type="page"/>
      </w:r>
      <w:r w:rsidR="00F578EB" w:rsidRPr="00383F0B">
        <w:rPr>
          <w:noProof/>
          <w:sz w:val="28"/>
          <w:szCs w:val="28"/>
        </w:rPr>
        <w:t xml:space="preserve">Непосредственно работу над </w:t>
      </w:r>
      <w:r w:rsidR="00E9567E" w:rsidRPr="00383F0B">
        <w:rPr>
          <w:noProof/>
          <w:sz w:val="28"/>
          <w:szCs w:val="28"/>
        </w:rPr>
        <w:t>международными стандартами финансовой отчетности</w:t>
      </w:r>
      <w:r w:rsidR="00F578EB" w:rsidRPr="00383F0B">
        <w:rPr>
          <w:noProof/>
          <w:sz w:val="28"/>
          <w:szCs w:val="28"/>
        </w:rPr>
        <w:t xml:space="preserve"> начал Центр ООН по транснациональным корпорациям. Для развития глобальных экономических отношений был необходим универсальный язык общения. Позднее, в 1973 в Лондоне был создан комитет по международным стандартам финансовой отчетности (КМСФО). С 1983 года членами КМСФО стали все профессиональные организации – члены Международной федерации бухгалтеров. Цель КМСФО – унификация принципов бухгалтерского учета, используемых компаниями во всем мире для составления финансовой отчетности. </w:t>
      </w:r>
    </w:p>
    <w:p w:rsidR="00F578EB" w:rsidRPr="00383F0B" w:rsidRDefault="00F578EB" w:rsidP="00CE076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 w:rsidRPr="00383F0B">
        <w:rPr>
          <w:noProof/>
          <w:sz w:val="28"/>
          <w:szCs w:val="28"/>
        </w:rPr>
        <w:t xml:space="preserve">КМСФО по своей природе является независимой частной организацией, цель которой состоит в разработке единых принципов бухгалтерского учета, используемых коммерческими предприятиями и другими организациями всего мира при составлении финансовой отчетности. </w:t>
      </w:r>
    </w:p>
    <w:p w:rsidR="00F578EB" w:rsidRPr="00383F0B" w:rsidRDefault="00F578EB" w:rsidP="00CE076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 w:rsidRPr="00383F0B">
        <w:rPr>
          <w:noProof/>
          <w:sz w:val="28"/>
          <w:szCs w:val="28"/>
        </w:rPr>
        <w:t xml:space="preserve">При подготовке свода международных стандартов финансовой отчетности КМСФО работает в тесном контакте с Международной организацией комиссий по ценным бумагам (IOSCO), которая является своего рода регулирующим механизмом рынков ценных бумаг. В </w:t>
      </w:r>
      <w:smartTag w:uri="urn:schemas-microsoft-com:office:smarttags" w:element="metricconverter">
        <w:smartTagPr>
          <w:attr w:name="ProductID" w:val="1995 г"/>
        </w:smartTagPr>
        <w:r w:rsidRPr="00383F0B">
          <w:rPr>
            <w:noProof/>
            <w:sz w:val="28"/>
            <w:szCs w:val="28"/>
          </w:rPr>
          <w:t>1995 г</w:t>
        </w:r>
      </w:smartTag>
      <w:r w:rsidRPr="00383F0B">
        <w:rPr>
          <w:noProof/>
          <w:sz w:val="28"/>
          <w:szCs w:val="28"/>
        </w:rPr>
        <w:t xml:space="preserve">. между КМСФО и IOSCO было достигнуто соглашение о том, что IOSCO рассмотрит вопрос о принятии стандартов после завершения всей рабочей программы. </w:t>
      </w:r>
    </w:p>
    <w:p w:rsidR="00F578EB" w:rsidRPr="00383F0B" w:rsidRDefault="00F578EB" w:rsidP="00CE076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 w:rsidRPr="00383F0B">
        <w:rPr>
          <w:noProof/>
          <w:sz w:val="28"/>
          <w:szCs w:val="28"/>
        </w:rPr>
        <w:t xml:space="preserve">На сегодняшний день три страны из числа ведущих государств мира не поддержали международные стандарты финансовой отчетности. Это </w:t>
      </w:r>
      <w:r w:rsidR="005E5668" w:rsidRPr="00383F0B">
        <w:rPr>
          <w:noProof/>
          <w:sz w:val="28"/>
          <w:szCs w:val="28"/>
        </w:rPr>
        <w:t>–</w:t>
      </w:r>
      <w:r w:rsidRPr="00383F0B">
        <w:rPr>
          <w:noProof/>
          <w:sz w:val="28"/>
          <w:szCs w:val="28"/>
        </w:rPr>
        <w:t xml:space="preserve"> США, Канада и Япония. </w:t>
      </w:r>
    </w:p>
    <w:p w:rsidR="00F578EB" w:rsidRPr="00383F0B" w:rsidRDefault="00F578EB" w:rsidP="00CE076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 w:rsidRPr="00383F0B">
        <w:rPr>
          <w:noProof/>
          <w:sz w:val="28"/>
          <w:szCs w:val="28"/>
        </w:rPr>
        <w:t xml:space="preserve">Некоторые страны, особенно в Азии и Латинской Америке, не приняли окончательного решения в плане использования той или иной системы отчетности, но многие из них склоняются к американской системе GAAP, которая, по их мнению, является более приемлемой на длительную перспективу. </w:t>
      </w:r>
    </w:p>
    <w:p w:rsidR="005E5668" w:rsidRPr="00383F0B" w:rsidRDefault="00595519" w:rsidP="00CE076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 w:rsidRPr="00383F0B">
        <w:rPr>
          <w:noProof/>
          <w:sz w:val="28"/>
          <w:szCs w:val="28"/>
        </w:rPr>
        <w:t>М</w:t>
      </w:r>
      <w:r w:rsidR="005E5668" w:rsidRPr="00383F0B">
        <w:rPr>
          <w:noProof/>
          <w:sz w:val="28"/>
          <w:szCs w:val="28"/>
        </w:rPr>
        <w:t xml:space="preserve">еждународные стандарты финансовой отчетности – это не стандарты бухгалтерского учета как, например, российские ПБУ. В МСФО нет плана счетов, бухгалтерских проводок, первичных документов или учетных регистров. МСФО – это стандарты отчетности как заключительного этапа бухгалтерской работы. Они не предъявляют никаких специальных требований непосредственно к счетоводству. </w:t>
      </w:r>
    </w:p>
    <w:p w:rsidR="005E5668" w:rsidRPr="00383F0B" w:rsidRDefault="005E5668" w:rsidP="00CE076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 w:rsidRPr="00383F0B">
        <w:rPr>
          <w:noProof/>
          <w:sz w:val="28"/>
          <w:szCs w:val="28"/>
        </w:rPr>
        <w:t xml:space="preserve">Принципиальная особенность международных стандартов в том, что при работе с отчетностью они рекомендуют отталкиваться не от законодательных норм, а от экономических реалий. Таким образом, одним из основных принципов МСФО является приоритет экономического содержания над формой. </w:t>
      </w:r>
    </w:p>
    <w:p w:rsidR="00F4552C" w:rsidRPr="00383F0B" w:rsidRDefault="00F4552C" w:rsidP="00CE076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Отчетность по МСФО подготавливается путем трансформации (преобразования) отчетности, составленной по национальным стандартам. МСФО может быть полезна и при составлении индивидуальных финансовых отчетов компаний. Однако в больше степени она применяются для составления консолидированной отчетности группы взаимосвязанных компаний, сами стандарты признают необходимость такого подхода для получения объективных результатов. </w:t>
      </w:r>
    </w:p>
    <w:p w:rsidR="00756BC4" w:rsidRPr="00383F0B" w:rsidRDefault="00756BC4" w:rsidP="00CE076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 w:rsidRPr="00383F0B">
        <w:rPr>
          <w:noProof/>
          <w:sz w:val="28"/>
          <w:szCs w:val="28"/>
        </w:rPr>
        <w:t xml:space="preserve">На сегодняшний день существует 34 стандарта международной финансовой отчетности. Каждый стандарт включает следующие элементы: </w:t>
      </w:r>
    </w:p>
    <w:p w:rsidR="00756BC4" w:rsidRPr="00383F0B" w:rsidRDefault="00756BC4" w:rsidP="00CE076C">
      <w:pPr>
        <w:numPr>
          <w:ilvl w:val="0"/>
          <w:numId w:val="3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объект учёта – даётся определение объекта учёта и основных понятий, связанных с ним; </w:t>
      </w:r>
    </w:p>
    <w:p w:rsidR="00756BC4" w:rsidRPr="00383F0B" w:rsidRDefault="00756BC4" w:rsidP="00CE076C">
      <w:pPr>
        <w:numPr>
          <w:ilvl w:val="0"/>
          <w:numId w:val="3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признание объекта учёта – даётся описание критериев отнесения объектов учёта к различным элементам отчётности; </w:t>
      </w:r>
    </w:p>
    <w:p w:rsidR="00756BC4" w:rsidRPr="00383F0B" w:rsidRDefault="00756BC4" w:rsidP="00CE076C">
      <w:pPr>
        <w:numPr>
          <w:ilvl w:val="0"/>
          <w:numId w:val="3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оценка объекта учёта – приводятся рекомендации по использованию методов оценки и требований к оценке различных элементов отчётности; </w:t>
      </w:r>
    </w:p>
    <w:p w:rsidR="00756BC4" w:rsidRPr="00383F0B" w:rsidRDefault="00756BC4" w:rsidP="00CE076C">
      <w:pPr>
        <w:numPr>
          <w:ilvl w:val="0"/>
          <w:numId w:val="3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отражение в финансовой отчётности – раскрытие информации об объекте учёта в различных формах финансовой отчётности. </w:t>
      </w:r>
    </w:p>
    <w:p w:rsidR="00D17878" w:rsidRPr="00383F0B" w:rsidRDefault="00D17878" w:rsidP="00CE076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Интерпретации Комитета по интерпретациям – это важная составная часть международных стандартов. Интерпретации разрабатываются в контексте существующих МСФО и принципов их применения; они разъясняют отдельные положения стандартов и регулируют вопросы бухгалтерского учёта там, где отсутствуют соответствующие стандарты. При разработке интерпретаций Комитет проводит консультации с аналогичными национальными комитетами государств – членов КМСФО. </w:t>
      </w:r>
    </w:p>
    <w:p w:rsidR="00D17878" w:rsidRPr="00383F0B" w:rsidRDefault="00D17878" w:rsidP="00CE076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Комитет занимается вопросами достаточно широкого значения, при этом интерпретации можно разделить на две категории: </w:t>
      </w:r>
    </w:p>
    <w:p w:rsidR="00D17878" w:rsidRPr="00383F0B" w:rsidRDefault="00D17878" w:rsidP="00CE076C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назревшие вопросы (неудовлетворительная практика в рамках существующих международных стандартов); </w:t>
      </w:r>
    </w:p>
    <w:p w:rsidR="00D17878" w:rsidRPr="00383F0B" w:rsidRDefault="00D17878" w:rsidP="00CE076C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новые вопросы (новые темы, относящиеся к существующему стандарту, но не рассматривавшиеся при его разработке). </w:t>
      </w:r>
    </w:p>
    <w:p w:rsidR="00D17878" w:rsidRPr="00383F0B" w:rsidRDefault="00D17878" w:rsidP="00CE076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В настоящее время действуют 30 интерпретаций </w:t>
      </w:r>
    </w:p>
    <w:p w:rsidR="00756BC4" w:rsidRPr="00383F0B" w:rsidRDefault="00D17878" w:rsidP="00CE076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Интерпретацией МСФУ 17 является «операционная аренда </w:t>
      </w:r>
      <w:r w:rsidR="000D0E99" w:rsidRPr="00383F0B">
        <w:rPr>
          <w:noProof/>
          <w:color w:val="000000"/>
          <w:sz w:val="28"/>
          <w:szCs w:val="28"/>
        </w:rPr>
        <w:t>–</w:t>
      </w:r>
      <w:r w:rsidRPr="00383F0B">
        <w:rPr>
          <w:noProof/>
          <w:color w:val="000000"/>
          <w:sz w:val="28"/>
          <w:szCs w:val="28"/>
        </w:rPr>
        <w:t xml:space="preserve"> стимулы».</w:t>
      </w:r>
    </w:p>
    <w:p w:rsidR="0097463C" w:rsidRPr="00383F0B" w:rsidRDefault="00CB2586" w:rsidP="00CE076C">
      <w:pPr>
        <w:pStyle w:val="textm"/>
        <w:spacing w:before="0" w:before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83F0B">
        <w:rPr>
          <w:rFonts w:ascii="Times New Roman" w:hAnsi="Times New Roman" w:cs="Times New Roman"/>
          <w:noProof/>
          <w:color w:val="000000"/>
          <w:sz w:val="28"/>
          <w:szCs w:val="28"/>
        </w:rPr>
        <w:t>В российском бухгалтерском учете л</w:t>
      </w:r>
      <w:r w:rsidR="0097463C" w:rsidRPr="00383F0B">
        <w:rPr>
          <w:rFonts w:ascii="Times New Roman" w:hAnsi="Times New Roman" w:cs="Times New Roman"/>
          <w:noProof/>
          <w:color w:val="000000"/>
          <w:sz w:val="28"/>
          <w:szCs w:val="28"/>
        </w:rPr>
        <w:t>изинговое имущество может учитываться на балансе Лизингодателя или на балансе Лизингополучателя. Выбранный сторонами балансодержатель лизингового имущества указывается в Договоре лизинга.</w:t>
      </w:r>
    </w:p>
    <w:p w:rsidR="00CB2586" w:rsidRPr="00383F0B" w:rsidRDefault="00CB2586" w:rsidP="00CE076C">
      <w:pPr>
        <w:pStyle w:val="textm"/>
        <w:spacing w:before="0" w:before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83F0B">
        <w:rPr>
          <w:rFonts w:ascii="Times New Roman" w:hAnsi="Times New Roman" w:cs="Times New Roman"/>
          <w:noProof/>
          <w:color w:val="000000"/>
          <w:sz w:val="28"/>
          <w:szCs w:val="28"/>
        </w:rPr>
        <w:t>Лизингодатель учитывает лизинговое имущество на балансовом счете 136 «Имущество для передачи в лизинг»</w:t>
      </w:r>
    </w:p>
    <w:p w:rsidR="00CB2586" w:rsidRPr="00383F0B" w:rsidRDefault="00CB2586" w:rsidP="00CE076C">
      <w:pPr>
        <w:pStyle w:val="text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83F0B">
        <w:rPr>
          <w:rFonts w:ascii="Times New Roman" w:hAnsi="Times New Roman" w:cs="Times New Roman"/>
          <w:noProof/>
          <w:color w:val="000000"/>
          <w:sz w:val="28"/>
          <w:szCs w:val="28"/>
        </w:rPr>
        <w:t>Лизингополучатель учитывает поступившее лизинговое имущество на забалансовом счете 001 «Арендованные основные средства»</w:t>
      </w:r>
    </w:p>
    <w:p w:rsidR="00D17878" w:rsidRPr="00383F0B" w:rsidRDefault="00D17878" w:rsidP="00CE076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>Единой методики трансформации отчётности</w:t>
      </w:r>
      <w:r w:rsidR="000D0E99" w:rsidRPr="00383F0B">
        <w:rPr>
          <w:noProof/>
          <w:color w:val="000000"/>
          <w:sz w:val="28"/>
          <w:szCs w:val="28"/>
        </w:rPr>
        <w:t xml:space="preserve"> по лизинговым операциям</w:t>
      </w:r>
      <w:r w:rsidRPr="00383F0B">
        <w:rPr>
          <w:noProof/>
          <w:color w:val="000000"/>
          <w:sz w:val="28"/>
          <w:szCs w:val="28"/>
        </w:rPr>
        <w:t xml:space="preserve"> не существует. По мнению специалистов, отчётность в соответствии с МСФО можно получить 3 путями: методом трансформации отчётности, методом трансляции проводок и методом параллельного учёта. </w:t>
      </w:r>
    </w:p>
    <w:p w:rsidR="00D17878" w:rsidRPr="00383F0B" w:rsidRDefault="00D17878" w:rsidP="00CE076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>Первые два метода самые простые, однако, они могут давать погрешность от 10% до 50%. Как правило, в их основе лежит построение специальных трансформационных таблиц по основным участкам учета.</w:t>
      </w:r>
    </w:p>
    <w:p w:rsidR="00D17878" w:rsidRPr="00383F0B" w:rsidRDefault="00D17878" w:rsidP="00CE076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Выделяется пять основных трансформационных таблиц: </w:t>
      </w:r>
    </w:p>
    <w:p w:rsidR="00D17878" w:rsidRPr="00383F0B" w:rsidRDefault="00D17878" w:rsidP="00CE076C">
      <w:pPr>
        <w:numPr>
          <w:ilvl w:val="0"/>
          <w:numId w:val="13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Сводная таблица рублёвых корректирующих (трансформационных, исправительных) проводок; </w:t>
      </w:r>
    </w:p>
    <w:p w:rsidR="00D17878" w:rsidRPr="00383F0B" w:rsidRDefault="00D17878" w:rsidP="00CE076C">
      <w:pPr>
        <w:numPr>
          <w:ilvl w:val="0"/>
          <w:numId w:val="13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Сводная таблица валютных корректирующих проводок; </w:t>
      </w:r>
    </w:p>
    <w:p w:rsidR="00D17878" w:rsidRPr="00383F0B" w:rsidRDefault="00D17878" w:rsidP="00CE076C">
      <w:pPr>
        <w:numPr>
          <w:ilvl w:val="0"/>
          <w:numId w:val="13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Сводная таблица трансформации баланса; </w:t>
      </w:r>
    </w:p>
    <w:p w:rsidR="00D17878" w:rsidRPr="00383F0B" w:rsidRDefault="00D17878" w:rsidP="00CE076C">
      <w:pPr>
        <w:numPr>
          <w:ilvl w:val="0"/>
          <w:numId w:val="13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Сводная таблица корректирующих проводок по перегруппировке статей отчёта о прибылях и убытках; </w:t>
      </w:r>
    </w:p>
    <w:p w:rsidR="00D17878" w:rsidRPr="00383F0B" w:rsidRDefault="00D17878" w:rsidP="00CE076C">
      <w:pPr>
        <w:numPr>
          <w:ilvl w:val="0"/>
          <w:numId w:val="13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Сводная таблица трансформации отчёта о прибылях и убытках. </w:t>
      </w:r>
    </w:p>
    <w:p w:rsidR="00D17878" w:rsidRPr="00383F0B" w:rsidRDefault="00D17878" w:rsidP="00CE076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Таблицы представляют собой расшифровки бухгалтерской отчетности, подготовленной на основе российских стандартов в том виде, который позволяет автоматически сделать ряд поправок для приведения данных в международный формат. </w:t>
      </w:r>
    </w:p>
    <w:p w:rsidR="00D17878" w:rsidRPr="00383F0B" w:rsidRDefault="00D17878" w:rsidP="00CE076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Основные методы, используемые при трансформации отчетности: </w:t>
      </w:r>
    </w:p>
    <w:p w:rsidR="00D17878" w:rsidRPr="00383F0B" w:rsidRDefault="00D17878" w:rsidP="00CE076C">
      <w:pPr>
        <w:numPr>
          <w:ilvl w:val="0"/>
          <w:numId w:val="9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>Детализация остатков – необходима для корректной классификации остатков для целей МСФО (например, классов основных средств), выделения внутригрупповых остатков, элиминируемых при консолидации.</w:t>
      </w:r>
      <w:r w:rsidR="00CE076C" w:rsidRPr="00383F0B">
        <w:rPr>
          <w:noProof/>
          <w:color w:val="000000"/>
          <w:sz w:val="28"/>
          <w:szCs w:val="28"/>
        </w:rPr>
        <w:t xml:space="preserve"> </w:t>
      </w:r>
    </w:p>
    <w:p w:rsidR="00D17878" w:rsidRPr="00383F0B" w:rsidRDefault="00D17878" w:rsidP="00CE076C">
      <w:pPr>
        <w:numPr>
          <w:ilvl w:val="0"/>
          <w:numId w:val="9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Реклассификация остатков – представляет собой распределение данных российского учета в формате МСФО (например, высоколиквидные инвестиции реклассифицируются в состав эквивалентов денежных средств); </w:t>
      </w:r>
    </w:p>
    <w:p w:rsidR="00D17878" w:rsidRPr="00383F0B" w:rsidRDefault="00D17878" w:rsidP="00CE076C">
      <w:pPr>
        <w:numPr>
          <w:ilvl w:val="0"/>
          <w:numId w:val="9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Переоценка остатков – корректировка остатков балансовых счетов, влекущая одновременные изменения собственного капитала: прибылей и убытков отчетного года, нераспределенной прибыли (накопленного убытка), добавочного капитала и других статей собственного капитала (например, списание неликвидных запасов или инфляционные поправки). </w:t>
      </w:r>
    </w:p>
    <w:p w:rsidR="00D17878" w:rsidRPr="00383F0B" w:rsidRDefault="00D17878" w:rsidP="00CE076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К недостаткам такой метода трансформации, помимо возможных ошибок, следует отнести то, что информацию, подготовленную по МСФО можно получить только в конце периода, причём после завершения основного процесса трансформации приходится вносить «ручные» корректировки. </w:t>
      </w:r>
    </w:p>
    <w:p w:rsidR="00D17878" w:rsidRPr="00383F0B" w:rsidRDefault="00D17878" w:rsidP="00CE076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Параллельный учёт (иначе он называется методом двойного ведения бухгалтерского учёта) ведётся с помощью специального программного обеспечения. Для ведения параллельного учёта система использует два рабочих плана счетов: российский и международный. При настройке типовых операций записываются как российские, так и международные шаблоны проводок. Введённые операции автоматически разносятся по различным модулям, что даёт максимальную детализацию информации. В то же время необходимо учитывать ряд особенностей при автоматизированной трансформации бухгалтерской отчётности. </w:t>
      </w:r>
    </w:p>
    <w:p w:rsidR="00D17878" w:rsidRPr="00383F0B" w:rsidRDefault="00D17878" w:rsidP="00CE076C">
      <w:pPr>
        <w:numPr>
          <w:ilvl w:val="0"/>
          <w:numId w:val="11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различная степень детализации российского и международного планов счетов; </w:t>
      </w:r>
    </w:p>
    <w:p w:rsidR="00D17878" w:rsidRPr="00383F0B" w:rsidRDefault="00D17878" w:rsidP="00CE076C">
      <w:pPr>
        <w:numPr>
          <w:ilvl w:val="0"/>
          <w:numId w:val="11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различные методы и нормы амортизации основных средств; </w:t>
      </w:r>
    </w:p>
    <w:p w:rsidR="00D17878" w:rsidRPr="00383F0B" w:rsidRDefault="00D17878" w:rsidP="00CE076C">
      <w:pPr>
        <w:numPr>
          <w:ilvl w:val="0"/>
          <w:numId w:val="11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особенности при документарном признании задолженности и денежных средств (например, согласно российским стандартам счета денежных средств обновляются на основе банковской выписки, а по МСФО – на основе платёжных поручений); </w:t>
      </w:r>
    </w:p>
    <w:p w:rsidR="00D17878" w:rsidRPr="00383F0B" w:rsidRDefault="00D17878" w:rsidP="00CE076C">
      <w:pPr>
        <w:numPr>
          <w:ilvl w:val="0"/>
          <w:numId w:val="11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настройка операций при ведении учёта в двух валютах. </w:t>
      </w:r>
    </w:p>
    <w:p w:rsidR="005E5668" w:rsidRPr="00383F0B" w:rsidRDefault="002768DD" w:rsidP="00CE076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 w:rsidRPr="00383F0B">
        <w:rPr>
          <w:noProof/>
          <w:sz w:val="28"/>
          <w:szCs w:val="28"/>
        </w:rPr>
        <w:t>Далее</w:t>
      </w:r>
      <w:r w:rsidR="00DE13EF" w:rsidRPr="00383F0B">
        <w:rPr>
          <w:noProof/>
          <w:sz w:val="28"/>
          <w:szCs w:val="28"/>
        </w:rPr>
        <w:t xml:space="preserve"> лизинговые операции учитываются в стандарте МСФО 17 «Аренда». </w:t>
      </w:r>
    </w:p>
    <w:p w:rsidR="000E7A32" w:rsidRPr="00383F0B" w:rsidRDefault="000E7A32" w:rsidP="00CE076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В МСФО 17 «Аренда» (IAS 17 «Leases») для разграничения понятий «лизинг» и «аренда» используются термины </w:t>
      </w:r>
      <w:r w:rsidRPr="00383F0B">
        <w:rPr>
          <w:iCs/>
          <w:noProof/>
          <w:color w:val="000000"/>
          <w:sz w:val="28"/>
          <w:szCs w:val="28"/>
        </w:rPr>
        <w:t xml:space="preserve">financial leases </w:t>
      </w:r>
      <w:r w:rsidRPr="00383F0B">
        <w:rPr>
          <w:noProof/>
          <w:color w:val="000000"/>
          <w:sz w:val="28"/>
          <w:szCs w:val="28"/>
        </w:rPr>
        <w:t xml:space="preserve">и </w:t>
      </w:r>
      <w:r w:rsidRPr="00383F0B">
        <w:rPr>
          <w:iCs/>
          <w:noProof/>
          <w:color w:val="000000"/>
          <w:sz w:val="28"/>
          <w:szCs w:val="28"/>
        </w:rPr>
        <w:t xml:space="preserve">operational leases, </w:t>
      </w:r>
      <w:r w:rsidRPr="00383F0B">
        <w:rPr>
          <w:noProof/>
          <w:color w:val="000000"/>
          <w:sz w:val="28"/>
          <w:szCs w:val="28"/>
        </w:rPr>
        <w:t xml:space="preserve">которые дословно переводятся как финансовая и операционная аренда. В российской терминологии финансовую аренду принято называть лизингом. </w:t>
      </w:r>
    </w:p>
    <w:p w:rsidR="000E7A32" w:rsidRPr="00383F0B" w:rsidRDefault="000E7A32" w:rsidP="00CE076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В МСФО аренда классифицируется в зависимости от экономического содержания сделки, а не от формы заключенного контракта. И при лизинге, и при операционной аренде происходит передача прав пользования активом от одной компании к другой за вознаграждение. Принципиальное отличие лизинга от аренды заключается в распределении рисков и выгод. </w:t>
      </w:r>
    </w:p>
    <w:p w:rsidR="000E7A32" w:rsidRPr="00383F0B" w:rsidRDefault="000E7A32" w:rsidP="00CE076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При лизинге </w:t>
      </w:r>
      <w:r w:rsidRPr="00383F0B">
        <w:rPr>
          <w:iCs/>
          <w:noProof/>
          <w:color w:val="000000"/>
          <w:sz w:val="28"/>
          <w:szCs w:val="28"/>
        </w:rPr>
        <w:t xml:space="preserve">существенная </w:t>
      </w:r>
      <w:r w:rsidRPr="00383F0B">
        <w:rPr>
          <w:noProof/>
          <w:color w:val="000000"/>
          <w:sz w:val="28"/>
          <w:szCs w:val="28"/>
        </w:rPr>
        <w:t xml:space="preserve">часть выгод и рисков, возникающих в процессе владения активом, переносится на лизингополучателя. Право собственности на имущество может и не передаваться. Под рисками понимаются возможность ухудшения физического состояния актива, убытки, понесенные компанией в результате простоя, моральное устаревание и др. При операционной аренде большую часть выгод и рисков несет собственник актива. Как правило, операционная аренда менее продолжительна, чем лизинг. </w:t>
      </w:r>
    </w:p>
    <w:p w:rsidR="000E7A32" w:rsidRPr="00383F0B" w:rsidRDefault="000E7A32" w:rsidP="00CE076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В МСФО нет четкого определения существенности перехода рисков и выгод на лизингополучателя, однако приведен ряд ситуаций, которые позволяют классифицировать аренду как финансовую. Наиболее простой случай, когда сделка может быть классифицирована как лизинг, – это переход права собственности на имущество к лизингополучателю по истечении срока аренды. </w:t>
      </w:r>
    </w:p>
    <w:p w:rsidR="000E7A32" w:rsidRPr="00383F0B" w:rsidRDefault="000E7A32" w:rsidP="00CE076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Срок, на который имущество передано в пользование, составляет большую часть срока экономической службы. Сложность применения этого положения для классификации аренды как лизинга (финансовой аренды) заключается в отсутствии определения термина «большая часть». В подобных ситуациях решение принимается компанией самостоятельно. </w:t>
      </w:r>
    </w:p>
    <w:p w:rsidR="00072883" w:rsidRPr="00383F0B" w:rsidRDefault="00072883" w:rsidP="00CE076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>Терминология МСФО во многом схожа с используемой в российском бухгалтерском учете, но существуют некоторые значимые отличия. Опишем основные термины</w:t>
      </w:r>
      <w:r w:rsidR="000A2CDE" w:rsidRPr="00383F0B">
        <w:rPr>
          <w:noProof/>
          <w:color w:val="000000"/>
          <w:sz w:val="28"/>
          <w:szCs w:val="28"/>
        </w:rPr>
        <w:t xml:space="preserve"> МСФО, посвященные лизингу</w:t>
      </w:r>
      <w:r w:rsidRPr="00383F0B">
        <w:rPr>
          <w:noProof/>
          <w:color w:val="000000"/>
          <w:sz w:val="28"/>
          <w:szCs w:val="28"/>
        </w:rPr>
        <w:t xml:space="preserve">. </w:t>
      </w:r>
    </w:p>
    <w:p w:rsidR="00072883" w:rsidRPr="00383F0B" w:rsidRDefault="00072883" w:rsidP="00CE076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83F0B">
        <w:rPr>
          <w:iCs/>
          <w:noProof/>
          <w:color w:val="000000"/>
          <w:sz w:val="28"/>
          <w:szCs w:val="28"/>
        </w:rPr>
        <w:t xml:space="preserve">Начало срока лизинга (аренды) </w:t>
      </w:r>
      <w:r w:rsidR="000A2CDE" w:rsidRPr="00383F0B">
        <w:rPr>
          <w:noProof/>
          <w:color w:val="000000"/>
          <w:sz w:val="28"/>
          <w:szCs w:val="28"/>
        </w:rPr>
        <w:t>–</w:t>
      </w:r>
      <w:r w:rsidRPr="00383F0B">
        <w:rPr>
          <w:noProof/>
          <w:color w:val="000000"/>
          <w:sz w:val="28"/>
          <w:szCs w:val="28"/>
        </w:rPr>
        <w:t xml:space="preserve"> наиболее ранняя из двух дат </w:t>
      </w:r>
      <w:r w:rsidR="000A2CDE" w:rsidRPr="00383F0B">
        <w:rPr>
          <w:noProof/>
          <w:color w:val="000000"/>
          <w:sz w:val="28"/>
          <w:szCs w:val="28"/>
        </w:rPr>
        <w:t>–</w:t>
      </w:r>
      <w:r w:rsidRPr="00383F0B">
        <w:rPr>
          <w:noProof/>
          <w:color w:val="000000"/>
          <w:sz w:val="28"/>
          <w:szCs w:val="28"/>
        </w:rPr>
        <w:t xml:space="preserve"> даты заключения договора об аренде и даты принятия сторонами обязательств в отношении основных условий аренды. В российской практике, как правило, не возникают ситуации, при которых дата принятия обязательств отличается от даты заключения договора. В качестве даты принятия обязательств может рассматриваться момент подписания соглашения о намерениях. </w:t>
      </w:r>
    </w:p>
    <w:p w:rsidR="00072883" w:rsidRPr="00383F0B" w:rsidRDefault="00072883" w:rsidP="00CE076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83F0B">
        <w:rPr>
          <w:iCs/>
          <w:noProof/>
          <w:color w:val="000000"/>
          <w:sz w:val="28"/>
          <w:szCs w:val="28"/>
        </w:rPr>
        <w:t xml:space="preserve">Срок лизинга (аренды) </w:t>
      </w:r>
      <w:r w:rsidR="000A2CDE" w:rsidRPr="00383F0B">
        <w:rPr>
          <w:noProof/>
          <w:color w:val="000000"/>
          <w:sz w:val="28"/>
          <w:szCs w:val="28"/>
        </w:rPr>
        <w:t>–</w:t>
      </w:r>
      <w:r w:rsidRPr="00383F0B">
        <w:rPr>
          <w:noProof/>
          <w:color w:val="000000"/>
          <w:sz w:val="28"/>
          <w:szCs w:val="28"/>
        </w:rPr>
        <w:t xml:space="preserve"> период, в течение которого договор не может быть расторгнут, в том числе срок, на который лизингополучатель имеет право продлить договор. </w:t>
      </w:r>
    </w:p>
    <w:p w:rsidR="00072883" w:rsidRPr="00383F0B" w:rsidRDefault="00072883" w:rsidP="00CE076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83F0B">
        <w:rPr>
          <w:iCs/>
          <w:noProof/>
          <w:color w:val="000000"/>
          <w:sz w:val="28"/>
          <w:szCs w:val="28"/>
        </w:rPr>
        <w:t xml:space="preserve">Срок экономической службы </w:t>
      </w:r>
      <w:r w:rsidR="000A2CDE" w:rsidRPr="00383F0B">
        <w:rPr>
          <w:noProof/>
          <w:color w:val="000000"/>
          <w:sz w:val="28"/>
          <w:szCs w:val="28"/>
        </w:rPr>
        <w:t>–</w:t>
      </w:r>
      <w:r w:rsidRPr="00383F0B">
        <w:rPr>
          <w:noProof/>
          <w:color w:val="000000"/>
          <w:sz w:val="28"/>
          <w:szCs w:val="28"/>
        </w:rPr>
        <w:t xml:space="preserve"> период использования имущества или количество продукции, которое предполагается получить в результате его использования. </w:t>
      </w:r>
    </w:p>
    <w:p w:rsidR="00072883" w:rsidRPr="00383F0B" w:rsidRDefault="00072883" w:rsidP="00CE076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83F0B">
        <w:rPr>
          <w:iCs/>
          <w:noProof/>
          <w:color w:val="000000"/>
          <w:sz w:val="28"/>
          <w:szCs w:val="28"/>
        </w:rPr>
        <w:t xml:space="preserve">Справедливая стоимость </w:t>
      </w:r>
      <w:r w:rsidR="000A2CDE" w:rsidRPr="00383F0B">
        <w:rPr>
          <w:noProof/>
          <w:color w:val="000000"/>
          <w:sz w:val="28"/>
          <w:szCs w:val="28"/>
        </w:rPr>
        <w:t>–</w:t>
      </w:r>
      <w:r w:rsidRPr="00383F0B">
        <w:rPr>
          <w:noProof/>
          <w:color w:val="000000"/>
          <w:sz w:val="28"/>
          <w:szCs w:val="28"/>
        </w:rPr>
        <w:t xml:space="preserve"> стоимость приобретения имущества при совершении сделки между хорошо осведомленными, независимыми друг от друга сторонами, желающими совершить такую операцию. Этот термин может быть истолкован как рыночная стоимость имущества, переданного в лизинг. </w:t>
      </w:r>
    </w:p>
    <w:p w:rsidR="00072883" w:rsidRPr="00383F0B" w:rsidRDefault="00072883" w:rsidP="00CE076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83F0B">
        <w:rPr>
          <w:iCs/>
          <w:noProof/>
          <w:color w:val="000000"/>
          <w:sz w:val="28"/>
          <w:szCs w:val="28"/>
        </w:rPr>
        <w:t xml:space="preserve">Минимальный лизинговый платеж </w:t>
      </w:r>
      <w:r w:rsidR="000A2CDE" w:rsidRPr="00383F0B">
        <w:rPr>
          <w:noProof/>
          <w:color w:val="000000"/>
          <w:sz w:val="28"/>
          <w:szCs w:val="28"/>
        </w:rPr>
        <w:t>–</w:t>
      </w:r>
      <w:r w:rsidRPr="00383F0B">
        <w:rPr>
          <w:noProof/>
          <w:color w:val="000000"/>
          <w:sz w:val="28"/>
          <w:szCs w:val="28"/>
        </w:rPr>
        <w:t xml:space="preserve"> сумма, выплачиваемая лизингополучателем за весь срок лизинга, в том числе штрафы за расторжение договора, а также остаточная стоимость имущества, если договор предполагает обязательный выкуп. При расчете размера минимальных лизинговых платежей не учитываются выплаты: </w:t>
      </w:r>
    </w:p>
    <w:p w:rsidR="00072883" w:rsidRPr="00383F0B" w:rsidRDefault="00072883" w:rsidP="00CE076C">
      <w:pPr>
        <w:numPr>
          <w:ilvl w:val="0"/>
          <w:numId w:val="19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размер которых зависит от объема выпущенной продукции, объема выручки, прибыли и т. д.; </w:t>
      </w:r>
    </w:p>
    <w:p w:rsidR="00072883" w:rsidRPr="00383F0B" w:rsidRDefault="00072883" w:rsidP="00CE076C">
      <w:pPr>
        <w:numPr>
          <w:ilvl w:val="0"/>
          <w:numId w:val="19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которые выплачиваются лизингодателем, но при этом возмещаются ему из других источников (например, НДС). </w:t>
      </w:r>
    </w:p>
    <w:p w:rsidR="00072883" w:rsidRPr="00383F0B" w:rsidRDefault="00072883" w:rsidP="00CE076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83F0B">
        <w:rPr>
          <w:iCs/>
          <w:noProof/>
          <w:color w:val="000000"/>
          <w:sz w:val="28"/>
          <w:szCs w:val="28"/>
        </w:rPr>
        <w:t xml:space="preserve">Условная арендная плата </w:t>
      </w:r>
      <w:r w:rsidR="000A2CDE" w:rsidRPr="00383F0B">
        <w:rPr>
          <w:noProof/>
          <w:color w:val="000000"/>
          <w:sz w:val="28"/>
          <w:szCs w:val="28"/>
        </w:rPr>
        <w:t>–</w:t>
      </w:r>
      <w:r w:rsidRPr="00383F0B">
        <w:rPr>
          <w:noProof/>
          <w:color w:val="000000"/>
          <w:sz w:val="28"/>
          <w:szCs w:val="28"/>
        </w:rPr>
        <w:t xml:space="preserve"> часть лизинговых платежей, которые не фиксируются, а зависят от факторов, отличных от срока лизинга, к примеру, указывается количество продукции, выпущенной с использованием актива, полученного в лизинг. </w:t>
      </w:r>
    </w:p>
    <w:p w:rsidR="00072883" w:rsidRPr="00383F0B" w:rsidRDefault="000A2CDE" w:rsidP="00CE076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В </w:t>
      </w:r>
      <w:r w:rsidR="00072883" w:rsidRPr="00383F0B">
        <w:rPr>
          <w:noProof/>
          <w:color w:val="000000"/>
          <w:sz w:val="28"/>
          <w:szCs w:val="28"/>
        </w:rPr>
        <w:t xml:space="preserve">начале срока лизинга дисконтированная стоимость всех минимальных арендных платежей равна или составляет существенную часть справедливой стоимости переданного в лизинг имущества. Это означает, что если арендатор полностью выплачивает стоимость переданного ему актива, то аренду следует классифицировать как лизинг. В ГААП США арендные отношения классифицируются как лизинг, если сумма минимальных арендных платежей составляет 90% и более стоимости имущества. </w:t>
      </w:r>
    </w:p>
    <w:p w:rsidR="00072883" w:rsidRPr="00383F0B" w:rsidRDefault="00072883" w:rsidP="00CE076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Переданное в пользование имущество (активы) узкоспециализировано, и только лизингополучатель может использовать его без значительных изменений. Например, передача в пользование производственной линии, смонтированной на площадях лизингополучателя, или иного специализированного оборудования, которое не будет востребовано большинством других компаний, считается признаком лизинговой сделки. </w:t>
      </w:r>
    </w:p>
    <w:p w:rsidR="00072883" w:rsidRPr="00383F0B" w:rsidRDefault="00072883" w:rsidP="00CE076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В качестве дополнительных индикаторов, на основе которых можно классифицировать арендные отношения как лизинг, в МСФО предусмотрены следующие: </w:t>
      </w:r>
    </w:p>
    <w:p w:rsidR="00072883" w:rsidRPr="00383F0B" w:rsidRDefault="00072883" w:rsidP="00CE076C">
      <w:pPr>
        <w:numPr>
          <w:ilvl w:val="0"/>
          <w:numId w:val="21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при досрочном расторжении договора убытки арендодателя погашает арендатор, то есть лизингополучатель; </w:t>
      </w:r>
    </w:p>
    <w:p w:rsidR="00072883" w:rsidRPr="00383F0B" w:rsidRDefault="00072883" w:rsidP="00CE076C">
      <w:pPr>
        <w:numPr>
          <w:ilvl w:val="0"/>
          <w:numId w:val="21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существует возможность продлить договор на более выгодных условиях; </w:t>
      </w:r>
    </w:p>
    <w:p w:rsidR="00072883" w:rsidRPr="00383F0B" w:rsidRDefault="00072883" w:rsidP="00CE076C">
      <w:pPr>
        <w:numPr>
          <w:ilvl w:val="0"/>
          <w:numId w:val="21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прибыль (убыток) от колебания остаточной стоимости переданного имущества получает арендатор. </w:t>
      </w:r>
    </w:p>
    <w:p w:rsidR="00072883" w:rsidRPr="00383F0B" w:rsidRDefault="00072883" w:rsidP="00CE076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Классификация аренды (операционная или финансовая) производится на этапе заключения договора. Очевидно, что с течением времени к заключенному договору по соглашению сторон могут приниматься дополнительные соглашения или изменения, которые способны повлиять на первоначальную классификацию аренды. Внесение таких изменений учитывается в соответствии с МСФО как заключение нового договора. </w:t>
      </w:r>
    </w:p>
    <w:p w:rsidR="00072883" w:rsidRPr="00383F0B" w:rsidRDefault="00072883" w:rsidP="00CE076C">
      <w:pPr>
        <w:spacing w:line="360" w:lineRule="auto"/>
        <w:ind w:firstLine="709"/>
        <w:jc w:val="both"/>
        <w:rPr>
          <w:iCs/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Чтобы правильно отразить в отчетности имущество, полученное в лизинг, нужно определить стоимость объекта учета, а также размер лизинговых и амортизационных платежей. </w:t>
      </w:r>
    </w:p>
    <w:p w:rsidR="00072883" w:rsidRPr="00383F0B" w:rsidRDefault="00072883" w:rsidP="00CE076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В соответствии с МСФО 17 лизингополучатель в учете должен отражать полученное в лизинг имущество по наименьшей из стоимостей </w:t>
      </w:r>
      <w:r w:rsidR="0063029F" w:rsidRPr="00383F0B">
        <w:rPr>
          <w:noProof/>
          <w:color w:val="000000"/>
          <w:sz w:val="28"/>
          <w:szCs w:val="28"/>
        </w:rPr>
        <w:t>–</w:t>
      </w:r>
      <w:r w:rsidRPr="00383F0B">
        <w:rPr>
          <w:noProof/>
          <w:color w:val="000000"/>
          <w:sz w:val="28"/>
          <w:szCs w:val="28"/>
        </w:rPr>
        <w:t xml:space="preserve"> рыночной (справедливой) стоимости и стоимости дисконтированных минимальных лизинговых платежей. В бухгалтерском балансе имущество, полученное в лизинг, отражается одновременно в активе как основные средства и в пассиве как обязательства. </w:t>
      </w:r>
    </w:p>
    <w:p w:rsidR="000A2CDE" w:rsidRPr="00383F0B" w:rsidRDefault="000A2CDE" w:rsidP="00CE076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Лизинговый платеж в соответствии с МСФО состоит из финансового расхода (выплат лизинговой компании, включаемых в расходы периода) и суммы, относимой на уменьшение финансового обязательства. </w:t>
      </w:r>
    </w:p>
    <w:p w:rsidR="000A2CDE" w:rsidRPr="00383F0B" w:rsidRDefault="000A2CDE" w:rsidP="00CE076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Финансовый расход рассчитывается как процент от остаточной стоимости актива, равный ставке дисконтирования. Остальная часть лизингового платежа, определенного в договоре, относится на уменьшение обязательства перед лизинговой компанией и в расход не включается. </w:t>
      </w:r>
    </w:p>
    <w:p w:rsidR="000A2CDE" w:rsidRPr="00383F0B" w:rsidRDefault="000A2CDE" w:rsidP="00CE076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По имуществу, полученному в лизинг, лизингополучатель начисляет амортизацию, которая включается в расходы каждого учетного периода. Амортизация по переданным в лизинг активам начисляется в соответствии с амортизационной политикой, принятой для собственных основных средств. Если у лизингополучателя нет «обоснованной уверенности» в том, что право собственности на имущество перейдет к нему, то актив должен быть амортизирован за наиболее короткий из сроков </w:t>
      </w:r>
      <w:r w:rsidR="001947B2" w:rsidRPr="00383F0B">
        <w:rPr>
          <w:noProof/>
          <w:color w:val="000000"/>
          <w:sz w:val="28"/>
          <w:szCs w:val="28"/>
        </w:rPr>
        <w:t>–</w:t>
      </w:r>
      <w:r w:rsidRPr="00383F0B">
        <w:rPr>
          <w:noProof/>
          <w:color w:val="000000"/>
          <w:sz w:val="28"/>
          <w:szCs w:val="28"/>
        </w:rPr>
        <w:t xml:space="preserve"> срок лизинга или срок полезной службы. В противном случае актив, переданный в лизинг, должен быть полностью самортизирован за срок полезной службы. </w:t>
      </w:r>
    </w:p>
    <w:p w:rsidR="000A2CDE" w:rsidRPr="00383F0B" w:rsidRDefault="000A2CDE" w:rsidP="00CE076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В последнее время в России активно используется такой способ привлечения финансирования, как продажа актива с последующим его получением в лизинг. Такие операции в МСФО называются обратной арендой (обратным лизингом). Для определения методов признания прибыли, полученной в результате проведения подобных операций, существуют особые правила. </w:t>
      </w:r>
    </w:p>
    <w:p w:rsidR="000A2CDE" w:rsidRPr="00383F0B" w:rsidRDefault="000A2CDE" w:rsidP="00CE076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Продажа имущества с обратным принятием этого имущества в лизинг с учетом требований МСФО может отражаться: </w:t>
      </w:r>
    </w:p>
    <w:p w:rsidR="000A2CDE" w:rsidRPr="00383F0B" w:rsidRDefault="000A2CDE" w:rsidP="00CE076C">
      <w:pPr>
        <w:numPr>
          <w:ilvl w:val="0"/>
          <w:numId w:val="23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как предоставление простого займа (сумма продажи </w:t>
      </w:r>
      <w:r w:rsidR="001947B2" w:rsidRPr="00383F0B">
        <w:rPr>
          <w:noProof/>
          <w:color w:val="000000"/>
          <w:sz w:val="28"/>
          <w:szCs w:val="28"/>
        </w:rPr>
        <w:t>–</w:t>
      </w:r>
      <w:r w:rsidRPr="00383F0B">
        <w:rPr>
          <w:noProof/>
          <w:color w:val="000000"/>
          <w:sz w:val="28"/>
          <w:szCs w:val="28"/>
        </w:rPr>
        <w:t xml:space="preserve"> сумма займа, превышение суммы рентных платежей над суммой продажи </w:t>
      </w:r>
      <w:r w:rsidR="001947B2" w:rsidRPr="00383F0B">
        <w:rPr>
          <w:noProof/>
          <w:color w:val="000000"/>
          <w:sz w:val="28"/>
          <w:szCs w:val="28"/>
        </w:rPr>
        <w:t>–</w:t>
      </w:r>
      <w:r w:rsidRPr="00383F0B">
        <w:rPr>
          <w:noProof/>
          <w:color w:val="000000"/>
          <w:sz w:val="28"/>
          <w:szCs w:val="28"/>
        </w:rPr>
        <w:t xml:space="preserve"> стоимость займа); </w:t>
      </w:r>
    </w:p>
    <w:p w:rsidR="000A2CDE" w:rsidRPr="00383F0B" w:rsidRDefault="000A2CDE" w:rsidP="00CE076C">
      <w:pPr>
        <w:numPr>
          <w:ilvl w:val="0"/>
          <w:numId w:val="23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 xml:space="preserve">как продажа (с возможной прибылью или убытком) и последующая финансовая аренда. В этом случае прибыль от сделки признается, но не отражается немедленно в полной сумме в отчете о прибылях и убытках. Сумма прибыли от продажи относится непосредственно на статью «Начисленный доход» (доходы будущих периодов) в пассиве баланса, а затем списывается в отчет о прибылях и убытках по мере использования актива. Согласно правилам финансового лизинга актив и обязательства по лизингу в учете у арендатора оцениваются в соответствии с закрепленной в договоре лизинга «справедливой стоимостью». </w:t>
      </w:r>
    </w:p>
    <w:p w:rsidR="000A2CDE" w:rsidRPr="00383F0B" w:rsidRDefault="001947B2" w:rsidP="00CE076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>В</w:t>
      </w:r>
      <w:r w:rsidR="000A2CDE" w:rsidRPr="00383F0B">
        <w:rPr>
          <w:noProof/>
          <w:color w:val="000000"/>
          <w:sz w:val="28"/>
          <w:szCs w:val="28"/>
        </w:rPr>
        <w:t xml:space="preserve"> соответствии с МСФО лизингом признаются арендные отношения, при которых существенная часть выгод и рисков переходит на лизингополучателя, в то время как в российском учете сделка может быть классифицирована как лизинговая при наличии договора лизинга, соответствующего требованиям Гражданского кодекса РФ. В отличие от </w:t>
      </w:r>
      <w:r w:rsidRPr="00383F0B">
        <w:rPr>
          <w:noProof/>
          <w:color w:val="000000"/>
          <w:sz w:val="28"/>
          <w:szCs w:val="28"/>
        </w:rPr>
        <w:t>российской системы бухгалтерского учета</w:t>
      </w:r>
      <w:r w:rsidR="000A2CDE" w:rsidRPr="00383F0B">
        <w:rPr>
          <w:noProof/>
          <w:color w:val="000000"/>
          <w:sz w:val="28"/>
          <w:szCs w:val="28"/>
        </w:rPr>
        <w:t xml:space="preserve"> имущество, переданное в лизинг, по МСФО может быть отражено только на балансе лизингополучателя.</w:t>
      </w:r>
    </w:p>
    <w:p w:rsidR="00F54CD8" w:rsidRPr="00383F0B" w:rsidRDefault="00383F0B" w:rsidP="00CE076C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383F0B">
        <w:rPr>
          <w:b/>
          <w:noProof/>
          <w:color w:val="000000"/>
          <w:sz w:val="28"/>
          <w:szCs w:val="28"/>
        </w:rPr>
        <w:br w:type="page"/>
        <w:t>Литература</w:t>
      </w:r>
    </w:p>
    <w:p w:rsidR="00F54CD8" w:rsidRPr="00383F0B" w:rsidRDefault="00F54CD8" w:rsidP="00CE076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631EF" w:rsidRPr="00383F0B" w:rsidRDefault="00B631EF" w:rsidP="00383F0B">
      <w:pPr>
        <w:numPr>
          <w:ilvl w:val="0"/>
          <w:numId w:val="14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>Грядунова М. Экзотический вид ссудного капитала.//Банковское дело в Москве.–2002.–№9.</w:t>
      </w:r>
    </w:p>
    <w:p w:rsidR="00B631EF" w:rsidRPr="00383F0B" w:rsidRDefault="00B631EF" w:rsidP="00383F0B">
      <w:pPr>
        <w:numPr>
          <w:ilvl w:val="0"/>
          <w:numId w:val="14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>Иванов К.Г. Кредитные операции.//Бухгалтерия и банки.–2003.–№ 7-8.</w:t>
      </w:r>
    </w:p>
    <w:p w:rsidR="00AC5142" w:rsidRPr="00383F0B" w:rsidRDefault="00AC5142" w:rsidP="00383F0B">
      <w:pPr>
        <w:numPr>
          <w:ilvl w:val="0"/>
          <w:numId w:val="14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>Модеров С. Учет лизинга по МСФО// Финансовый директор.–200</w:t>
      </w:r>
      <w:r w:rsidR="009275FA" w:rsidRPr="00383F0B">
        <w:rPr>
          <w:noProof/>
          <w:color w:val="000000"/>
          <w:sz w:val="28"/>
          <w:szCs w:val="28"/>
        </w:rPr>
        <w:t>6</w:t>
      </w:r>
      <w:r w:rsidRPr="00383F0B">
        <w:rPr>
          <w:noProof/>
          <w:color w:val="000000"/>
          <w:sz w:val="28"/>
          <w:szCs w:val="28"/>
        </w:rPr>
        <w:t>.–№ 7.</w:t>
      </w:r>
    </w:p>
    <w:p w:rsidR="00B631EF" w:rsidRPr="00383F0B" w:rsidRDefault="00B631EF" w:rsidP="00383F0B">
      <w:pPr>
        <w:numPr>
          <w:ilvl w:val="0"/>
          <w:numId w:val="14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>Парфенов К. Учет и анализ кредитных операций.//Бухгалтерия и банки–200</w:t>
      </w:r>
      <w:r w:rsidR="009275FA" w:rsidRPr="00383F0B">
        <w:rPr>
          <w:noProof/>
          <w:color w:val="000000"/>
          <w:sz w:val="28"/>
          <w:szCs w:val="28"/>
        </w:rPr>
        <w:t>5</w:t>
      </w:r>
      <w:r w:rsidRPr="00383F0B">
        <w:rPr>
          <w:noProof/>
          <w:color w:val="000000"/>
          <w:sz w:val="28"/>
          <w:szCs w:val="28"/>
        </w:rPr>
        <w:t xml:space="preserve">.–№7-8. </w:t>
      </w:r>
    </w:p>
    <w:p w:rsidR="003D5EFD" w:rsidRPr="00383F0B" w:rsidRDefault="003D5EFD" w:rsidP="00383F0B">
      <w:pPr>
        <w:numPr>
          <w:ilvl w:val="0"/>
          <w:numId w:val="14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383F0B">
        <w:rPr>
          <w:noProof/>
          <w:color w:val="000000"/>
          <w:sz w:val="28"/>
          <w:szCs w:val="28"/>
        </w:rPr>
        <w:t>Петров Е.П. Российские и международные бухгалтерские стандарты – сравнительный анализ.// Аудит и финансовый анализ.</w:t>
      </w:r>
      <w:r w:rsidR="00AC5142" w:rsidRPr="00383F0B">
        <w:rPr>
          <w:noProof/>
          <w:color w:val="000000"/>
          <w:sz w:val="28"/>
          <w:szCs w:val="28"/>
        </w:rPr>
        <w:t>–</w:t>
      </w:r>
      <w:r w:rsidRPr="00383F0B">
        <w:rPr>
          <w:noProof/>
          <w:color w:val="000000"/>
          <w:sz w:val="28"/>
          <w:szCs w:val="28"/>
        </w:rPr>
        <w:t>2004</w:t>
      </w:r>
      <w:r w:rsidR="009275FA" w:rsidRPr="00383F0B">
        <w:rPr>
          <w:noProof/>
          <w:color w:val="000000"/>
          <w:sz w:val="28"/>
          <w:szCs w:val="28"/>
        </w:rPr>
        <w:t xml:space="preserve"> </w:t>
      </w:r>
      <w:r w:rsidRPr="00383F0B">
        <w:rPr>
          <w:noProof/>
          <w:color w:val="000000"/>
          <w:sz w:val="28"/>
          <w:szCs w:val="28"/>
        </w:rPr>
        <w:t>–</w:t>
      </w:r>
      <w:r w:rsidR="009275FA" w:rsidRPr="00383F0B">
        <w:rPr>
          <w:noProof/>
          <w:color w:val="000000"/>
          <w:sz w:val="28"/>
          <w:szCs w:val="28"/>
        </w:rPr>
        <w:t xml:space="preserve"> </w:t>
      </w:r>
      <w:r w:rsidRPr="00383F0B">
        <w:rPr>
          <w:noProof/>
          <w:color w:val="000000"/>
          <w:sz w:val="28"/>
          <w:szCs w:val="28"/>
        </w:rPr>
        <w:t>№3.</w:t>
      </w:r>
      <w:bookmarkStart w:id="0" w:name="_GoBack"/>
      <w:bookmarkEnd w:id="0"/>
    </w:p>
    <w:sectPr w:rsidR="003D5EFD" w:rsidRPr="00383F0B" w:rsidSect="00CE076C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5C4" w:rsidRDefault="005875C4">
      <w:r>
        <w:separator/>
      </w:r>
    </w:p>
  </w:endnote>
  <w:endnote w:type="continuationSeparator" w:id="0">
    <w:p w:rsidR="005875C4" w:rsidRDefault="00587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6C3" w:rsidRDefault="005D16C3" w:rsidP="00030BA7">
    <w:pPr>
      <w:pStyle w:val="a8"/>
      <w:framePr w:wrap="around" w:vAnchor="text" w:hAnchor="margin" w:xAlign="right" w:y="1"/>
      <w:rPr>
        <w:rStyle w:val="a6"/>
      </w:rPr>
    </w:pPr>
  </w:p>
  <w:p w:rsidR="005D16C3" w:rsidRDefault="005D16C3" w:rsidP="005D16C3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6C3" w:rsidRDefault="00D26110" w:rsidP="00030BA7">
    <w:pPr>
      <w:pStyle w:val="a8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5D16C3" w:rsidRDefault="005D16C3" w:rsidP="005D16C3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5C4" w:rsidRDefault="005875C4">
      <w:r>
        <w:separator/>
      </w:r>
    </w:p>
  </w:footnote>
  <w:footnote w:type="continuationSeparator" w:id="0">
    <w:p w:rsidR="005875C4" w:rsidRDefault="005875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142" w:rsidRDefault="00AC5142" w:rsidP="00876E51">
    <w:pPr>
      <w:pStyle w:val="a4"/>
      <w:framePr w:wrap="around" w:vAnchor="text" w:hAnchor="margin" w:xAlign="right" w:y="1"/>
      <w:rPr>
        <w:rStyle w:val="a6"/>
      </w:rPr>
    </w:pPr>
  </w:p>
  <w:p w:rsidR="00AC5142" w:rsidRDefault="00AC5142" w:rsidP="00B83D41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142" w:rsidRDefault="00AC5142" w:rsidP="009275FA">
    <w:pPr>
      <w:pStyle w:val="a4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84A63"/>
    <w:multiLevelType w:val="multilevel"/>
    <w:tmpl w:val="DDF48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296749C"/>
    <w:multiLevelType w:val="multilevel"/>
    <w:tmpl w:val="95008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2CA1CC0"/>
    <w:multiLevelType w:val="multilevel"/>
    <w:tmpl w:val="3A449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A8A728E"/>
    <w:multiLevelType w:val="multilevel"/>
    <w:tmpl w:val="05200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F055FD"/>
    <w:multiLevelType w:val="multilevel"/>
    <w:tmpl w:val="3C666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156838"/>
    <w:multiLevelType w:val="multilevel"/>
    <w:tmpl w:val="FBE41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54554D"/>
    <w:multiLevelType w:val="multilevel"/>
    <w:tmpl w:val="4E6E2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6F1AE9"/>
    <w:multiLevelType w:val="hybridMultilevel"/>
    <w:tmpl w:val="61DA4B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562355F"/>
    <w:multiLevelType w:val="multilevel"/>
    <w:tmpl w:val="079EB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B82399C"/>
    <w:multiLevelType w:val="multilevel"/>
    <w:tmpl w:val="978EA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CE7245D"/>
    <w:multiLevelType w:val="multilevel"/>
    <w:tmpl w:val="05200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D774C02"/>
    <w:multiLevelType w:val="multilevel"/>
    <w:tmpl w:val="78EC7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22129D5"/>
    <w:multiLevelType w:val="multilevel"/>
    <w:tmpl w:val="FBE41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76E1081"/>
    <w:multiLevelType w:val="multilevel"/>
    <w:tmpl w:val="C13E0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7B52426"/>
    <w:multiLevelType w:val="multilevel"/>
    <w:tmpl w:val="10003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8C97C49"/>
    <w:multiLevelType w:val="hybridMultilevel"/>
    <w:tmpl w:val="849A8B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BD03AC6"/>
    <w:multiLevelType w:val="multilevel"/>
    <w:tmpl w:val="079EB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00A6683"/>
    <w:multiLevelType w:val="multilevel"/>
    <w:tmpl w:val="AC364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554F0415"/>
    <w:multiLevelType w:val="multilevel"/>
    <w:tmpl w:val="4C2EEE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034C14"/>
    <w:multiLevelType w:val="multilevel"/>
    <w:tmpl w:val="DDF48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68607AE3"/>
    <w:multiLevelType w:val="multilevel"/>
    <w:tmpl w:val="4E6E2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26A144B"/>
    <w:multiLevelType w:val="multilevel"/>
    <w:tmpl w:val="4BDEE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3D57C35"/>
    <w:multiLevelType w:val="multilevel"/>
    <w:tmpl w:val="AC364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7876127A"/>
    <w:multiLevelType w:val="multilevel"/>
    <w:tmpl w:val="10003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0"/>
  </w:num>
  <w:num w:numId="3">
    <w:abstractNumId w:val="2"/>
  </w:num>
  <w:num w:numId="4">
    <w:abstractNumId w:val="18"/>
  </w:num>
  <w:num w:numId="5">
    <w:abstractNumId w:val="22"/>
  </w:num>
  <w:num w:numId="6">
    <w:abstractNumId w:val="6"/>
  </w:num>
  <w:num w:numId="7">
    <w:abstractNumId w:val="16"/>
  </w:num>
  <w:num w:numId="8">
    <w:abstractNumId w:val="20"/>
  </w:num>
  <w:num w:numId="9">
    <w:abstractNumId w:val="9"/>
  </w:num>
  <w:num w:numId="10">
    <w:abstractNumId w:val="8"/>
  </w:num>
  <w:num w:numId="11">
    <w:abstractNumId w:val="11"/>
  </w:num>
  <w:num w:numId="12">
    <w:abstractNumId w:val="17"/>
  </w:num>
  <w:num w:numId="13">
    <w:abstractNumId w:val="1"/>
  </w:num>
  <w:num w:numId="14">
    <w:abstractNumId w:val="15"/>
  </w:num>
  <w:num w:numId="15">
    <w:abstractNumId w:val="3"/>
  </w:num>
  <w:num w:numId="16">
    <w:abstractNumId w:val="23"/>
  </w:num>
  <w:num w:numId="17">
    <w:abstractNumId w:val="5"/>
  </w:num>
  <w:num w:numId="18">
    <w:abstractNumId w:val="10"/>
  </w:num>
  <w:num w:numId="19">
    <w:abstractNumId w:val="13"/>
  </w:num>
  <w:num w:numId="20">
    <w:abstractNumId w:val="14"/>
  </w:num>
  <w:num w:numId="21">
    <w:abstractNumId w:val="21"/>
  </w:num>
  <w:num w:numId="22">
    <w:abstractNumId w:val="12"/>
  </w:num>
  <w:num w:numId="23">
    <w:abstractNumId w:val="4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78EB"/>
    <w:rsid w:val="00011458"/>
    <w:rsid w:val="00030BA7"/>
    <w:rsid w:val="00072883"/>
    <w:rsid w:val="000A2CDE"/>
    <w:rsid w:val="000A586D"/>
    <w:rsid w:val="000D0E99"/>
    <w:rsid w:val="000E7A32"/>
    <w:rsid w:val="001947B2"/>
    <w:rsid w:val="001D3149"/>
    <w:rsid w:val="002768DD"/>
    <w:rsid w:val="00383F0B"/>
    <w:rsid w:val="003D0E6D"/>
    <w:rsid w:val="003D5EFD"/>
    <w:rsid w:val="004A3B5F"/>
    <w:rsid w:val="00524665"/>
    <w:rsid w:val="00573CF0"/>
    <w:rsid w:val="005875C4"/>
    <w:rsid w:val="00595519"/>
    <w:rsid w:val="005D16C3"/>
    <w:rsid w:val="005E5668"/>
    <w:rsid w:val="0063029F"/>
    <w:rsid w:val="0064300C"/>
    <w:rsid w:val="00756BC4"/>
    <w:rsid w:val="00876E51"/>
    <w:rsid w:val="00892E27"/>
    <w:rsid w:val="009275FA"/>
    <w:rsid w:val="0097463C"/>
    <w:rsid w:val="009C4B7D"/>
    <w:rsid w:val="00AC5142"/>
    <w:rsid w:val="00B43CA1"/>
    <w:rsid w:val="00B631EF"/>
    <w:rsid w:val="00B83D41"/>
    <w:rsid w:val="00CB2586"/>
    <w:rsid w:val="00CD1A1C"/>
    <w:rsid w:val="00CE076C"/>
    <w:rsid w:val="00D17878"/>
    <w:rsid w:val="00D26110"/>
    <w:rsid w:val="00DE13EF"/>
    <w:rsid w:val="00E9567E"/>
    <w:rsid w:val="00EA0534"/>
    <w:rsid w:val="00F4552C"/>
    <w:rsid w:val="00F54CD8"/>
    <w:rsid w:val="00F5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6BD1771-6A58-4F1A-9BD7-D8A03499E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578EB"/>
    <w:pPr>
      <w:spacing w:before="100" w:beforeAutospacing="1" w:after="100" w:afterAutospacing="1"/>
    </w:pPr>
    <w:rPr>
      <w:color w:val="000000"/>
    </w:rPr>
  </w:style>
  <w:style w:type="paragraph" w:styleId="a4">
    <w:name w:val="header"/>
    <w:basedOn w:val="a"/>
    <w:link w:val="a5"/>
    <w:uiPriority w:val="99"/>
    <w:rsid w:val="00B83D4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B83D41"/>
    <w:rPr>
      <w:rFonts w:cs="Times New Roman"/>
    </w:rPr>
  </w:style>
  <w:style w:type="paragraph" w:customStyle="1" w:styleId="textm">
    <w:name w:val="textm"/>
    <w:basedOn w:val="a"/>
    <w:uiPriority w:val="99"/>
    <w:rsid w:val="0097463C"/>
    <w:pPr>
      <w:spacing w:before="100" w:beforeAutospacing="1"/>
    </w:pPr>
    <w:rPr>
      <w:rFonts w:ascii="Arial" w:hAnsi="Arial" w:cs="Arial"/>
      <w:sz w:val="20"/>
      <w:szCs w:val="20"/>
    </w:rPr>
  </w:style>
  <w:style w:type="paragraph" w:customStyle="1" w:styleId="text">
    <w:name w:val="text"/>
    <w:basedOn w:val="a"/>
    <w:uiPriority w:val="99"/>
    <w:rsid w:val="00CB2586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character" w:styleId="a7">
    <w:name w:val="Emphasis"/>
    <w:uiPriority w:val="99"/>
    <w:qFormat/>
    <w:rsid w:val="000E7A32"/>
    <w:rPr>
      <w:rFonts w:cs="Times New Roman"/>
      <w:i/>
      <w:iCs/>
    </w:rPr>
  </w:style>
  <w:style w:type="paragraph" w:styleId="a8">
    <w:name w:val="footer"/>
    <w:basedOn w:val="a"/>
    <w:link w:val="a9"/>
    <w:uiPriority w:val="99"/>
    <w:rsid w:val="009275F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9275F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3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2524</Words>
  <Characters>14390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Непосредственно работу над МСФО начал Центр ООН по транснациональным корпорациям</vt:lpstr>
    </vt:vector>
  </TitlesOfParts>
  <Company>Семья</Company>
  <LinksUpToDate>false</LinksUpToDate>
  <CharactersWithSpaces>16881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Непосредственно работу над МСФО начал Центр ООН по транснациональным корпорациям</dc:title>
  <dc:subject/>
  <dc:creator>Чакински</dc:creator>
  <cp:keywords/>
  <dc:description/>
  <cp:lastModifiedBy>admin</cp:lastModifiedBy>
  <cp:revision>2</cp:revision>
  <dcterms:created xsi:type="dcterms:W3CDTF">2014-03-03T19:38:00Z</dcterms:created>
  <dcterms:modified xsi:type="dcterms:W3CDTF">2014-03-03T19:38:00Z</dcterms:modified>
</cp:coreProperties>
</file>