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387" w:rsidRPr="00287A66" w:rsidRDefault="00683387" w:rsidP="00CD16B4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Министерство образования Российской Федерации</w:t>
      </w:r>
    </w:p>
    <w:p w:rsidR="00683387" w:rsidRPr="00287A66" w:rsidRDefault="00683387" w:rsidP="00CD16B4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Пензенский Государственный Университет</w:t>
      </w:r>
    </w:p>
    <w:p w:rsidR="00683387" w:rsidRPr="00287A66" w:rsidRDefault="00683387" w:rsidP="00CD16B4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Медицинский Институт</w:t>
      </w:r>
    </w:p>
    <w:p w:rsidR="00683387" w:rsidRPr="00287A66" w:rsidRDefault="00683387" w:rsidP="00CD16B4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3387" w:rsidRPr="00287A66" w:rsidRDefault="00683387" w:rsidP="00CD16B4">
      <w:pPr>
        <w:spacing w:line="360" w:lineRule="auto"/>
        <w:ind w:firstLine="709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Кафедра Хирургии</w:t>
      </w:r>
    </w:p>
    <w:p w:rsidR="00683387" w:rsidRPr="00287A66" w:rsidRDefault="00683387" w:rsidP="00CD16B4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3387" w:rsidRPr="00287A66" w:rsidRDefault="00683387" w:rsidP="00CD16B4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D16B4" w:rsidRPr="00287A66" w:rsidRDefault="00CD16B4" w:rsidP="00CD16B4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D16B4" w:rsidRPr="00287A66" w:rsidRDefault="00CD16B4" w:rsidP="00CD16B4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3387" w:rsidRPr="00287A66" w:rsidRDefault="00CD16B4" w:rsidP="00E104A6">
      <w:pPr>
        <w:spacing w:line="360" w:lineRule="auto"/>
        <w:ind w:firstLine="70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Зав. кафедрой д.м.н.,</w:t>
      </w:r>
    </w:p>
    <w:p w:rsidR="00683387" w:rsidRPr="00287A66" w:rsidRDefault="00683387" w:rsidP="00CD16B4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3387" w:rsidRPr="00287A66" w:rsidRDefault="00683387" w:rsidP="00CD16B4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3387" w:rsidRPr="00287A66" w:rsidRDefault="00683387" w:rsidP="00CD16B4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3387" w:rsidRPr="00287A66" w:rsidRDefault="00683387" w:rsidP="00CD16B4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Реферат</w:t>
      </w:r>
    </w:p>
    <w:p w:rsidR="00683387" w:rsidRPr="00287A66" w:rsidRDefault="00683387" w:rsidP="00CD16B4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на тему:</w:t>
      </w:r>
    </w:p>
    <w:p w:rsidR="00683387" w:rsidRPr="00287A66" w:rsidRDefault="00683387" w:rsidP="00CD16B4">
      <w:pPr>
        <w:pStyle w:val="2"/>
        <w:spacing w:line="360" w:lineRule="auto"/>
        <w:ind w:left="0" w:firstLine="709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«</w:t>
      </w:r>
      <w:r w:rsidR="00BD65BD" w:rsidRPr="00287A6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Техника инфузии и осложнения в детской хирургии</w:t>
      </w:r>
      <w:r w:rsidRPr="00287A6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»</w:t>
      </w:r>
    </w:p>
    <w:p w:rsidR="00683387" w:rsidRPr="00287A66" w:rsidRDefault="00683387" w:rsidP="00CD16B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16B4" w:rsidRPr="00287A66" w:rsidRDefault="00CD16B4" w:rsidP="00CD16B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16B4" w:rsidRPr="00287A66" w:rsidRDefault="00CD16B4" w:rsidP="00CD16B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16B4" w:rsidRPr="00287A66" w:rsidRDefault="00683387" w:rsidP="00CD16B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Выполнила: студентка V курса </w:t>
      </w:r>
    </w:p>
    <w:p w:rsidR="00683387" w:rsidRPr="00287A66" w:rsidRDefault="00683387" w:rsidP="00CD16B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Проверил:</w:t>
      </w:r>
      <w:r w:rsidR="00CD16B4"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 к.м.н., доцент</w:t>
      </w:r>
    </w:p>
    <w:p w:rsidR="00683387" w:rsidRPr="00287A66" w:rsidRDefault="00683387" w:rsidP="00CD16B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3387" w:rsidRPr="00287A66" w:rsidRDefault="00683387" w:rsidP="00CD16B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3387" w:rsidRPr="00287A66" w:rsidRDefault="00683387" w:rsidP="00CD16B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0009" w:rsidRPr="00287A66" w:rsidRDefault="005C0009" w:rsidP="00CD16B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16B4" w:rsidRPr="00287A66" w:rsidRDefault="00CD16B4" w:rsidP="00CD16B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3387" w:rsidRPr="00287A66" w:rsidRDefault="00683387" w:rsidP="00CD16B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3387" w:rsidRPr="00287A66" w:rsidRDefault="00683387" w:rsidP="00CD16B4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Пенза</w:t>
      </w:r>
    </w:p>
    <w:p w:rsidR="00683387" w:rsidRPr="00287A66" w:rsidRDefault="00683387" w:rsidP="00CD16B4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2009</w:t>
      </w:r>
    </w:p>
    <w:p w:rsidR="00683387" w:rsidRPr="00287A66" w:rsidRDefault="00CD16B4" w:rsidP="00CD16B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 w:type="page"/>
      </w:r>
      <w:r w:rsidR="00683387" w:rsidRPr="00287A66">
        <w:rPr>
          <w:rFonts w:ascii="Times New Roman" w:hAnsi="Times New Roman" w:cs="Times New Roman"/>
          <w:color w:val="000000"/>
          <w:sz w:val="28"/>
          <w:szCs w:val="28"/>
        </w:rPr>
        <w:t>План</w:t>
      </w:r>
    </w:p>
    <w:p w:rsidR="00CD16B4" w:rsidRPr="00287A66" w:rsidRDefault="00CD16B4" w:rsidP="00CD16B4">
      <w:pPr>
        <w:rPr>
          <w:rFonts w:ascii="Times New Roman" w:hAnsi="Times New Roman" w:cs="Times New Roman"/>
          <w:sz w:val="28"/>
          <w:szCs w:val="28"/>
        </w:rPr>
      </w:pPr>
    </w:p>
    <w:p w:rsidR="00683387" w:rsidRPr="00287A66" w:rsidRDefault="003A38C2" w:rsidP="00CD16B4">
      <w:pPr>
        <w:widowControl/>
        <w:numPr>
          <w:ilvl w:val="0"/>
          <w:numId w:val="10"/>
        </w:numPr>
        <w:tabs>
          <w:tab w:val="num" w:pos="5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Осложнения при парентеральном питании, обусловленные нарушением метаболизма</w:t>
      </w:r>
    </w:p>
    <w:p w:rsidR="00683387" w:rsidRPr="00287A66" w:rsidRDefault="003A38C2" w:rsidP="00CD16B4">
      <w:pPr>
        <w:widowControl/>
        <w:numPr>
          <w:ilvl w:val="0"/>
          <w:numId w:val="10"/>
        </w:numPr>
        <w:tabs>
          <w:tab w:val="num" w:pos="5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Инфузионная техника</w:t>
      </w:r>
    </w:p>
    <w:p w:rsidR="00BD65BD" w:rsidRPr="00287A66" w:rsidRDefault="00BD65BD" w:rsidP="00CD16B4">
      <w:pPr>
        <w:widowControl/>
        <w:numPr>
          <w:ilvl w:val="0"/>
          <w:numId w:val="13"/>
        </w:numPr>
        <w:tabs>
          <w:tab w:val="num" w:pos="5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Чрезкожная венепункция</w:t>
      </w:r>
    </w:p>
    <w:p w:rsidR="00BD65BD" w:rsidRPr="00287A66" w:rsidRDefault="00BD65BD" w:rsidP="00CD16B4">
      <w:pPr>
        <w:widowControl/>
        <w:numPr>
          <w:ilvl w:val="0"/>
          <w:numId w:val="13"/>
        </w:numPr>
        <w:tabs>
          <w:tab w:val="num" w:pos="5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Венесекция</w:t>
      </w:r>
    </w:p>
    <w:p w:rsidR="00BD65BD" w:rsidRPr="00287A66" w:rsidRDefault="00BD65BD" w:rsidP="00CD16B4">
      <w:pPr>
        <w:widowControl/>
        <w:numPr>
          <w:ilvl w:val="0"/>
          <w:numId w:val="13"/>
        </w:numPr>
        <w:tabs>
          <w:tab w:val="num" w:pos="5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Пупочная вена</w:t>
      </w:r>
    </w:p>
    <w:p w:rsidR="00BD65BD" w:rsidRPr="00287A66" w:rsidRDefault="00BD65BD" w:rsidP="00CD16B4">
      <w:pPr>
        <w:widowControl/>
        <w:numPr>
          <w:ilvl w:val="0"/>
          <w:numId w:val="13"/>
        </w:numPr>
        <w:tabs>
          <w:tab w:val="num" w:pos="5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Катетаризация полой вены</w:t>
      </w:r>
    </w:p>
    <w:p w:rsidR="00BD65BD" w:rsidRPr="00287A66" w:rsidRDefault="00BD65BD" w:rsidP="00CD16B4">
      <w:pPr>
        <w:widowControl/>
        <w:numPr>
          <w:ilvl w:val="0"/>
          <w:numId w:val="13"/>
        </w:numPr>
        <w:tabs>
          <w:tab w:val="num" w:pos="5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Система для капельного введения</w:t>
      </w:r>
    </w:p>
    <w:p w:rsidR="00683387" w:rsidRPr="00287A66" w:rsidRDefault="003A38C2" w:rsidP="00CD16B4">
      <w:pPr>
        <w:widowControl/>
        <w:numPr>
          <w:ilvl w:val="0"/>
          <w:numId w:val="10"/>
        </w:numPr>
        <w:tabs>
          <w:tab w:val="num" w:pos="5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Специальные проблемы</w:t>
      </w:r>
    </w:p>
    <w:p w:rsidR="00BD65BD" w:rsidRPr="00287A66" w:rsidRDefault="00BD65BD" w:rsidP="00CD16B4">
      <w:pPr>
        <w:widowControl/>
        <w:numPr>
          <w:ilvl w:val="0"/>
          <w:numId w:val="14"/>
        </w:numPr>
        <w:tabs>
          <w:tab w:val="num" w:pos="5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Размозжение и ожоги</w:t>
      </w:r>
    </w:p>
    <w:p w:rsidR="00BD65BD" w:rsidRPr="00287A66" w:rsidRDefault="00BD65BD" w:rsidP="00CD16B4">
      <w:pPr>
        <w:widowControl/>
        <w:numPr>
          <w:ilvl w:val="0"/>
          <w:numId w:val="14"/>
        </w:numPr>
        <w:tabs>
          <w:tab w:val="num" w:pos="5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Острая почечная недостаточность</w:t>
      </w:r>
    </w:p>
    <w:p w:rsidR="00BD65BD" w:rsidRPr="00287A66" w:rsidRDefault="00BD65BD" w:rsidP="00CD16B4">
      <w:pPr>
        <w:widowControl/>
        <w:numPr>
          <w:ilvl w:val="0"/>
          <w:numId w:val="14"/>
        </w:numPr>
        <w:tabs>
          <w:tab w:val="num" w:pos="5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Геморрагический шок</w:t>
      </w:r>
    </w:p>
    <w:p w:rsidR="00BD65BD" w:rsidRPr="00287A66" w:rsidRDefault="00BD65BD" w:rsidP="00CD16B4">
      <w:pPr>
        <w:widowControl/>
        <w:numPr>
          <w:ilvl w:val="0"/>
          <w:numId w:val="14"/>
        </w:numPr>
        <w:tabs>
          <w:tab w:val="num" w:pos="5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Гипертрофический стеноз привратника</w:t>
      </w:r>
    </w:p>
    <w:p w:rsidR="00BD65BD" w:rsidRPr="00287A66" w:rsidRDefault="00BD65BD" w:rsidP="00CD16B4">
      <w:pPr>
        <w:widowControl/>
        <w:numPr>
          <w:ilvl w:val="0"/>
          <w:numId w:val="14"/>
        </w:numPr>
        <w:tabs>
          <w:tab w:val="num" w:pos="5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Перитонит</w:t>
      </w:r>
    </w:p>
    <w:p w:rsidR="00BD65BD" w:rsidRPr="00287A66" w:rsidRDefault="00BD65BD" w:rsidP="00CD16B4">
      <w:pPr>
        <w:widowControl/>
        <w:numPr>
          <w:ilvl w:val="0"/>
          <w:numId w:val="14"/>
        </w:numPr>
        <w:tabs>
          <w:tab w:val="num" w:pos="5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Септический шок</w:t>
      </w:r>
    </w:p>
    <w:p w:rsidR="00683387" w:rsidRPr="00287A66" w:rsidRDefault="00683387" w:rsidP="00CD16B4">
      <w:pPr>
        <w:widowControl/>
        <w:tabs>
          <w:tab w:val="num" w:pos="500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</w:p>
    <w:p w:rsidR="00BD65BD" w:rsidRPr="00287A66" w:rsidRDefault="00BD65BD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16B4" w:rsidRPr="00287A66" w:rsidRDefault="00CD16B4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3A38C2"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="00CD69DC"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Осложнения при парентеральном питании, обусловлен</w:t>
      </w:r>
      <w:r w:rsidR="005C0009"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ные </w:t>
      </w:r>
    </w:p>
    <w:p w:rsidR="00CD69DC" w:rsidRPr="00287A66" w:rsidRDefault="005C0009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нарушениями метаболизма</w:t>
      </w:r>
    </w:p>
    <w:p w:rsidR="00CD16B4" w:rsidRPr="00287A66" w:rsidRDefault="00CD16B4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Описан ряд осложнений, обусловленный нарушениями метаболизма при парентеральном питании. Их можно предупредить путем тщательного контроля за параметрами обмена веществ.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Гипергликемия ведет к осмотическому диурезу со вторичными изменениями водного и электролитного баланса. Возможны тяжелые расст</w:t>
      </w:r>
      <w:r w:rsidR="00A85D4C" w:rsidRPr="00287A66">
        <w:rPr>
          <w:rFonts w:ascii="Times New Roman" w:hAnsi="Times New Roman" w:cs="Times New Roman"/>
          <w:color w:val="000000"/>
          <w:sz w:val="28"/>
          <w:szCs w:val="28"/>
        </w:rPr>
        <w:t>ройства ЦНС в связи с гиперосмо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ляльностью. Развивается преимущественно при нарушении толерантности к глюкозе в послеоперационном периоде и при чрезмерном введении углеводов (углеводно-аминокислотный режим без жировых эмульсий).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Гипогликемия: недостаточное введение углеводов, внезапное прерывание парентерального питания.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Гипофосфатемия: недостаточное введение фосфата.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Азотемия: введение слишком большого количества аминокислот (4 г/кг массы тела) недоношенным новорожденным.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Гипера</w:t>
      </w:r>
      <w:r w:rsidR="003A38C2" w:rsidRPr="00287A66">
        <w:rPr>
          <w:rFonts w:ascii="Times New Roman" w:hAnsi="Times New Roman" w:cs="Times New Roman"/>
          <w:color w:val="000000"/>
          <w:sz w:val="28"/>
          <w:szCs w:val="28"/>
        </w:rPr>
        <w:t>ммониемия: дефицит аргинина.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Гипо- и гипервитаминозы: большей частью бывает дефицит витаминов; передозировка возможна при введении жирорастворимых витаминов.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Дефицит микроэлементов.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Дефицит эссенциальных жирных кислот: при парентеральном питании без введения жиров.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Нарушения функции печени с гипербилирубинемией и гепатомегалией; комплекс причин.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Гиперхлоремический ацидоз: среди прочих причин введение аминокислотных инфузионных растворов с высоким содержанием хлоридов.</w:t>
      </w:r>
    </w:p>
    <w:p w:rsidR="00CD16B4" w:rsidRPr="00287A66" w:rsidRDefault="00CD16B4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69DC" w:rsidRPr="00287A66" w:rsidRDefault="00CD16B4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3A38C2"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CD69DC"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Инфузионная техника</w:t>
      </w:r>
    </w:p>
    <w:p w:rsidR="00CD16B4" w:rsidRPr="00287A66" w:rsidRDefault="00CD16B4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Парентеральное введение веществ осуществляется только внутривенно. Подкожный способ устарел и не применяется. Используются следующие методы:</w:t>
      </w:r>
    </w:p>
    <w:p w:rsidR="00852C5F" w:rsidRPr="00287A66" w:rsidRDefault="00852C5F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Чрескожная венепункция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Производится иглами для внутривенных инъекций фирмы «Лихтенберг». В зависимости от опыта медицинского работника и успешности манипуляции пункцию вен у младенцев осуществляют в последовательности: голова — тыл кисти — область лучезапястного сустава — стопа — шея. У детей более старшего воз</w:t>
      </w:r>
      <w:r w:rsidR="003A38C2" w:rsidRPr="00287A66">
        <w:rPr>
          <w:rFonts w:ascii="Times New Roman" w:hAnsi="Times New Roman" w:cs="Times New Roman"/>
          <w:color w:val="000000"/>
          <w:sz w:val="28"/>
          <w:szCs w:val="28"/>
        </w:rPr>
        <w:t>раста последовательность: локте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вой сгиб — тыл кисти — предплечье — внутренняя лодыжка— тыл стопы — голова — шея.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Важно соблюдение стерильности и прочная фиксация иглы в вене. Как правило, спустя 1—2 дня пункцию приходится повторять (из-за тромбирования иглы, флебита).</w:t>
      </w:r>
    </w:p>
    <w:p w:rsidR="00852C5F" w:rsidRPr="00287A66" w:rsidRDefault="00852C5F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Венесекция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После выделения вены в </w:t>
      </w:r>
      <w:r w:rsidR="003A38C2" w:rsidRPr="00287A66">
        <w:rPr>
          <w:rFonts w:ascii="Times New Roman" w:hAnsi="Times New Roman" w:cs="Times New Roman"/>
          <w:color w:val="000000"/>
          <w:sz w:val="28"/>
          <w:szCs w:val="28"/>
        </w:rPr>
        <w:t>нее вводят поливиниловый или по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лиэтиленовый катетер на 2—3 см по направлению к сердцу и закрепляют его. Выбор места проводят в последовательности: локтевой сгиб — 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saphena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magna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 (дистально за внутренней лодыжкой) — 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cephalica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 (за дистальным отделом лучевой кости) — наружная яремная вена — 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saphena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magna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 (паховый сгиб). Последнюю лучше не трогать из-за значительной опасности инфицирования. Само собой разумеется, необходимо строго соблюдать асептику и антисептику, а также прочно фиксировать иглу.</w:t>
      </w:r>
    </w:p>
    <w:p w:rsidR="00852C5F" w:rsidRPr="00287A66" w:rsidRDefault="00852C5F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Пупочная вена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Ее можно зондировать почти до 3-го дня жизни.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Пупочный катетер по возможности не применяют или быстро его удаляют, не оставляя «профилактически» на ряд дней из-за опасности тромбоза воротной вены (крайний предел 12 ч). Избегают введения гипертонических растворов.</w:t>
      </w:r>
    </w:p>
    <w:p w:rsidR="00852C5F" w:rsidRPr="00287A66" w:rsidRDefault="00852C5F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Катетеризация полой вены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Пункция подключичной вены осуществляется в над- и подключичной области в принципе по той же методике, как и у взрослых. Ее можно выполнять у младенцев и новорожденных. Если под руками нет соответствющего деменсионного набора инструментов, то можно попытаться ввести тонкий катетер через канюлю, что иногда удается при применении перлонового шнура (лески) по принципу 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Seldinger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-техники. В каждом случае положение катетера нужно контролировать рентгенологически. Конец катетера должен находиться свободно в верхней полой вене, не доходя до правого желудочка самое малое на 1—2 см. Из-за повышенной опасности инфекции у маленьких детей катетеризация нижней полой вены не применяется. 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Wilmore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 рекомендует применять у новорожденных и младенцев изящный метод введения катетера через н</w:t>
      </w:r>
      <w:r w:rsidR="003A38C2" w:rsidRPr="00287A66">
        <w:rPr>
          <w:rFonts w:ascii="Times New Roman" w:hAnsi="Times New Roman" w:cs="Times New Roman"/>
          <w:color w:val="000000"/>
          <w:sz w:val="28"/>
          <w:szCs w:val="28"/>
        </w:rPr>
        <w:t>аружную яремную вену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. Вену освобождают путем вспомогательного разреза, катетер проводят до верхней полой вены, укрепляют и выводят через второй разрез в височно-затылочной области. Через длинный подкожный канал система инфицируется не так быстро, поскольку в оригинальной методике применяется переходный бактериальный фильтр.</w:t>
      </w:r>
    </w:p>
    <w:p w:rsidR="00852C5F" w:rsidRPr="00287A66" w:rsidRDefault="00852C5F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Система для капельного введения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При маленьких объемах жидкостей, которые должны быть распределены в течение суток, всегда имеется опасность слишком быстрого введения жидкости.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Основное правило: для того чтобы ввести за 24 ч а литров инфузионного раствора, необходимо в минуту вводить а Х14 обычных капель (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Stadler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Helbig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Скорость введения может быть отрегулирована с точностью до 4 капель в минуту (приблизительно 300 мл/24 ч). Можно довольствоваться тем, что через каждые 30—60 мин по достижении вычисленного объема инфузионного раствора периодически пережимать катетер, чтобы предотвратить обратный ток крови. Еще лучше в инфузионной системе использовать для переключения градуированн</w:t>
      </w:r>
      <w:r w:rsidR="005C0009" w:rsidRPr="00287A66">
        <w:rPr>
          <w:rFonts w:ascii="Times New Roman" w:hAnsi="Times New Roman" w:cs="Times New Roman"/>
          <w:color w:val="000000"/>
          <w:sz w:val="28"/>
          <w:szCs w:val="28"/>
        </w:rPr>
        <w:t>ые бюреты на 20—30 мл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. Правда, в этом случае увеличивается опасность инфицирования. Лучше всего для этого подходят инфузионные аппараты для длительных инфузий, позволяющие точно отрегулировать дозировку.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К осложнениям, связанным с нарушением обмена веществ, описанным выше, присовокупляются осложнения, связанные с катетеризацией, которые могут представлять угрозу для жизни. Важнейшими из них являются инфицирование и тромбирование вен.</w:t>
      </w:r>
    </w:p>
    <w:p w:rsidR="00CD16B4" w:rsidRPr="00287A66" w:rsidRDefault="00CD16B4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69DC" w:rsidRPr="00287A66" w:rsidRDefault="003A38C2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CD69DC"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Специальные проблемы</w:t>
      </w:r>
    </w:p>
    <w:p w:rsidR="00CD16B4" w:rsidRPr="00287A66" w:rsidRDefault="00CD16B4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Разм</w:t>
      </w:r>
      <w:r w:rsidR="005C0009"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озжение и ожоги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Их лечение у детей отличается от лечения у взрослых главным образом двумя особенностями: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Обусловленные возрастом пропорции тела дают различные ориентировочные цифры для оценки поверхности повреждения. В правило «девятки», применяемое для взрослых, должна быть внесена соответствующая поправка (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Wallace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D16B4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Повышенная опасность шока у младенцев и маленьких детей наблюдается в первые 2 дня. Младенцев целесообразно госпитализировать даже при 5% обожженной или размозженной поверхности тела, а детей школьного возраста — при повреждениях 10% поверхности. При ожогах и повреждениях более 10% всегда показана внутривенная противошоковая терапия (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Meissner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При распространенных повреждениях (более 50% поверхности тела) инфузионный режим должен строго индивидуализироваться, чтобы предупредить развитие гипергидратации (отек легких! Отек мозга!). Необходимо строго контролировать выведение мочи (постоянный катетер). Оно должно достигать 80% среднечасового выведения (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Meissner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). При введении декстрана та</w:t>
      </w:r>
      <w:r w:rsidR="005C0009" w:rsidRPr="00287A66">
        <w:rPr>
          <w:rFonts w:ascii="Times New Roman" w:hAnsi="Times New Roman" w:cs="Times New Roman"/>
          <w:color w:val="000000"/>
          <w:sz w:val="28"/>
          <w:szCs w:val="28"/>
        </w:rPr>
        <w:t>кого диуреза достичь не удается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235C" w:rsidRPr="00287A66" w:rsidRDefault="007B235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Острая почечная недостаточность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За нормальное количество мочи у младенцев и детей при концентрации ее до 300 мосммоль/л принимается 750 мл/м2</w:t>
      </w:r>
      <w:r w:rsidR="005C0009"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 поверхности тела за 24 ч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. Об олигоанурии говорят тогда, когда миним</w:t>
      </w:r>
      <w:r w:rsidR="003A38C2" w:rsidRPr="00287A66">
        <w:rPr>
          <w:rFonts w:ascii="Times New Roman" w:hAnsi="Times New Roman" w:cs="Times New Roman"/>
          <w:color w:val="000000"/>
          <w:sz w:val="28"/>
          <w:szCs w:val="28"/>
        </w:rPr>
        <w:t>ального количества мочи, необхо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димого для выведения азотистых шлаков, не образуется. В табл</w:t>
      </w:r>
      <w:r w:rsidR="003A38C2" w:rsidRPr="00287A66">
        <w:rPr>
          <w:rFonts w:ascii="Times New Roman" w:hAnsi="Times New Roman" w:cs="Times New Roman"/>
          <w:color w:val="000000"/>
          <w:sz w:val="28"/>
          <w:szCs w:val="28"/>
        </w:rPr>
        <w:t>. 1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 приведены ориентировочные цифры для различных возрастов.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69DC" w:rsidRPr="00287A66" w:rsidRDefault="003A38C2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Таблица 1</w:t>
      </w:r>
      <w:r w:rsidR="00CD69DC" w:rsidRPr="00287A66">
        <w:rPr>
          <w:rFonts w:ascii="Times New Roman" w:hAnsi="Times New Roman" w:cs="Times New Roman"/>
          <w:color w:val="000000"/>
          <w:sz w:val="28"/>
          <w:szCs w:val="28"/>
        </w:rPr>
        <w:t>. Величина диуреза у детей в норме</w:t>
      </w:r>
    </w:p>
    <w:tbl>
      <w:tblPr>
        <w:tblW w:w="0" w:type="auto"/>
        <w:tblInd w:w="2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63"/>
        <w:gridCol w:w="2737"/>
        <w:gridCol w:w="2800"/>
      </w:tblGrid>
      <w:tr w:rsidR="00CD69DC" w:rsidRPr="00287A66">
        <w:trPr>
          <w:trHeight w:val="619"/>
        </w:trPr>
        <w:tc>
          <w:tcPr>
            <w:tcW w:w="2563" w:type="dxa"/>
            <w:shd w:val="clear" w:color="auto" w:fill="FFFFFF"/>
            <w:vAlign w:val="center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 xml:space="preserve">Возраст </w:t>
            </w:r>
          </w:p>
        </w:tc>
        <w:tc>
          <w:tcPr>
            <w:tcW w:w="2737" w:type="dxa"/>
            <w:shd w:val="clear" w:color="auto" w:fill="FFFFFF"/>
            <w:vAlign w:val="center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мл/24 ч</w:t>
            </w:r>
          </w:p>
        </w:tc>
        <w:tc>
          <w:tcPr>
            <w:tcW w:w="2800" w:type="dxa"/>
            <w:shd w:val="clear" w:color="auto" w:fill="FFFFFF"/>
            <w:vAlign w:val="center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мл/ч</w:t>
            </w:r>
          </w:p>
        </w:tc>
      </w:tr>
      <w:tr w:rsidR="00CD69DC" w:rsidRPr="00287A66">
        <w:trPr>
          <w:trHeight w:val="331"/>
        </w:trPr>
        <w:tc>
          <w:tcPr>
            <w:tcW w:w="2563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 xml:space="preserve">1—2 дня </w:t>
            </w:r>
          </w:p>
        </w:tc>
        <w:tc>
          <w:tcPr>
            <w:tcW w:w="2737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30—60</w:t>
            </w:r>
          </w:p>
        </w:tc>
        <w:tc>
          <w:tcPr>
            <w:tcW w:w="2800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CD69DC" w:rsidRPr="00287A66">
        <w:trPr>
          <w:trHeight w:val="173"/>
        </w:trPr>
        <w:tc>
          <w:tcPr>
            <w:tcW w:w="2563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 xml:space="preserve">3—10 дней </w:t>
            </w:r>
          </w:p>
        </w:tc>
        <w:tc>
          <w:tcPr>
            <w:tcW w:w="2737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100—300</w:t>
            </w:r>
          </w:p>
        </w:tc>
        <w:tc>
          <w:tcPr>
            <w:tcW w:w="2800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CD69DC" w:rsidRPr="00287A66">
        <w:trPr>
          <w:trHeight w:val="187"/>
        </w:trPr>
        <w:tc>
          <w:tcPr>
            <w:tcW w:w="2563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 xml:space="preserve">10 дней 2 мес </w:t>
            </w:r>
          </w:p>
        </w:tc>
        <w:tc>
          <w:tcPr>
            <w:tcW w:w="2737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250—450</w:t>
            </w:r>
          </w:p>
        </w:tc>
        <w:tc>
          <w:tcPr>
            <w:tcW w:w="2800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15</w:t>
            </w:r>
          </w:p>
        </w:tc>
      </w:tr>
      <w:tr w:rsidR="00CD69DC" w:rsidRPr="00287A66">
        <w:trPr>
          <w:trHeight w:val="180"/>
        </w:trPr>
        <w:tc>
          <w:tcPr>
            <w:tcW w:w="2563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 xml:space="preserve">2 мес — 1 год </w:t>
            </w:r>
          </w:p>
        </w:tc>
        <w:tc>
          <w:tcPr>
            <w:tcW w:w="2737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400—500</w:t>
            </w:r>
          </w:p>
        </w:tc>
        <w:tc>
          <w:tcPr>
            <w:tcW w:w="2800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CD69DC" w:rsidRPr="00287A66">
        <w:trPr>
          <w:trHeight w:val="144"/>
        </w:trPr>
        <w:tc>
          <w:tcPr>
            <w:tcW w:w="2563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 xml:space="preserve">1 — 3 года </w:t>
            </w:r>
          </w:p>
        </w:tc>
        <w:tc>
          <w:tcPr>
            <w:tcW w:w="2737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500—600</w:t>
            </w:r>
          </w:p>
        </w:tc>
        <w:tc>
          <w:tcPr>
            <w:tcW w:w="2800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CD69DC" w:rsidRPr="00287A66">
        <w:trPr>
          <w:trHeight w:val="180"/>
        </w:trPr>
        <w:tc>
          <w:tcPr>
            <w:tcW w:w="2563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 xml:space="preserve">3—5 лет </w:t>
            </w:r>
          </w:p>
        </w:tc>
        <w:tc>
          <w:tcPr>
            <w:tcW w:w="2737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600—700</w:t>
            </w:r>
          </w:p>
        </w:tc>
        <w:tc>
          <w:tcPr>
            <w:tcW w:w="2800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CD69DC" w:rsidRPr="00287A66">
        <w:trPr>
          <w:trHeight w:val="184"/>
        </w:trPr>
        <w:tc>
          <w:tcPr>
            <w:tcW w:w="2563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5—8 »</w:t>
            </w:r>
          </w:p>
        </w:tc>
        <w:tc>
          <w:tcPr>
            <w:tcW w:w="2737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650—1000</w:t>
            </w:r>
          </w:p>
        </w:tc>
        <w:tc>
          <w:tcPr>
            <w:tcW w:w="2800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CD69DC" w:rsidRPr="00287A66">
        <w:trPr>
          <w:trHeight w:val="202"/>
        </w:trPr>
        <w:tc>
          <w:tcPr>
            <w:tcW w:w="2563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В— 14 »</w:t>
            </w:r>
          </w:p>
        </w:tc>
        <w:tc>
          <w:tcPr>
            <w:tcW w:w="2737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800—1400</w:t>
            </w:r>
          </w:p>
        </w:tc>
        <w:tc>
          <w:tcPr>
            <w:tcW w:w="2800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45</w:t>
            </w:r>
          </w:p>
        </w:tc>
      </w:tr>
      <w:tr w:rsidR="00CD69DC" w:rsidRPr="00287A66">
        <w:trPr>
          <w:trHeight w:val="328"/>
        </w:trPr>
        <w:tc>
          <w:tcPr>
            <w:tcW w:w="2563" w:type="dxa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 xml:space="preserve">Более 14 » </w:t>
            </w:r>
          </w:p>
        </w:tc>
        <w:tc>
          <w:tcPr>
            <w:tcW w:w="2737" w:type="dxa"/>
          </w:tcPr>
          <w:p w:rsidR="00CD69DC" w:rsidRPr="00287A66" w:rsidRDefault="00CD69DC" w:rsidP="00CD16B4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1000—1600</w:t>
            </w:r>
          </w:p>
        </w:tc>
        <w:tc>
          <w:tcPr>
            <w:tcW w:w="2800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</w:tbl>
    <w:p w:rsidR="00CD16B4" w:rsidRPr="00287A66" w:rsidRDefault="00CD16B4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Проба с маннитолом проводится у детей в количестве 0,2 г маннитола на 1 кг массы.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Лучше проводить пробу с фуросемидом (1 мг/кг массы тела).</w:t>
      </w:r>
    </w:p>
    <w:p w:rsidR="00852C5F" w:rsidRPr="00287A66" w:rsidRDefault="00852C5F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Терапия в олигоанурической стадии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Введение жидкости: покрытие 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perspiratio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insensibilis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: 500 мл воды на 1 м2 поверхности тела в день, к чему прибавляются потери при рвоте, потливости, лихорадке, а также количество мочи за предшествующий день. Ежедневное взвешивание! Масса тела должна уменьшаться. Сохранение или прибавление массы тела говорит о гипергидратации!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Введение натрия запрещено! Исключением является только выявленный дефицит натрия. Уровень натрия в плазме часто бывает пониженным вследствие трансминерализации или гидремии (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Wilkinson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) даже без его дефицита.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Профилактика острой почечной недостаточности (приложение к </w:t>
      </w: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Truniger</w:t>
      </w: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Если проба с маннитолом оказывается положительной, то его введение продолжают. Ориентировочная доза маннитола 1—2 г/кг массы в день. Потери жидкости, обусловленные маннитолом, необходимо восполнять эквивалентными количествами инфузионного раствора (на 1 л раствора 40 мэкв натрия и 10—20 мэкв калия).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Профилактически маннитол назначается при угрожающих ситуациях перед, во время и после операции больным с перитонитом, травматическим шоком, при операциях на почках, сосудах, кардиохирургических вмешательствах, желтухе. Вводят маннитол в дозе 0,3 г/кг массы тела за 10 мин перед операцией; 0,7 г/кг в час во время операции и 0,3 г/кг в час после операции; суточная доза 2 г/кг массы. В этих случаях также производится возмещение потерь воды и электролитов, обусловленных маннитолом.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Терапия в</w:t>
      </w:r>
      <w:r w:rsidR="00CD16B4"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полиурической стадии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Опасность заключается в значительной потере воды и электролитов. Замещение нужно проводить, но так, чтобы не вызвать перенасыщения жидкостью. Лучше добиваться умеренной дегидратации (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Wilkinson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Вода: 500 мл/м2 поверхности тела в день плюс количество, эквивалентное объему мочи за предыдущий день, плюс объем нефизиологических потерь.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Натрий и калий: в размерах физиологической потребности плюс компенсация, экстраренальные и ренальные потери (определяемые количественным методом или по правилу: на 1 л</w:t>
      </w:r>
      <w:r w:rsidR="005C0009"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 мочи приходится 60—8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0 мэкв натрия и 20—40 мэкв калия, 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Truniger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Как можно скорее начинать оптимальное энтеральное питание, чтобы улучшить общее состояние.</w:t>
      </w:r>
    </w:p>
    <w:p w:rsidR="00852C5F" w:rsidRPr="00287A66" w:rsidRDefault="00852C5F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Геморр</w:t>
      </w:r>
      <w:r w:rsidR="005C0009"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агический шок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При определении потерь крови (взвешиванием, волеметрон) нужно учитывать изменение объема кров</w:t>
      </w:r>
      <w:r w:rsidR="003A38C2" w:rsidRPr="00287A66">
        <w:rPr>
          <w:rFonts w:ascii="Times New Roman" w:hAnsi="Times New Roman" w:cs="Times New Roman"/>
          <w:color w:val="000000"/>
          <w:sz w:val="28"/>
          <w:szCs w:val="28"/>
        </w:rPr>
        <w:t>и в связи с возрастом (табл. 2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69DC" w:rsidRPr="00287A66" w:rsidRDefault="003A38C2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Таблица 2</w:t>
      </w:r>
      <w:r w:rsidR="00CD69DC" w:rsidRPr="00287A66">
        <w:rPr>
          <w:rFonts w:ascii="Times New Roman" w:hAnsi="Times New Roman" w:cs="Times New Roman"/>
          <w:color w:val="000000"/>
          <w:sz w:val="28"/>
          <w:szCs w:val="28"/>
        </w:rPr>
        <w:t>. Определение величины кровопотери (мл) в зависимости от возраста и объема крови (в %) (</w:t>
      </w:r>
      <w:r w:rsidR="00CD69DC"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Davenport</w:t>
      </w:r>
      <w:r w:rsidR="00CD69DC"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D69DC"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Bare</w:t>
      </w:r>
      <w:r w:rsidR="00CD69DC" w:rsidRPr="00287A66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tbl>
      <w:tblPr>
        <w:tblW w:w="0" w:type="auto"/>
        <w:tblInd w:w="1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00"/>
        <w:gridCol w:w="1539"/>
        <w:gridCol w:w="756"/>
        <w:gridCol w:w="804"/>
        <w:gridCol w:w="708"/>
        <w:gridCol w:w="993"/>
        <w:gridCol w:w="1203"/>
      </w:tblGrid>
      <w:tr w:rsidR="00CD69DC" w:rsidRPr="00287A66">
        <w:trPr>
          <w:trHeight w:val="576"/>
        </w:trPr>
        <w:tc>
          <w:tcPr>
            <w:tcW w:w="3100" w:type="dxa"/>
            <w:shd w:val="clear" w:color="auto" w:fill="FFFFFF"/>
            <w:vAlign w:val="center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 xml:space="preserve">Масса тела и объем крови </w:t>
            </w:r>
          </w:p>
        </w:tc>
        <w:tc>
          <w:tcPr>
            <w:tcW w:w="1539" w:type="dxa"/>
            <w:shd w:val="clear" w:color="auto" w:fill="FFFFFF"/>
            <w:vAlign w:val="center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Новорожденные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6 нед</w:t>
            </w:r>
          </w:p>
        </w:tc>
        <w:tc>
          <w:tcPr>
            <w:tcW w:w="804" w:type="dxa"/>
            <w:shd w:val="clear" w:color="auto" w:fill="FFFFFF"/>
            <w:vAlign w:val="center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6 мес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5 лет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10 лет</w:t>
            </w:r>
          </w:p>
        </w:tc>
        <w:tc>
          <w:tcPr>
            <w:tcW w:w="1203" w:type="dxa"/>
            <w:shd w:val="clear" w:color="auto" w:fill="FFFFFF"/>
            <w:vAlign w:val="center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Взрослые</w:t>
            </w:r>
          </w:p>
        </w:tc>
      </w:tr>
      <w:tr w:rsidR="00CD69DC" w:rsidRPr="00287A66">
        <w:trPr>
          <w:trHeight w:val="432"/>
        </w:trPr>
        <w:tc>
          <w:tcPr>
            <w:tcW w:w="3100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 xml:space="preserve">Средняя масса тела в кг </w:t>
            </w:r>
          </w:p>
        </w:tc>
        <w:tc>
          <w:tcPr>
            <w:tcW w:w="1539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04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08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3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203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CD69DC" w:rsidRPr="00287A66">
        <w:trPr>
          <w:trHeight w:val="173"/>
        </w:trPr>
        <w:tc>
          <w:tcPr>
            <w:tcW w:w="3100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 xml:space="preserve">10% объема крови </w:t>
            </w:r>
          </w:p>
        </w:tc>
        <w:tc>
          <w:tcPr>
            <w:tcW w:w="1539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756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804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708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993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203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CD69DC" w:rsidRPr="00287A66">
        <w:trPr>
          <w:trHeight w:val="173"/>
        </w:trPr>
        <w:tc>
          <w:tcPr>
            <w:tcW w:w="3100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 xml:space="preserve">14% объема крови </w:t>
            </w:r>
          </w:p>
        </w:tc>
        <w:tc>
          <w:tcPr>
            <w:tcW w:w="1539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756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804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708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993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323</w:t>
            </w:r>
          </w:p>
        </w:tc>
        <w:tc>
          <w:tcPr>
            <w:tcW w:w="1203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700</w:t>
            </w:r>
          </w:p>
        </w:tc>
      </w:tr>
      <w:tr w:rsidR="00CD69DC" w:rsidRPr="00287A66">
        <w:trPr>
          <w:trHeight w:val="173"/>
        </w:trPr>
        <w:tc>
          <w:tcPr>
            <w:tcW w:w="3100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 xml:space="preserve">20% объема крови </w:t>
            </w:r>
          </w:p>
        </w:tc>
        <w:tc>
          <w:tcPr>
            <w:tcW w:w="1539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756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804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708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288</w:t>
            </w:r>
          </w:p>
        </w:tc>
        <w:tc>
          <w:tcPr>
            <w:tcW w:w="993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203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CD69DC" w:rsidRPr="00287A66">
        <w:trPr>
          <w:trHeight w:val="403"/>
        </w:trPr>
        <w:tc>
          <w:tcPr>
            <w:tcW w:w="3100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 xml:space="preserve">100% объема крови </w:t>
            </w:r>
          </w:p>
        </w:tc>
        <w:tc>
          <w:tcPr>
            <w:tcW w:w="1539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756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804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526</w:t>
            </w:r>
          </w:p>
        </w:tc>
        <w:tc>
          <w:tcPr>
            <w:tcW w:w="708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1440</w:t>
            </w:r>
          </w:p>
        </w:tc>
        <w:tc>
          <w:tcPr>
            <w:tcW w:w="993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2300</w:t>
            </w:r>
          </w:p>
        </w:tc>
        <w:tc>
          <w:tcPr>
            <w:tcW w:w="1203" w:type="dxa"/>
            <w:shd w:val="clear" w:color="auto" w:fill="FFFFFF"/>
          </w:tcPr>
          <w:p w:rsidR="00CD69DC" w:rsidRPr="00287A66" w:rsidRDefault="00CD69DC" w:rsidP="00CD16B4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87A66">
              <w:rPr>
                <w:rFonts w:ascii="Times New Roman" w:hAnsi="Times New Roman" w:cs="Times New Roman"/>
                <w:color w:val="000000"/>
              </w:rPr>
              <w:t>5000</w:t>
            </w:r>
          </w:p>
        </w:tc>
      </w:tr>
    </w:tbl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Потеря крови до 10 мл/кг массы компенсируется у детей, не страдающих анемией (за исключением новорожденных и младенцев), собственными регуляторными механизмами. При потере 10—20 мг/кг массы достаточно проводить компенсацию плазмозамещающими растворами (декстран 70 и декстран 40, препараты желатина).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Кровопотеря более 20 мл/кг массы должна возмещаться кровью. Новорожденные при потере до 10 мл/кг массы получают инфузионный раствор глюкозы 100, а при больших кровопотерях — кровь. У младенцев моложе 6 мес</w:t>
      </w:r>
      <w:r w:rsidR="00CD16B4" w:rsidRPr="00287A6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 (физиологическая анемия) Кровопотеря возмещается кровью; у детей до 1 года потери до 10 мл/кг массы возмещаются декстраном, большие кровопотери — кровью.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Показанием к трансфузиям крови служит не состояние функции кровообращения, а способность к транспорту кислорода. После стабилизации кровообращения достаточно содержание гемоглобина 8—10 г/дл и гематокрит до 30%.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Гипертрофический стеноз привратника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Вследствие длительной рвоты возникают гипохлоремический и гипокалиемический алкалоз, а также обезвоживание. Алкалоз выявляется только приблизительно в 90% случаев, так как при тяжелых заболеваниях развивается обусловленный шоком ацидоз. Часто возникает гипогликемия с присущими ей клиническими симптомами или без них.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Терапия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Должна обеспечить скорейшую операцию и последующее энтеральное питание. В тяжелых случаях готовить больного к операции можно в течение 24 ч. Ребенку вводят до 100— 200 мл/кг массы инфузионного раствора инвертированного сахара 100 с добавлением 50 мэкв хлорида натрия на 1 л раствора для коррекции, а также дополнительное количество, необходимое для удовлетворения физиологической потребности. Калий вводят после восстановления диуреза (3— 5 мэкв/кг за 24 ч). При гипогликемии вводят 20 мл инфузионного раствора глюкозы 400 на 1 кг</w:t>
      </w:r>
      <w:r w:rsidR="003A38C2"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 массы тела за 24 ч. Це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ленаправленного лечения метаболического алкалоза большей частью не требуется.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Как можно скорее нужно начинать питание естественным путем (с 4-го часа после операции). Дальнейшая парентеральная терапия необходима только при не проходящей рвоте.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Дифференциальную диагностику нужно проводить с адреногенитальным синдромом, текущим с потерей солей, который клинически в этом возрасте трудно отличить от ги</w:t>
      </w:r>
      <w:r w:rsidR="005C0009" w:rsidRPr="00287A66">
        <w:rPr>
          <w:rFonts w:ascii="Times New Roman" w:hAnsi="Times New Roman" w:cs="Times New Roman"/>
          <w:color w:val="000000"/>
          <w:sz w:val="28"/>
          <w:szCs w:val="28"/>
        </w:rPr>
        <w:t>пертрофического пилоростеноза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 (обзор 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Blunck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Teller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Терапия при адреногенитальном синдроме [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Gautier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]: достаточное введение поваренной соли и воды (в 1 л раствора 70—95 мэкв натрия); внутрь до 120мэкв хлорида натрия в день младенцам; альдостерон (50— 300 мкг/день) или гидрокортизон (25 мг/день). Калий не назначается!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Отек мозга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Показана осмотерапия маннитолом или сорбитолом, которые иногда для улучшения микроциркуляции вводят в смеси с декстраном 40. Начальную дозу 1—2 г маннитола или сорбитола на 1 кг массы вводят в течение 15 мин. Для предотвращения рецидива инфузию повторяют каждые 6 ч. Важно вводить достаточное количест</w:t>
      </w:r>
      <w:r w:rsidR="00BD65BD" w:rsidRPr="00287A66">
        <w:rPr>
          <w:rFonts w:ascii="Times New Roman" w:hAnsi="Times New Roman" w:cs="Times New Roman"/>
          <w:color w:val="000000"/>
          <w:sz w:val="28"/>
          <w:szCs w:val="28"/>
        </w:rPr>
        <w:t>во глюкозы для обеспечения энер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гией поврежденного мозга. По-видимому, прогноз может улучшить введение дексаметазона в больших дозах (1 мг/кг массы каждые 6 ч).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8992" w:type="dxa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0"/>
        <w:gridCol w:w="3892"/>
      </w:tblGrid>
      <w:tr w:rsidR="00CD69DC" w:rsidRPr="009314D0" w:rsidTr="009314D0">
        <w:tc>
          <w:tcPr>
            <w:tcW w:w="5100" w:type="dxa"/>
            <w:shd w:val="clear" w:color="auto" w:fill="auto"/>
          </w:tcPr>
          <w:p w:rsidR="00CD69DC" w:rsidRPr="009314D0" w:rsidRDefault="00CD69DC" w:rsidP="009314D0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9314D0">
              <w:rPr>
                <w:rFonts w:ascii="Times New Roman" w:hAnsi="Times New Roman" w:cs="Times New Roman"/>
                <w:color w:val="000000"/>
              </w:rPr>
              <w:t>Адреногенитальный синдром</w:t>
            </w:r>
          </w:p>
        </w:tc>
        <w:tc>
          <w:tcPr>
            <w:tcW w:w="3892" w:type="dxa"/>
            <w:shd w:val="clear" w:color="auto" w:fill="auto"/>
          </w:tcPr>
          <w:p w:rsidR="00CD69DC" w:rsidRPr="009314D0" w:rsidRDefault="00CD69DC" w:rsidP="009314D0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9314D0">
              <w:rPr>
                <w:rFonts w:ascii="Times New Roman" w:hAnsi="Times New Roman" w:cs="Times New Roman"/>
                <w:color w:val="000000"/>
              </w:rPr>
              <w:t>Гипертрофический стеноз привратника</w:t>
            </w:r>
          </w:p>
        </w:tc>
      </w:tr>
      <w:tr w:rsidR="00CD69DC" w:rsidRPr="009314D0" w:rsidTr="009314D0">
        <w:tc>
          <w:tcPr>
            <w:tcW w:w="5100" w:type="dxa"/>
            <w:shd w:val="clear" w:color="auto" w:fill="auto"/>
          </w:tcPr>
          <w:p w:rsidR="00CD69DC" w:rsidRPr="009314D0" w:rsidRDefault="00CD69DC" w:rsidP="009314D0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9314D0">
              <w:rPr>
                <w:rFonts w:ascii="Times New Roman" w:hAnsi="Times New Roman" w:cs="Times New Roman"/>
                <w:color w:val="000000"/>
              </w:rPr>
              <w:t xml:space="preserve">Изменения гениталий у девочек </w:t>
            </w:r>
          </w:p>
        </w:tc>
        <w:tc>
          <w:tcPr>
            <w:tcW w:w="3892" w:type="dxa"/>
            <w:shd w:val="clear" w:color="auto" w:fill="auto"/>
          </w:tcPr>
          <w:p w:rsidR="00CD69DC" w:rsidRPr="009314D0" w:rsidRDefault="00CD69DC" w:rsidP="009314D0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9314D0">
              <w:rPr>
                <w:rFonts w:ascii="Times New Roman" w:hAnsi="Times New Roman" w:cs="Times New Roman"/>
                <w:color w:val="000000"/>
              </w:rPr>
              <w:t>Чаще всего болеют мальчики</w:t>
            </w:r>
          </w:p>
        </w:tc>
      </w:tr>
      <w:tr w:rsidR="00CD69DC" w:rsidRPr="009314D0" w:rsidTr="009314D0">
        <w:tc>
          <w:tcPr>
            <w:tcW w:w="5100" w:type="dxa"/>
            <w:shd w:val="clear" w:color="auto" w:fill="auto"/>
          </w:tcPr>
          <w:p w:rsidR="00CD69DC" w:rsidRPr="009314D0" w:rsidRDefault="00CD69DC" w:rsidP="009314D0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9314D0">
              <w:rPr>
                <w:rFonts w:ascii="Times New Roman" w:hAnsi="Times New Roman" w:cs="Times New Roman"/>
                <w:color w:val="000000"/>
              </w:rPr>
              <w:t xml:space="preserve">Нормальное или повышенное выведение хлоридов с мочой </w:t>
            </w:r>
          </w:p>
        </w:tc>
        <w:tc>
          <w:tcPr>
            <w:tcW w:w="3892" w:type="dxa"/>
            <w:shd w:val="clear" w:color="auto" w:fill="auto"/>
          </w:tcPr>
          <w:p w:rsidR="00CD69DC" w:rsidRPr="009314D0" w:rsidRDefault="00CD69DC" w:rsidP="009314D0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9314D0">
              <w:rPr>
                <w:rFonts w:ascii="Times New Roman" w:hAnsi="Times New Roman" w:cs="Times New Roman"/>
                <w:color w:val="000000"/>
              </w:rPr>
              <w:t>Концентрация хлоридов в моче понижена</w:t>
            </w:r>
          </w:p>
        </w:tc>
      </w:tr>
      <w:tr w:rsidR="00CD69DC" w:rsidRPr="009314D0" w:rsidTr="009314D0">
        <w:tc>
          <w:tcPr>
            <w:tcW w:w="5100" w:type="dxa"/>
            <w:shd w:val="clear" w:color="auto" w:fill="auto"/>
          </w:tcPr>
          <w:p w:rsidR="00CD69DC" w:rsidRPr="009314D0" w:rsidRDefault="00CD69DC" w:rsidP="009314D0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9314D0">
              <w:rPr>
                <w:rFonts w:ascii="Times New Roman" w:hAnsi="Times New Roman" w:cs="Times New Roman"/>
                <w:color w:val="000000"/>
              </w:rPr>
              <w:t xml:space="preserve">Гиперкалиемия (более 6 мэкв/л) </w:t>
            </w:r>
          </w:p>
        </w:tc>
        <w:tc>
          <w:tcPr>
            <w:tcW w:w="3892" w:type="dxa"/>
            <w:shd w:val="clear" w:color="auto" w:fill="auto"/>
          </w:tcPr>
          <w:p w:rsidR="00CD69DC" w:rsidRPr="009314D0" w:rsidRDefault="00CD69DC" w:rsidP="009314D0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9314D0">
              <w:rPr>
                <w:rFonts w:ascii="Times New Roman" w:hAnsi="Times New Roman" w:cs="Times New Roman"/>
                <w:color w:val="000000"/>
              </w:rPr>
              <w:t>Гипокалиемия</w:t>
            </w:r>
          </w:p>
        </w:tc>
      </w:tr>
      <w:tr w:rsidR="00CD69DC" w:rsidRPr="009314D0" w:rsidTr="009314D0">
        <w:tc>
          <w:tcPr>
            <w:tcW w:w="5100" w:type="dxa"/>
            <w:shd w:val="clear" w:color="auto" w:fill="auto"/>
          </w:tcPr>
          <w:p w:rsidR="00CD69DC" w:rsidRPr="009314D0" w:rsidRDefault="00CD69DC" w:rsidP="009314D0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9314D0">
              <w:rPr>
                <w:rFonts w:ascii="Times New Roman" w:hAnsi="Times New Roman" w:cs="Times New Roman"/>
                <w:color w:val="000000"/>
              </w:rPr>
              <w:t xml:space="preserve">Отсутствие дефицита калия </w:t>
            </w:r>
          </w:p>
        </w:tc>
        <w:tc>
          <w:tcPr>
            <w:tcW w:w="3892" w:type="dxa"/>
            <w:shd w:val="clear" w:color="auto" w:fill="auto"/>
          </w:tcPr>
          <w:p w:rsidR="00CD69DC" w:rsidRPr="009314D0" w:rsidRDefault="00CD69DC" w:rsidP="009314D0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9314D0">
              <w:rPr>
                <w:rFonts w:ascii="Times New Roman" w:hAnsi="Times New Roman" w:cs="Times New Roman"/>
                <w:color w:val="000000"/>
              </w:rPr>
              <w:t>Дефицит калия</w:t>
            </w:r>
          </w:p>
        </w:tc>
      </w:tr>
      <w:tr w:rsidR="00CD69DC" w:rsidRPr="009314D0" w:rsidTr="009314D0">
        <w:tc>
          <w:tcPr>
            <w:tcW w:w="5100" w:type="dxa"/>
            <w:shd w:val="clear" w:color="auto" w:fill="auto"/>
          </w:tcPr>
          <w:p w:rsidR="00CD69DC" w:rsidRPr="009314D0" w:rsidRDefault="00CD69DC" w:rsidP="009314D0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9314D0">
              <w:rPr>
                <w:rFonts w:ascii="Times New Roman" w:hAnsi="Times New Roman" w:cs="Times New Roman"/>
                <w:color w:val="000000"/>
              </w:rPr>
              <w:t>Гипонатриемия</w:t>
            </w:r>
          </w:p>
        </w:tc>
        <w:tc>
          <w:tcPr>
            <w:tcW w:w="3892" w:type="dxa"/>
            <w:shd w:val="clear" w:color="auto" w:fill="auto"/>
          </w:tcPr>
          <w:p w:rsidR="00CD69DC" w:rsidRPr="009314D0" w:rsidRDefault="00CD69DC" w:rsidP="009314D0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9314D0">
              <w:rPr>
                <w:rFonts w:ascii="Times New Roman" w:hAnsi="Times New Roman" w:cs="Times New Roman"/>
                <w:color w:val="000000"/>
              </w:rPr>
              <w:t>Нормо- или гипернатриемия</w:t>
            </w:r>
          </w:p>
        </w:tc>
      </w:tr>
    </w:tbl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Перитонит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Оправдана следующая тактика: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Стабилизация кровообращения путем адекватного возмещения физиологических потерь, дополнительных потерь, коррекция нарушений, нормализация коллоидно-осмотического давления.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Необходимо помнить: при инфузионной терапии нельзя вводить избыточного количества жидкости, иначе возникает угроза отека мозга и легких, а также повышение интестинальной секреции с усилением паралича кишечника. Нужно давать такое количество воды, которое требуется для нормальной функции системы кровообращения и почек.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Стимуляция диуреза посредством стабилизации кровообращения и введения растворов сорбитола 100/200.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Полная компенсация потери и дефицита электролитов (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Lindenschmidt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), особенно калия.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Диагностика и соответствующая компенсация грубых нарушений кислотно-щелочного состояния.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Борьба с отеком кишечной стенки и улучшение микроциркуляции при помощи инфузионного раствора сорбитола 200 (2 г/кг, иногда 2 раза в день) совместно с низкомолекулярным декстраном (10 мл/кг).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Введение гепарина в дозе 400 ЕД/кг массы в день внутривенно в виде длительных капельных инфузий. Успешность терапии распознается по повышению количества тромбоцитов.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— Антибиотикотерапия </w:t>
      </w:r>
      <w:r w:rsidR="00BD65BD" w:rsidRPr="00287A66">
        <w:rPr>
          <w:rFonts w:ascii="Times New Roman" w:hAnsi="Times New Roman" w:cs="Times New Roman"/>
          <w:color w:val="000000"/>
          <w:sz w:val="28"/>
          <w:szCs w:val="28"/>
        </w:rPr>
        <w:t>начинается вначале с препаратов</w:t>
      </w:r>
      <w:r w:rsidR="00E104A6"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широкого спектра, а позднее проводится в </w:t>
      </w:r>
      <w:r w:rsidR="00BD65BD" w:rsidRPr="00287A66">
        <w:rPr>
          <w:rFonts w:ascii="Times New Roman" w:hAnsi="Times New Roman" w:cs="Times New Roman"/>
          <w:color w:val="000000"/>
          <w:sz w:val="28"/>
          <w:szCs w:val="28"/>
        </w:rPr>
        <w:t>соответствии с ан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тибиотикограммой в оптимальной дозировке и комбинации.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-у-Глобулин человеческий (5 г/дл) можно вводить в дозе 0,5—1 мл/кг в день внутримышечно или внутривенно.</w:t>
      </w:r>
    </w:p>
    <w:p w:rsidR="00852C5F" w:rsidRPr="00287A66" w:rsidRDefault="00852C5F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Септический шок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Оправданы следующие принципы лечения (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Schippan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>):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Ликвидация очага инфекции: перитонеальный лаваж, дренаж плевры, вскрытие абсцесса и т. д.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Применение антибиотиков в больших дозах.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Гепарин: 400 ЕД/кг у хирургических больных, до 600 ЕД/кг у детей без потенциальных очагов кровотечения в виде длительных инфузий дробно в течение суток.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Стрептокиназа: 10000 ИЕ/кг массы за 30 мин, иногда повторное введение через 30 мин; дальнейшая терапия проводится под контролем свертывающей системы. При операциях и травмах из-за опасности смертельных кровотечений не применяется!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Глюкокортикоиды: однократное назначение преднизолона 30 мг/кг массы тела; иногда через 6 ч введение повторяют.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Осмо-онкотерапия: применение низкомолекулярных растворов декстрана и сорбитола 400 для улучшения микроциркуляции и диуреза.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Дигитализация.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Введение глюкозы как быстро реализуемого донатора энергии.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Борьба с гипертермией до нормализации температуры тела.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— В случае необходимости применение управляемого дыхания.</w:t>
      </w:r>
    </w:p>
    <w:p w:rsidR="00CD69DC" w:rsidRPr="00287A66" w:rsidRDefault="00CD69DC" w:rsidP="00CD16B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Ни в коем случае не назначать блокаторов протеиназ, так как блокируется присущий организму протеинолиз!</w:t>
      </w:r>
    </w:p>
    <w:p w:rsidR="00CD16B4" w:rsidRPr="00287A66" w:rsidRDefault="00CD16B4" w:rsidP="00CD16B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16B4" w:rsidRPr="00287A66" w:rsidRDefault="00CD16B4" w:rsidP="00CD16B4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287A66">
        <w:rPr>
          <w:rFonts w:ascii="Times New Roman" w:hAnsi="Times New Roman" w:cs="Times New Roman"/>
        </w:rPr>
        <w:br w:type="page"/>
      </w:r>
      <w:r w:rsidRPr="00287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Литература</w:t>
      </w:r>
    </w:p>
    <w:p w:rsidR="00CD16B4" w:rsidRPr="00287A66" w:rsidRDefault="00CD16B4" w:rsidP="00CD16B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D16B4" w:rsidRPr="00287A66" w:rsidRDefault="00CD16B4" w:rsidP="00CD16B4">
      <w:pPr>
        <w:widowControl/>
        <w:numPr>
          <w:ilvl w:val="0"/>
          <w:numId w:val="11"/>
        </w:numPr>
        <w:tabs>
          <w:tab w:val="num" w:pos="36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>«Неотложная медицинская помощь», под ред. Дж.Э. Тинтиналли, Рл. Кроума, Э. Руиза, Перевод с английского д-ра мед. наук В.И. Кандрора, д.м.н. М.В.Неверовой, д-ра мед. наук А.В. Сучкова, к.м.н. А.В. Низового, Ю.Л. Амченкова; под ред. Д.м.н. В.Т. Ивашкина, Д.М.Н. П.Г. Брюсова; Москва «Медицина» 2001</w:t>
      </w:r>
    </w:p>
    <w:p w:rsidR="00CD69DC" w:rsidRPr="00287A66" w:rsidRDefault="00CD16B4" w:rsidP="00CD16B4">
      <w:pPr>
        <w:widowControl/>
        <w:numPr>
          <w:ilvl w:val="0"/>
          <w:numId w:val="11"/>
        </w:numPr>
        <w:tabs>
          <w:tab w:val="num" w:pos="360"/>
        </w:tabs>
        <w:spacing w:line="360" w:lineRule="auto"/>
        <w:ind w:left="0" w:firstLine="0"/>
        <w:rPr>
          <w:rFonts w:ascii="Times New Roman" w:hAnsi="Times New Roman" w:cs="Times New Roman"/>
        </w:rPr>
      </w:pP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Интенсивная терапия. Реанимация. Первая помощь: Учебное пособие / Под ред. В.Д. Малышева. — М.: Медицина.— 2000.— 464 с.: ил.— Учеб. лит. Для слушателей системы последипломного образования.— </w:t>
      </w:r>
      <w:r w:rsidRPr="00287A66">
        <w:rPr>
          <w:rFonts w:ascii="Times New Roman" w:hAnsi="Times New Roman" w:cs="Times New Roman"/>
          <w:color w:val="000000"/>
          <w:sz w:val="28"/>
          <w:szCs w:val="28"/>
          <w:lang w:val="en-US"/>
        </w:rPr>
        <w:t>ISBN</w:t>
      </w:r>
      <w:r w:rsidRPr="00287A66">
        <w:rPr>
          <w:rFonts w:ascii="Times New Roman" w:hAnsi="Times New Roman" w:cs="Times New Roman"/>
          <w:color w:val="000000"/>
          <w:sz w:val="28"/>
          <w:szCs w:val="28"/>
        </w:rPr>
        <w:t xml:space="preserve"> 5-225-04560-Х</w:t>
      </w:r>
      <w:bookmarkStart w:id="0" w:name="_GoBack"/>
      <w:bookmarkEnd w:id="0"/>
    </w:p>
    <w:sectPr w:rsidR="00CD69DC" w:rsidRPr="00287A66" w:rsidSect="00CD16B4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4D0" w:rsidRDefault="009314D0">
      <w:r>
        <w:separator/>
      </w:r>
    </w:p>
  </w:endnote>
  <w:endnote w:type="continuationSeparator" w:id="0">
    <w:p w:rsidR="009314D0" w:rsidRDefault="00931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8C2" w:rsidRDefault="003F3C37" w:rsidP="001245F4">
    <w:pPr>
      <w:pStyle w:val="a4"/>
      <w:framePr w:wrap="auto" w:vAnchor="text" w:hAnchor="margin" w:xAlign="right" w:y="1"/>
      <w:rPr>
        <w:rStyle w:val="a6"/>
        <w:rFonts w:cs="Arial"/>
      </w:rPr>
    </w:pPr>
    <w:r>
      <w:rPr>
        <w:rStyle w:val="a6"/>
        <w:rFonts w:cs="Arial"/>
        <w:noProof/>
      </w:rPr>
      <w:t>2</w:t>
    </w:r>
  </w:p>
  <w:p w:rsidR="003A38C2" w:rsidRDefault="003A38C2" w:rsidP="00F30B6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4D0" w:rsidRDefault="009314D0">
      <w:r>
        <w:separator/>
      </w:r>
    </w:p>
  </w:footnote>
  <w:footnote w:type="continuationSeparator" w:id="0">
    <w:p w:rsidR="009314D0" w:rsidRDefault="00931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00955"/>
    <w:multiLevelType w:val="hybridMultilevel"/>
    <w:tmpl w:val="4F2E3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F74B9A"/>
    <w:multiLevelType w:val="hybridMultilevel"/>
    <w:tmpl w:val="8B0E3720"/>
    <w:lvl w:ilvl="0" w:tplc="04D485F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2" w:tplc="3E50F7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  <w:sz w:val="32"/>
        <w:szCs w:val="3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2F5159"/>
    <w:multiLevelType w:val="hybridMultilevel"/>
    <w:tmpl w:val="2DA22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611049"/>
    <w:multiLevelType w:val="hybridMultilevel"/>
    <w:tmpl w:val="D1E266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FE73BC"/>
    <w:multiLevelType w:val="hybridMultilevel"/>
    <w:tmpl w:val="738AD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741AAD"/>
    <w:multiLevelType w:val="hybridMultilevel"/>
    <w:tmpl w:val="1CCAB6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644FDD"/>
    <w:multiLevelType w:val="hybridMultilevel"/>
    <w:tmpl w:val="2E3E7204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9C61F2A"/>
    <w:multiLevelType w:val="hybridMultilevel"/>
    <w:tmpl w:val="B128FA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6C1DF9"/>
    <w:multiLevelType w:val="hybridMultilevel"/>
    <w:tmpl w:val="3BB86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90018C"/>
    <w:multiLevelType w:val="hybridMultilevel"/>
    <w:tmpl w:val="FF1C6DB4"/>
    <w:lvl w:ilvl="0" w:tplc="04D485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A8D633B"/>
    <w:multiLevelType w:val="hybridMultilevel"/>
    <w:tmpl w:val="14380EA6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6A9D676D"/>
    <w:multiLevelType w:val="hybridMultilevel"/>
    <w:tmpl w:val="3850C6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DE2978"/>
    <w:multiLevelType w:val="hybridMultilevel"/>
    <w:tmpl w:val="1C8A5A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8"/>
  </w:num>
  <w:num w:numId="9">
    <w:abstractNumId w:val="1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69DC"/>
    <w:rsid w:val="001245F4"/>
    <w:rsid w:val="00184166"/>
    <w:rsid w:val="00186050"/>
    <w:rsid w:val="001C58CF"/>
    <w:rsid w:val="00287A66"/>
    <w:rsid w:val="00377C47"/>
    <w:rsid w:val="003A38C2"/>
    <w:rsid w:val="003F3C37"/>
    <w:rsid w:val="005C0009"/>
    <w:rsid w:val="00611E83"/>
    <w:rsid w:val="006653EF"/>
    <w:rsid w:val="00683387"/>
    <w:rsid w:val="007B235C"/>
    <w:rsid w:val="00852C5F"/>
    <w:rsid w:val="009314D0"/>
    <w:rsid w:val="00A01496"/>
    <w:rsid w:val="00A85D4C"/>
    <w:rsid w:val="00BD65BD"/>
    <w:rsid w:val="00C64202"/>
    <w:rsid w:val="00CD16B4"/>
    <w:rsid w:val="00CD69DC"/>
    <w:rsid w:val="00CF24CA"/>
    <w:rsid w:val="00E104A6"/>
    <w:rsid w:val="00F3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A3D116A-9CAA-45BC-8C70-3A9176B4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9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683387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83387"/>
    <w:pPr>
      <w:keepNext/>
      <w:widowControl/>
      <w:autoSpaceDE/>
      <w:autoSpaceDN/>
      <w:adjustRightInd/>
      <w:ind w:left="1080" w:hanging="54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CD69DC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30B6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ascii="Arial" w:hAnsi="Arial" w:cs="Arial"/>
      <w:sz w:val="20"/>
      <w:szCs w:val="20"/>
    </w:rPr>
  </w:style>
  <w:style w:type="character" w:styleId="a6">
    <w:name w:val="page number"/>
    <w:uiPriority w:val="99"/>
    <w:rsid w:val="00F30B64"/>
    <w:rPr>
      <w:rFonts w:cs="Times New Roman"/>
    </w:rPr>
  </w:style>
  <w:style w:type="paragraph" w:styleId="a7">
    <w:name w:val="Normal (Web)"/>
    <w:basedOn w:val="a"/>
    <w:uiPriority w:val="99"/>
    <w:rsid w:val="00683387"/>
    <w:pPr>
      <w:widowControl/>
      <w:autoSpaceDE/>
      <w:autoSpaceDN/>
      <w:adjustRightInd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37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2505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Дом</Company>
  <LinksUpToDate>false</LinksUpToDate>
  <CharactersWithSpaces>16751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Юля</dc:creator>
  <cp:keywords/>
  <dc:description/>
  <cp:lastModifiedBy>admin</cp:lastModifiedBy>
  <cp:revision>2</cp:revision>
  <dcterms:created xsi:type="dcterms:W3CDTF">2014-02-25T10:16:00Z</dcterms:created>
  <dcterms:modified xsi:type="dcterms:W3CDTF">2014-02-25T10:16:00Z</dcterms:modified>
</cp:coreProperties>
</file>