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3F4" w:rsidRPr="00132A6C" w:rsidRDefault="001A23F4" w:rsidP="00132A6C">
      <w:pPr>
        <w:pStyle w:val="Style1"/>
        <w:widowControl/>
        <w:spacing w:line="360" w:lineRule="auto"/>
        <w:ind w:firstLine="720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1A23F4" w:rsidRPr="00132A6C" w:rsidRDefault="001A23F4" w:rsidP="00132A6C">
      <w:pPr>
        <w:pStyle w:val="Style1"/>
        <w:widowControl/>
        <w:spacing w:line="360" w:lineRule="auto"/>
        <w:ind w:firstLine="720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1A23F4" w:rsidRPr="00132A6C" w:rsidRDefault="001A23F4" w:rsidP="00132A6C">
      <w:pPr>
        <w:pStyle w:val="Style1"/>
        <w:widowControl/>
        <w:spacing w:line="360" w:lineRule="auto"/>
        <w:ind w:firstLine="720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1A23F4" w:rsidRPr="00132A6C" w:rsidRDefault="001A23F4" w:rsidP="00132A6C">
      <w:pPr>
        <w:pStyle w:val="Style1"/>
        <w:widowControl/>
        <w:spacing w:line="360" w:lineRule="auto"/>
        <w:ind w:firstLine="720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1A23F4" w:rsidRPr="00132A6C" w:rsidRDefault="001A23F4" w:rsidP="00132A6C">
      <w:pPr>
        <w:pStyle w:val="Style1"/>
        <w:widowControl/>
        <w:spacing w:line="360" w:lineRule="auto"/>
        <w:ind w:firstLine="720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1A23F4" w:rsidRPr="00132A6C" w:rsidRDefault="001A23F4" w:rsidP="00132A6C">
      <w:pPr>
        <w:pStyle w:val="Style1"/>
        <w:widowControl/>
        <w:spacing w:line="360" w:lineRule="auto"/>
        <w:ind w:firstLine="720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1A23F4" w:rsidRPr="00132A6C" w:rsidRDefault="001A23F4" w:rsidP="00132A6C">
      <w:pPr>
        <w:pStyle w:val="Style1"/>
        <w:widowControl/>
        <w:spacing w:line="360" w:lineRule="auto"/>
        <w:ind w:firstLine="720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1A23F4" w:rsidRPr="00132A6C" w:rsidRDefault="001A23F4" w:rsidP="00132A6C">
      <w:pPr>
        <w:pStyle w:val="Style1"/>
        <w:widowControl/>
        <w:spacing w:line="360" w:lineRule="auto"/>
        <w:ind w:firstLine="720"/>
        <w:jc w:val="both"/>
        <w:rPr>
          <w:rStyle w:val="FontStyle11"/>
          <w:rFonts w:ascii="Times New Roman" w:hAnsi="Times New Roman" w:cs="Times New Roman"/>
          <w:sz w:val="28"/>
          <w:szCs w:val="28"/>
        </w:rPr>
      </w:pPr>
    </w:p>
    <w:p w:rsidR="001A23F4" w:rsidRDefault="001A23F4" w:rsidP="00132A6C">
      <w:pPr>
        <w:pStyle w:val="Style1"/>
        <w:widowControl/>
        <w:spacing w:line="360" w:lineRule="auto"/>
        <w:ind w:firstLine="720"/>
        <w:jc w:val="both"/>
        <w:rPr>
          <w:rStyle w:val="FontStyle11"/>
          <w:rFonts w:ascii="Times New Roman" w:hAnsi="Times New Roman" w:cs="Times New Roman"/>
          <w:sz w:val="28"/>
          <w:szCs w:val="28"/>
          <w:lang w:val="en-US"/>
        </w:rPr>
      </w:pPr>
    </w:p>
    <w:p w:rsidR="00132A6C" w:rsidRDefault="00132A6C" w:rsidP="00132A6C">
      <w:pPr>
        <w:pStyle w:val="Style1"/>
        <w:widowControl/>
        <w:spacing w:line="360" w:lineRule="auto"/>
        <w:ind w:firstLine="720"/>
        <w:jc w:val="both"/>
        <w:rPr>
          <w:rStyle w:val="FontStyle11"/>
          <w:rFonts w:ascii="Times New Roman" w:hAnsi="Times New Roman" w:cs="Times New Roman"/>
          <w:sz w:val="28"/>
          <w:szCs w:val="28"/>
          <w:lang w:val="en-US"/>
        </w:rPr>
      </w:pPr>
    </w:p>
    <w:p w:rsidR="00132A6C" w:rsidRPr="00132A6C" w:rsidRDefault="00132A6C" w:rsidP="00132A6C">
      <w:pPr>
        <w:pStyle w:val="Style1"/>
        <w:widowControl/>
        <w:spacing w:line="360" w:lineRule="auto"/>
        <w:ind w:firstLine="720"/>
        <w:jc w:val="both"/>
        <w:rPr>
          <w:rStyle w:val="FontStyle11"/>
          <w:rFonts w:ascii="Times New Roman" w:hAnsi="Times New Roman" w:cs="Times New Roman"/>
          <w:sz w:val="28"/>
          <w:szCs w:val="28"/>
          <w:lang w:val="en-US"/>
        </w:rPr>
      </w:pPr>
    </w:p>
    <w:p w:rsidR="0063665D" w:rsidRPr="00132A6C" w:rsidRDefault="001A23F4" w:rsidP="00132A6C">
      <w:pPr>
        <w:pStyle w:val="Style1"/>
        <w:widowControl/>
        <w:spacing w:line="360" w:lineRule="auto"/>
        <w:ind w:firstLine="720"/>
        <w:jc w:val="center"/>
        <w:rPr>
          <w:rStyle w:val="FontStyle11"/>
          <w:rFonts w:ascii="Times New Roman" w:hAnsi="Times New Roman" w:cs="Times New Roman"/>
          <w:sz w:val="28"/>
          <w:szCs w:val="28"/>
        </w:rPr>
      </w:pPr>
      <w:r w:rsidRPr="00132A6C">
        <w:rPr>
          <w:rStyle w:val="FontStyle11"/>
          <w:rFonts w:ascii="Times New Roman" w:hAnsi="Times New Roman" w:cs="Times New Roman"/>
          <w:sz w:val="28"/>
          <w:szCs w:val="28"/>
        </w:rPr>
        <w:t>Термохемилюминесцентный иммуноанализ</w:t>
      </w:r>
    </w:p>
    <w:p w:rsidR="0063665D" w:rsidRPr="00132A6C" w:rsidRDefault="007D3163" w:rsidP="00132A6C">
      <w:pPr>
        <w:pStyle w:val="Style2"/>
        <w:widowControl/>
        <w:spacing w:line="360" w:lineRule="auto"/>
        <w:ind w:firstLine="720"/>
        <w:jc w:val="center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br w:type="page"/>
      </w:r>
      <w:r w:rsidRPr="00132A6C">
        <w:rPr>
          <w:rStyle w:val="FontStyle16"/>
          <w:b/>
          <w:spacing w:val="0"/>
          <w:sz w:val="28"/>
          <w:szCs w:val="28"/>
        </w:rPr>
        <w:t>Введение</w:t>
      </w:r>
    </w:p>
    <w:p w:rsidR="007D3163" w:rsidRPr="00132A6C" w:rsidRDefault="007D3163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</w:p>
    <w:p w:rsidR="0063665D" w:rsidRPr="00132A6C" w:rsidRDefault="0063665D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>Люминесценцией называют излучение света в ходе какого-либо процесса. В зависимости от индуцирующего люминесценцию источника энергии ее можно подразделить на физическую люминесценцию и хемилюминесценцию</w:t>
      </w:r>
      <w:r w:rsidR="001A23F4" w:rsidRPr="00132A6C">
        <w:rPr>
          <w:rStyle w:val="FontStyle16"/>
          <w:spacing w:val="0"/>
          <w:sz w:val="28"/>
          <w:szCs w:val="28"/>
        </w:rPr>
        <w:t>.</w:t>
      </w:r>
      <w:r w:rsidRPr="00132A6C">
        <w:rPr>
          <w:rStyle w:val="FontStyle16"/>
          <w:spacing w:val="0"/>
          <w:sz w:val="28"/>
          <w:szCs w:val="28"/>
        </w:rPr>
        <w:t xml:space="preserve"> Физическая люминесценция включает флуоресценцию и фосфоресценцию. В этом случае люминесценция происходит после поглощения световой энергии. Хемилюминесценцией обычно называют излучение света в результате химической реакции. Харви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ввел дополнительное ограничение - "при обычной температуре". Позже Селиджер и Макэлрой</w:t>
      </w:r>
      <w:r w:rsidR="001A23F4" w:rsidRPr="00132A6C">
        <w:rPr>
          <w:rStyle w:val="FontStyle16"/>
          <w:spacing w:val="0"/>
          <w:sz w:val="28"/>
          <w:szCs w:val="28"/>
        </w:rPr>
        <w:t>.</w:t>
      </w:r>
      <w:r w:rsidRPr="00132A6C">
        <w:rPr>
          <w:rStyle w:val="FontStyle16"/>
          <w:spacing w:val="0"/>
          <w:sz w:val="28"/>
          <w:szCs w:val="28"/>
        </w:rPr>
        <w:t xml:space="preserve"> Схема реакций представлена на рис. 1.</w:t>
      </w:r>
    </w:p>
    <w:p w:rsidR="0063665D" w:rsidRPr="00132A6C" w:rsidRDefault="0063665D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>Люцигенин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испускает сине-зеленый свет в присутствии пероксида водорода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в щелочной среде</w:t>
      </w:r>
      <w:r w:rsidR="001A23F4" w:rsidRPr="00132A6C">
        <w:rPr>
          <w:rStyle w:val="FontStyle16"/>
          <w:spacing w:val="0"/>
          <w:sz w:val="28"/>
          <w:szCs w:val="28"/>
        </w:rPr>
        <w:t>.</w:t>
      </w:r>
      <w:r w:rsidRPr="00132A6C">
        <w:rPr>
          <w:rStyle w:val="FontStyle16"/>
          <w:spacing w:val="0"/>
          <w:sz w:val="28"/>
          <w:szCs w:val="28"/>
        </w:rPr>
        <w:t xml:space="preserve"> Как показано на рис. 3, многие производные щавелевой кислоты реагируют с Н</w:t>
      </w:r>
      <w:r w:rsidRPr="00132A6C">
        <w:rPr>
          <w:rStyle w:val="FontStyle16"/>
          <w:spacing w:val="0"/>
          <w:sz w:val="28"/>
          <w:szCs w:val="28"/>
          <w:vertAlign w:val="subscript"/>
        </w:rPr>
        <w:t>2</w:t>
      </w:r>
      <w:r w:rsidRPr="00132A6C">
        <w:rPr>
          <w:rStyle w:val="FontStyle16"/>
          <w:spacing w:val="0"/>
          <w:sz w:val="28"/>
          <w:szCs w:val="28"/>
        </w:rPr>
        <w:t>0</w:t>
      </w:r>
      <w:r w:rsidRPr="00132A6C">
        <w:rPr>
          <w:rStyle w:val="FontStyle16"/>
          <w:spacing w:val="0"/>
          <w:sz w:val="28"/>
          <w:szCs w:val="28"/>
          <w:vertAlign w:val="subscript"/>
        </w:rPr>
        <w:t>2</w:t>
      </w:r>
      <w:r w:rsidRPr="00132A6C">
        <w:rPr>
          <w:rStyle w:val="FontStyle16"/>
          <w:spacing w:val="0"/>
          <w:sz w:val="28"/>
          <w:szCs w:val="28"/>
        </w:rPr>
        <w:t>, давая электронно-возбужденное промежуточное соединение, которое далее может вступить в реакцию с присутствующим в реакционной смеси соединением, способным к флуоресценции. В оптимальных услови</w:t>
      </w:r>
      <w:r w:rsidR="007D3163" w:rsidRPr="00132A6C">
        <w:rPr>
          <w:rStyle w:val="FontStyle16"/>
          <w:spacing w:val="0"/>
          <w:sz w:val="28"/>
          <w:szCs w:val="28"/>
        </w:rPr>
        <w:t>ях</w:t>
      </w:r>
      <w:r w:rsidRPr="002F185B">
        <w:rPr>
          <w:rStyle w:val="FontStyle13"/>
          <w:b w:val="0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этот процесс является наиболее эффективным из неферментагивных хемилюминесцентных реакций, известных в настоящее время</w:t>
      </w:r>
      <w:r w:rsidR="001A23F4" w:rsidRPr="00132A6C">
        <w:rPr>
          <w:rStyle w:val="FontStyle16"/>
          <w:spacing w:val="0"/>
          <w:sz w:val="28"/>
          <w:szCs w:val="28"/>
        </w:rPr>
        <w:t>.</w:t>
      </w:r>
      <w:r w:rsidRPr="00132A6C">
        <w:rPr>
          <w:rStyle w:val="FontStyle16"/>
          <w:spacing w:val="0"/>
          <w:sz w:val="28"/>
          <w:szCs w:val="28"/>
        </w:rPr>
        <w:t xml:space="preserve"> Эфиры акридиния вступают в высокоэффективные окислительные хемилюминёсцентные реакции с Н</w:t>
      </w:r>
      <w:r w:rsidRPr="00132A6C">
        <w:rPr>
          <w:rStyle w:val="FontStyle16"/>
          <w:spacing w:val="0"/>
          <w:sz w:val="28"/>
          <w:szCs w:val="28"/>
          <w:vertAlign w:val="subscript"/>
        </w:rPr>
        <w:t>2</w:t>
      </w:r>
      <w:r w:rsidRPr="00132A6C">
        <w:rPr>
          <w:rStyle w:val="FontStyle16"/>
          <w:spacing w:val="0"/>
          <w:sz w:val="28"/>
          <w:szCs w:val="28"/>
        </w:rPr>
        <w:t>0</w:t>
      </w:r>
      <w:r w:rsidRPr="00132A6C">
        <w:rPr>
          <w:rStyle w:val="FontStyle16"/>
          <w:spacing w:val="0"/>
          <w:sz w:val="28"/>
          <w:szCs w:val="28"/>
          <w:vertAlign w:val="subscript"/>
        </w:rPr>
        <w:t>2</w:t>
      </w:r>
      <w:r w:rsidR="00132A6C">
        <w:rPr>
          <w:rStyle w:val="FontStyle16"/>
          <w:spacing w:val="0"/>
          <w:sz w:val="28"/>
          <w:szCs w:val="28"/>
        </w:rPr>
        <w:t>, давая акридон.</w:t>
      </w:r>
    </w:p>
    <w:p w:rsidR="00132A6C" w:rsidRPr="00132A6C" w:rsidRDefault="00132A6C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</w:p>
    <w:p w:rsidR="0063665D" w:rsidRDefault="00C65BCA" w:rsidP="00132A6C">
      <w:pPr>
        <w:widowControl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7.25pt;height:123.75pt">
            <v:imagedata r:id="rId7" o:title=""/>
          </v:shape>
        </w:pict>
      </w:r>
    </w:p>
    <w:p w:rsidR="0063665D" w:rsidRPr="00132A6C" w:rsidRDefault="00A06EE4" w:rsidP="00132A6C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C65BCA">
        <w:rPr>
          <w:sz w:val="28"/>
          <w:szCs w:val="28"/>
        </w:rPr>
        <w:pict>
          <v:shape id="_x0000_i1026" type="#_x0000_t75" style="width:315.75pt;height:225pt">
            <v:imagedata r:id="rId8" o:title=""/>
          </v:shape>
        </w:pict>
      </w:r>
    </w:p>
    <w:p w:rsidR="00132A6C" w:rsidRDefault="00132A6C" w:rsidP="00132A6C">
      <w:pPr>
        <w:pStyle w:val="Style3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</w:p>
    <w:p w:rsidR="0063665D" w:rsidRPr="00132A6C" w:rsidRDefault="0063665D" w:rsidP="00132A6C">
      <w:pPr>
        <w:pStyle w:val="Style3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>В известной степени эта реакция подобна биолюминесцентной системе люциферин-люцифераза у светляков. Вместе с хемилюминесцентным окислением люминола и близких производных тидразида фталевой кислоты перечисленные реакции широко использовались в хемилюминесцентных аналитических методиках. Во всех указанных реакциях образуется промежуточное соединение одного типа, а именно замещенный четырехчленный 1,2-диоксетан. Диссоциация этого ключевого интермедиа-та приводит к электронно-возбужденным карбонильным соединениям. Следовательно, во всех перечисленных хемилюминесцентных реакциях образуется очень лабильный 1,2-диоксетан, способный диссоциировать, давая люминесцирующее соединение.</w:t>
      </w:r>
    </w:p>
    <w:p w:rsidR="00A06EE4" w:rsidRDefault="0063665D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  <w:lang w:val="en-US"/>
        </w:rPr>
      </w:pPr>
      <w:r w:rsidRPr="00132A6C">
        <w:rPr>
          <w:rStyle w:val="FontStyle16"/>
          <w:spacing w:val="0"/>
          <w:sz w:val="28"/>
          <w:szCs w:val="28"/>
        </w:rPr>
        <w:t xml:space="preserve">За период с </w:t>
      </w:r>
      <w:smartTag w:uri="urn:schemas-microsoft-com:office:smarttags" w:element="metricconverter">
        <w:smartTagPr>
          <w:attr w:name="ProductID" w:val="1968 г"/>
        </w:smartTagPr>
        <w:r w:rsidRPr="00132A6C">
          <w:rPr>
            <w:rStyle w:val="FontStyle16"/>
            <w:spacing w:val="0"/>
            <w:sz w:val="28"/>
            <w:szCs w:val="28"/>
          </w:rPr>
          <w:t>1968 г</w:t>
        </w:r>
      </w:smartTag>
      <w:r w:rsidRPr="00132A6C">
        <w:rPr>
          <w:rStyle w:val="FontStyle16"/>
          <w:spacing w:val="0"/>
          <w:sz w:val="28"/>
          <w:szCs w:val="28"/>
        </w:rPr>
        <w:t>., когда был синтезирован триметил-1,2-диоксетая</w:t>
      </w:r>
      <w:r w:rsidR="001A23F4" w:rsidRPr="00132A6C">
        <w:rPr>
          <w:rStyle w:val="FontStyle16"/>
          <w:spacing w:val="0"/>
          <w:sz w:val="28"/>
          <w:szCs w:val="28"/>
        </w:rPr>
        <w:t>,</w:t>
      </w:r>
      <w:r w:rsidRPr="00132A6C">
        <w:rPr>
          <w:rStyle w:val="FontStyle16"/>
          <w:spacing w:val="0"/>
          <w:sz w:val="28"/>
          <w:szCs w:val="28"/>
        </w:rPr>
        <w:t xml:space="preserve"> получено более 200 различных хемилюминесцентных 1,2-диоксетанов. Однако эти соединения не привлекли внимания специалистов в области иммуноанализа. Сейчас известно по крайней мере 10 различных методов синтеза 1,2-диоксетанов. Заместителями в этих соединениях могут быть алкильные, арильные, спироалкильные, спироарильные, алкоксильные, арилоксильные, алкиламинные, тиоалкильные и тиоарильные группы. Опубликован ряд обзоров, посвященных 1,2-диоксетанам</w:t>
      </w:r>
      <w:r w:rsidR="001A23F4" w:rsidRPr="00132A6C">
        <w:rPr>
          <w:rStyle w:val="FontStyle16"/>
          <w:spacing w:val="0"/>
          <w:sz w:val="28"/>
          <w:szCs w:val="28"/>
        </w:rPr>
        <w:t>.</w:t>
      </w:r>
    </w:p>
    <w:p w:rsidR="0063665D" w:rsidRPr="00132A6C" w:rsidRDefault="00A06EE4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 xml:space="preserve">В этих обзорах </w:t>
      </w:r>
      <w:r w:rsidR="0063665D" w:rsidRPr="00132A6C">
        <w:rPr>
          <w:rStyle w:val="FontStyle16"/>
          <w:spacing w:val="0"/>
          <w:sz w:val="28"/>
          <w:szCs w:val="28"/>
        </w:rPr>
        <w:t>рассмотрены методы синтеза 1,2-диоксетанов, а также свойства этих соединений</w:t>
      </w:r>
      <w:r w:rsidR="001A23F4" w:rsidRPr="00132A6C">
        <w:rPr>
          <w:rStyle w:val="FontStyle16"/>
          <w:spacing w:val="0"/>
          <w:sz w:val="28"/>
          <w:szCs w:val="28"/>
        </w:rPr>
        <w:t>.</w:t>
      </w:r>
      <w:r w:rsidR="00132A6C">
        <w:rPr>
          <w:rStyle w:val="FontStyle16"/>
          <w:spacing w:val="0"/>
          <w:sz w:val="28"/>
          <w:szCs w:val="28"/>
        </w:rPr>
        <w:t xml:space="preserve"> </w:t>
      </w:r>
      <w:r w:rsidR="0063665D" w:rsidRPr="00132A6C">
        <w:rPr>
          <w:rStyle w:val="FontStyle16"/>
          <w:spacing w:val="0"/>
          <w:sz w:val="28"/>
          <w:szCs w:val="28"/>
        </w:rPr>
        <w:t>1,2-Диоксетаны термически распадаются на два карбонильных соединения, одно из которых может быть в первом синглетном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="0063665D" w:rsidRPr="00132A6C">
        <w:rPr>
          <w:rStyle w:val="FontStyle16"/>
          <w:spacing w:val="0"/>
          <w:sz w:val="28"/>
          <w:szCs w:val="28"/>
        </w:rPr>
        <w:t>или триплетном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="0063665D" w:rsidRPr="00132A6C">
        <w:rPr>
          <w:rStyle w:val="FontStyle16"/>
          <w:spacing w:val="0"/>
          <w:sz w:val="28"/>
          <w:szCs w:val="28"/>
        </w:rPr>
        <w:t xml:space="preserve">электронно-возбужденном состоянии. Как показано на рис. 5, возбужденное соединение может </w:t>
      </w:r>
      <w:r w:rsidRPr="00132A6C">
        <w:rPr>
          <w:rStyle w:val="FontStyle16"/>
          <w:spacing w:val="0"/>
          <w:sz w:val="28"/>
          <w:szCs w:val="28"/>
        </w:rPr>
        <w:t>испускать</w:t>
      </w:r>
      <w:r w:rsidR="0063665D" w:rsidRPr="00132A6C">
        <w:rPr>
          <w:rStyle w:val="FontStyle16"/>
          <w:spacing w:val="0"/>
          <w:sz w:val="28"/>
          <w:szCs w:val="28"/>
        </w:rPr>
        <w:t xml:space="preserve"> свет при переходе в основное состояние или непосредственно</w:t>
      </w:r>
      <w:r w:rsidR="001A23F4" w:rsidRPr="00132A6C">
        <w:rPr>
          <w:rStyle w:val="FontStyle16"/>
          <w:spacing w:val="0"/>
          <w:sz w:val="28"/>
          <w:szCs w:val="28"/>
        </w:rPr>
        <w:t>,</w:t>
      </w:r>
      <w:r w:rsidR="0063665D" w:rsidRPr="00132A6C">
        <w:rPr>
          <w:rStyle w:val="FontStyle16"/>
          <w:spacing w:val="0"/>
          <w:sz w:val="28"/>
          <w:szCs w:val="28"/>
        </w:rPr>
        <w:t xml:space="preserve"> или путем переноса энергии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="0063665D" w:rsidRPr="00132A6C">
        <w:rPr>
          <w:rStyle w:val="FontStyle16"/>
          <w:spacing w:val="0"/>
          <w:sz w:val="28"/>
          <w:szCs w:val="28"/>
        </w:rPr>
        <w:t>к акцепторной люминесцирующей молекуле А</w:t>
      </w:r>
      <w:r w:rsidR="001A23F4" w:rsidRPr="00132A6C">
        <w:rPr>
          <w:rStyle w:val="FontStyle16"/>
          <w:spacing w:val="0"/>
          <w:sz w:val="28"/>
          <w:szCs w:val="28"/>
        </w:rPr>
        <w:t>.</w:t>
      </w:r>
    </w:p>
    <w:p w:rsidR="0063665D" w:rsidRPr="00132A6C" w:rsidRDefault="0063665D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>Прямая хемилюминесценция 1,2-диоксетанов обычно очень слаба по сравнению с хемилюминесценцией таких соединений, как люминол. Это связано с тем,</w:t>
      </w:r>
      <w:r w:rsidR="00A06EE4" w:rsidRPr="00A06EE4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что большинство кетонов, эфиров и альдегидов, являющихся продуктами диссоциации 1,2-диоксетанов, имеют низкую эффективность флуоресценции.</w:t>
      </w:r>
    </w:p>
    <w:p w:rsidR="00A06EE4" w:rsidRPr="00A06EE4" w:rsidRDefault="0063665D" w:rsidP="00A06EE4">
      <w:pPr>
        <w:pStyle w:val="Style3"/>
        <w:widowControl/>
        <w:spacing w:line="360" w:lineRule="auto"/>
        <w:ind w:firstLine="720"/>
        <w:rPr>
          <w:rStyle w:val="FontStyle16"/>
          <w:spacing w:val="0"/>
          <w:sz w:val="28"/>
          <w:szCs w:val="28"/>
          <w:lang w:val="en-US"/>
        </w:rPr>
      </w:pPr>
      <w:r w:rsidRPr="00132A6C">
        <w:rPr>
          <w:rStyle w:val="FontStyle16"/>
          <w:spacing w:val="0"/>
          <w:sz w:val="28"/>
          <w:szCs w:val="28"/>
        </w:rPr>
        <w:t xml:space="preserve">Энергия активации термического распада большинства 1,2-диоксетанов равна 20-26 ккал/моль. Это означает, что все такие соединения разлагаются в течение нескольких минут или самое большое нескольких недель при комнатной температуре. Поэтому такие соединения не могут выполнять роль хемилюминесцентных меток в аналитических методах </w:t>
      </w:r>
      <w:r w:rsidRPr="00132A6C">
        <w:rPr>
          <w:rStyle w:val="FontStyle14"/>
          <w:spacing w:val="0"/>
          <w:sz w:val="28"/>
          <w:szCs w:val="28"/>
          <w:lang w:val="en-US"/>
        </w:rPr>
        <w:t>in</w:t>
      </w:r>
      <w:r w:rsidRPr="00132A6C">
        <w:rPr>
          <w:rStyle w:val="FontStyle14"/>
          <w:spacing w:val="0"/>
          <w:sz w:val="28"/>
          <w:szCs w:val="28"/>
        </w:rPr>
        <w:t xml:space="preserve"> </w:t>
      </w:r>
      <w:r w:rsidRPr="00132A6C">
        <w:rPr>
          <w:rStyle w:val="FontStyle14"/>
          <w:spacing w:val="0"/>
          <w:sz w:val="28"/>
          <w:szCs w:val="28"/>
          <w:lang w:val="en-US"/>
        </w:rPr>
        <w:t>vitro</w:t>
      </w:r>
      <w:r w:rsidRPr="00132A6C">
        <w:rPr>
          <w:rStyle w:val="FontStyle14"/>
          <w:spacing w:val="0"/>
          <w:sz w:val="28"/>
          <w:szCs w:val="28"/>
        </w:rPr>
        <w:t xml:space="preserve">. </w:t>
      </w:r>
      <w:r w:rsidRPr="00132A6C">
        <w:rPr>
          <w:rStyle w:val="FontStyle16"/>
          <w:spacing w:val="0"/>
          <w:sz w:val="28"/>
          <w:szCs w:val="28"/>
        </w:rPr>
        <w:t xml:space="preserve">В нашей лаборатории в </w:t>
      </w:r>
      <w:smartTag w:uri="urn:schemas-microsoft-com:office:smarttags" w:element="metricconverter">
        <w:smartTagPr>
          <w:attr w:name="ProductID" w:val="1972 г"/>
        </w:smartTagPr>
        <w:r w:rsidRPr="00132A6C">
          <w:rPr>
            <w:rStyle w:val="FontStyle16"/>
            <w:spacing w:val="0"/>
            <w:sz w:val="28"/>
            <w:szCs w:val="28"/>
          </w:rPr>
          <w:t>1972 г</w:t>
        </w:r>
      </w:smartTag>
      <w:r w:rsidRPr="00132A6C">
        <w:rPr>
          <w:rStyle w:val="FontStyle16"/>
          <w:spacing w:val="0"/>
          <w:sz w:val="28"/>
          <w:szCs w:val="28"/>
        </w:rPr>
        <w:t>. был синтезирован чрезвычайно стабильный 1,2-диоксетан, а именно адамантилиденадамантан-1,2-диоксетан</w:t>
      </w:r>
      <w:r w:rsidR="001A23F4" w:rsidRPr="00132A6C">
        <w:rPr>
          <w:rStyle w:val="FontStyle16"/>
          <w:spacing w:val="0"/>
          <w:sz w:val="28"/>
          <w:szCs w:val="28"/>
        </w:rPr>
        <w:t>.</w:t>
      </w:r>
      <w:r w:rsidRPr="00132A6C">
        <w:rPr>
          <w:rStyle w:val="FontStyle16"/>
          <w:spacing w:val="0"/>
          <w:sz w:val="28"/>
          <w:szCs w:val="28"/>
        </w:rPr>
        <w:t xml:space="preserve"> Это белое кристаллическое соединение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может храниться при комнатной температуре в течение нескольких лет без разложения до адамантанона</w:t>
      </w:r>
      <w:r w:rsidR="001A23F4" w:rsidRPr="00132A6C">
        <w:rPr>
          <w:rStyle w:val="FontStyle16"/>
          <w:spacing w:val="0"/>
          <w:sz w:val="28"/>
          <w:szCs w:val="28"/>
        </w:rPr>
        <w:t>.</w:t>
      </w:r>
      <w:r w:rsidRPr="00132A6C">
        <w:rPr>
          <w:rStyle w:val="FontStyle16"/>
          <w:spacing w:val="0"/>
          <w:sz w:val="28"/>
          <w:szCs w:val="28"/>
        </w:rPr>
        <w:t xml:space="preserve"> Вычисленный период полураспада соединения III при 25°С равен 10</w:t>
      </w:r>
      <w:r w:rsidRPr="00132A6C">
        <w:rPr>
          <w:rStyle w:val="FontStyle16"/>
          <w:spacing w:val="0"/>
          <w:sz w:val="28"/>
          <w:szCs w:val="28"/>
          <w:vertAlign w:val="superscript"/>
        </w:rPr>
        <w:t>4</w:t>
      </w:r>
      <w:r w:rsidRPr="00132A6C">
        <w:rPr>
          <w:rStyle w:val="FontStyle16"/>
          <w:spacing w:val="0"/>
          <w:sz w:val="28"/>
          <w:szCs w:val="28"/>
        </w:rPr>
        <w:t xml:space="preserve"> лет. Термическое разложение этого соединения протекает по первому порядку, и скорость хемилюминесцентной реакции не зависит от концентр</w:t>
      </w:r>
      <w:r w:rsidR="00132A6C">
        <w:rPr>
          <w:rStyle w:val="FontStyle16"/>
          <w:spacing w:val="0"/>
          <w:sz w:val="28"/>
          <w:szCs w:val="28"/>
        </w:rPr>
        <w:t>ации 1,2-диоксетана. При повышении</w:t>
      </w:r>
      <w:r w:rsidR="00A06EE4" w:rsidRPr="00A06EE4">
        <w:rPr>
          <w:rStyle w:val="FontStyle16"/>
          <w:spacing w:val="0"/>
          <w:sz w:val="28"/>
          <w:szCs w:val="28"/>
        </w:rPr>
        <w:t xml:space="preserve"> </w:t>
      </w:r>
      <w:r w:rsidR="00A06EE4" w:rsidRPr="00132A6C">
        <w:rPr>
          <w:rStyle w:val="FontStyle16"/>
          <w:spacing w:val="0"/>
          <w:sz w:val="28"/>
          <w:szCs w:val="28"/>
        </w:rPr>
        <w:t>температуры период полураспада уменьшается экспоненциально. График такой зависимости для сое</w:t>
      </w:r>
      <w:r w:rsidR="00A06EE4">
        <w:rPr>
          <w:rStyle w:val="FontStyle16"/>
          <w:spacing w:val="0"/>
          <w:sz w:val="28"/>
          <w:szCs w:val="28"/>
        </w:rPr>
        <w:t>динения III представлен на рис.</w:t>
      </w:r>
    </w:p>
    <w:p w:rsidR="0063665D" w:rsidRDefault="00A06EE4" w:rsidP="00A06EE4">
      <w:pPr>
        <w:pStyle w:val="Style2"/>
        <w:widowControl/>
        <w:spacing w:line="360" w:lineRule="auto"/>
        <w:ind w:firstLine="720"/>
        <w:rPr>
          <w:sz w:val="28"/>
          <w:szCs w:val="28"/>
        </w:rPr>
      </w:pPr>
      <w:r>
        <w:rPr>
          <w:rStyle w:val="FontStyle16"/>
          <w:spacing w:val="0"/>
          <w:sz w:val="28"/>
          <w:szCs w:val="28"/>
        </w:rPr>
        <w:br w:type="page"/>
      </w:r>
      <w:r w:rsidR="00C65BCA">
        <w:rPr>
          <w:sz w:val="28"/>
          <w:szCs w:val="28"/>
        </w:rPr>
        <w:pict>
          <v:shape id="_x0000_i1027" type="#_x0000_t75" style="width:264.75pt;height:248.25pt">
            <v:imagedata r:id="rId9" o:title=""/>
          </v:shape>
        </w:pict>
      </w:r>
    </w:p>
    <w:p w:rsidR="00A06EE4" w:rsidRDefault="00A06EE4" w:rsidP="00132A6C">
      <w:pPr>
        <w:widowControl/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63665D" w:rsidRPr="00132A6C" w:rsidRDefault="00C65BCA" w:rsidP="00132A6C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90.25pt;height:210.75pt">
            <v:imagedata r:id="rId10" o:title=""/>
          </v:shape>
        </w:pict>
      </w:r>
    </w:p>
    <w:p w:rsidR="00132A6C" w:rsidRDefault="00132A6C" w:rsidP="00132A6C">
      <w:pPr>
        <w:pStyle w:val="Style3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</w:p>
    <w:p w:rsidR="0063665D" w:rsidRPr="00132A6C" w:rsidRDefault="0063665D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>Таким образом, форма кривой хемилюминесценции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зависит от температуры. При определенной температурной программе и стандартном периоде измерений наблюдается постоянная кривая хемилюминесценции, не зависящая от концентрации. Поскольку эта хемилюминесценция инициируется и контролируется только температурой и не сопровождается никакими бимолекулярными реакциями, мы можем назвать этот процесс термохемилюминесценцией</w:t>
      </w:r>
      <w:r w:rsidR="001A23F4" w:rsidRPr="00132A6C">
        <w:rPr>
          <w:rStyle w:val="FontStyle16"/>
          <w:spacing w:val="0"/>
          <w:sz w:val="28"/>
          <w:szCs w:val="28"/>
        </w:rPr>
        <w:t>.</w:t>
      </w:r>
      <w:r w:rsidRPr="00132A6C">
        <w:rPr>
          <w:rStyle w:val="FontStyle16"/>
          <w:spacing w:val="0"/>
          <w:sz w:val="28"/>
          <w:szCs w:val="28"/>
        </w:rPr>
        <w:t xml:space="preserve"> Как 1,2-диоксетан, так и продукт распада IV являются бесцветными соединениями, поэтому при Высоких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концентрациях самогашение не наблюдается.</w:t>
      </w:r>
    </w:p>
    <w:p w:rsidR="0063665D" w:rsidRDefault="0063665D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>Не зависящий от концентрации спектр ТХЛ соединения III представлен на рис. 8. Максимум термохемилюминесценции находится при 425 ям. Спектр напоминает спектр флуоресценции адамантанона.</w:t>
      </w:r>
    </w:p>
    <w:p w:rsidR="0063665D" w:rsidRPr="00B23982" w:rsidRDefault="00B23982" w:rsidP="00B23982">
      <w:pPr>
        <w:pStyle w:val="Style2"/>
        <w:widowControl/>
        <w:spacing w:line="360" w:lineRule="auto"/>
        <w:ind w:firstLine="720"/>
        <w:jc w:val="center"/>
        <w:rPr>
          <w:rStyle w:val="FontStyle17"/>
          <w:spacing w:val="0"/>
          <w:sz w:val="28"/>
          <w:szCs w:val="28"/>
        </w:rPr>
      </w:pPr>
      <w:r w:rsidRPr="00B23982">
        <w:rPr>
          <w:rStyle w:val="FontStyle17"/>
          <w:spacing w:val="0"/>
          <w:sz w:val="28"/>
          <w:szCs w:val="28"/>
        </w:rPr>
        <w:br w:type="page"/>
      </w:r>
      <w:r w:rsidR="00132A6C" w:rsidRPr="00132A6C">
        <w:rPr>
          <w:rStyle w:val="FontStyle17"/>
          <w:spacing w:val="0"/>
          <w:sz w:val="28"/>
          <w:szCs w:val="28"/>
        </w:rPr>
        <w:t>Получение меток и меченых соединений</w:t>
      </w:r>
    </w:p>
    <w:p w:rsidR="00132A6C" w:rsidRPr="00132A6C" w:rsidRDefault="00132A6C" w:rsidP="00132A6C">
      <w:pPr>
        <w:pStyle w:val="Style2"/>
        <w:widowControl/>
        <w:spacing w:line="360" w:lineRule="auto"/>
        <w:ind w:firstLine="720"/>
        <w:jc w:val="center"/>
        <w:rPr>
          <w:rStyle w:val="FontStyle17"/>
          <w:spacing w:val="0"/>
          <w:sz w:val="28"/>
          <w:szCs w:val="28"/>
        </w:rPr>
      </w:pPr>
    </w:p>
    <w:p w:rsidR="0063665D" w:rsidRDefault="0063665D" w:rsidP="00132A6C">
      <w:pPr>
        <w:pStyle w:val="Style3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>Мы синтезировали ТХЛ-метки на основе диадамантил-1,2-диоксетана</w:t>
      </w:r>
      <w:r w:rsidR="001A23F4" w:rsidRPr="00132A6C">
        <w:rPr>
          <w:rStyle w:val="FontStyle16"/>
          <w:spacing w:val="0"/>
          <w:sz w:val="28"/>
          <w:szCs w:val="28"/>
        </w:rPr>
        <w:t>.</w:t>
      </w:r>
      <w:r w:rsidRPr="00132A6C">
        <w:rPr>
          <w:rStyle w:val="FontStyle16"/>
          <w:spacing w:val="0"/>
          <w:sz w:val="28"/>
          <w:szCs w:val="28"/>
        </w:rPr>
        <w:t xml:space="preserve"> Примеры таких соединений представлены на рис. 9. Так как эти 1,2-диоксетаны получали фотоокислением адамантилиденадамантанов с экваториальным заместителем в положении 4, то они образуются в виде смеси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сын- и антиизомеров 1,2-диоксетанов. Н</w:t>
      </w:r>
      <w:r w:rsidR="002F1A00">
        <w:rPr>
          <w:rStyle w:val="FontStyle16"/>
          <w:spacing w:val="0"/>
          <w:sz w:val="28"/>
          <w:szCs w:val="28"/>
        </w:rPr>
        <w:t>апример, малеинимид V - это сын изомер,</w:t>
      </w:r>
    </w:p>
    <w:p w:rsidR="002F1A00" w:rsidRPr="00132A6C" w:rsidRDefault="002F1A00" w:rsidP="00132A6C">
      <w:pPr>
        <w:pStyle w:val="Style3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</w:p>
    <w:p w:rsidR="0063665D" w:rsidRPr="00132A6C" w:rsidRDefault="00C65BCA" w:rsidP="00132A6C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293.25pt;height:197.25pt">
            <v:imagedata r:id="rId11" o:title=""/>
          </v:shape>
        </w:pict>
      </w:r>
    </w:p>
    <w:p w:rsidR="0063665D" w:rsidRPr="00132A6C" w:rsidRDefault="0063665D" w:rsidP="00132A6C">
      <w:pPr>
        <w:pStyle w:val="Style3"/>
        <w:widowControl/>
        <w:spacing w:line="360" w:lineRule="auto"/>
        <w:ind w:firstLine="720"/>
        <w:rPr>
          <w:sz w:val="28"/>
          <w:szCs w:val="28"/>
        </w:rPr>
      </w:pPr>
    </w:p>
    <w:p w:rsidR="0063665D" w:rsidRPr="00132A6C" w:rsidRDefault="0063665D" w:rsidP="00132A6C">
      <w:pPr>
        <w:pStyle w:val="Style3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>а иодацетат VI - омта-изомер. За исключением иодацетата VI, который получен в виде чистого акта-изомера, ТХЛ-метки применяются в виде смеси изомеров 1:1.</w:t>
      </w:r>
    </w:p>
    <w:p w:rsidR="0063665D" w:rsidRPr="00132A6C" w:rsidRDefault="0063665D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 xml:space="preserve">Для введения метки обычно используют </w:t>
      </w:r>
      <w:r w:rsidRPr="00132A6C">
        <w:rPr>
          <w:rStyle w:val="FontStyle16"/>
          <w:spacing w:val="0"/>
          <w:sz w:val="28"/>
          <w:szCs w:val="28"/>
          <w:lang w:val="en-US"/>
        </w:rPr>
        <w:t>N</w:t>
      </w:r>
      <w:r w:rsidRPr="00132A6C">
        <w:rPr>
          <w:rStyle w:val="FontStyle16"/>
          <w:spacing w:val="0"/>
          <w:sz w:val="28"/>
          <w:szCs w:val="28"/>
        </w:rPr>
        <w:t>-гидроксисукцинимидные эфиры VII и VIII, так как эти соединения легко реагируют со свободными аминогруппами белков. Соединение VIII выгодно отличается от VII, так как оно хорошо кристаллизуется и превосходно растворяется в растворителях, смешивающихся с водой. Все метки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бесцветны, не разлагаются в течение года при хранении в отсутствие влаги и при температуре ниже комнатной.</w:t>
      </w:r>
    </w:p>
    <w:p w:rsidR="0063665D" w:rsidRPr="00132A6C" w:rsidRDefault="0063665D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 xml:space="preserve">В белки, содержащие свободные аминогруппы, метку вводят по простой одностадийной методике с помощью </w:t>
      </w:r>
      <w:r w:rsidRPr="00132A6C">
        <w:rPr>
          <w:rStyle w:val="FontStyle16"/>
          <w:spacing w:val="0"/>
          <w:sz w:val="28"/>
          <w:szCs w:val="28"/>
          <w:lang w:val="en-US"/>
        </w:rPr>
        <w:t>N</w:t>
      </w:r>
      <w:r w:rsidRPr="00132A6C">
        <w:rPr>
          <w:rStyle w:val="FontStyle16"/>
          <w:spacing w:val="0"/>
          <w:sz w:val="28"/>
          <w:szCs w:val="28"/>
        </w:rPr>
        <w:t>-гидроксисукцинимидного эфира VIII. Раствор последнего в 1,4-диоксане добавляют при осторожном перемешивании при комнатной температуре к раствору белка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0,1 М"/>
        </w:smartTagPr>
        <w:r w:rsidRPr="00132A6C">
          <w:rPr>
            <w:rStyle w:val="FontStyle16"/>
            <w:spacing w:val="0"/>
            <w:sz w:val="28"/>
            <w:szCs w:val="28"/>
          </w:rPr>
          <w:t>0,1 М</w:t>
        </w:r>
      </w:smartTag>
      <w:r w:rsidRPr="00132A6C">
        <w:rPr>
          <w:rStyle w:val="FontStyle16"/>
          <w:spacing w:val="0"/>
          <w:sz w:val="28"/>
          <w:szCs w:val="28"/>
        </w:rPr>
        <w:t xml:space="preserve"> боратном буферном растворе</w:t>
      </w:r>
      <w:r w:rsidR="001A23F4" w:rsidRPr="00132A6C">
        <w:rPr>
          <w:rStyle w:val="FontStyle16"/>
          <w:spacing w:val="0"/>
          <w:sz w:val="28"/>
          <w:szCs w:val="28"/>
        </w:rPr>
        <w:t>.</w:t>
      </w:r>
      <w:r w:rsidRPr="00132A6C">
        <w:rPr>
          <w:rStyle w:val="FontStyle16"/>
          <w:spacing w:val="0"/>
          <w:sz w:val="28"/>
          <w:szCs w:val="28"/>
        </w:rPr>
        <w:t xml:space="preserve"> С тем же успехом можно использовать и другие органические растворители, смешивающиеся с водой. При синтезе меченых антител конечная концентрация 1,4-диоксана должна быть ниже </w:t>
      </w:r>
      <w:r w:rsidRPr="00132A6C">
        <w:rPr>
          <w:rStyle w:val="FontStyle14"/>
          <w:spacing w:val="0"/>
          <w:sz w:val="28"/>
          <w:szCs w:val="28"/>
        </w:rPr>
        <w:t xml:space="preserve">5% </w:t>
      </w:r>
      <w:r w:rsidRPr="00132A6C">
        <w:rPr>
          <w:rStyle w:val="FontStyle16"/>
          <w:spacing w:val="0"/>
          <w:sz w:val="28"/>
          <w:szCs w:val="28"/>
        </w:rPr>
        <w:t>по объему. В бычий сывороточный альбумин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можно ввести более 30 остатков ТХЛ-метки, если проводить реакцию в 33%-ном 1,4-диоксане. При этом конъюгат ТХЛ-БСА сохраняет способность растворяться в воде.</w:t>
      </w:r>
    </w:p>
    <w:p w:rsidR="0063665D" w:rsidRPr="00132A6C" w:rsidRDefault="0063665D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 xml:space="preserve">Реакция завершается в течение 1 ч, и продукт реакции очищают диализом против боратного буферного раствора или колоночной хроматографией в боратном буферном растворе на сефа-дексе </w:t>
      </w:r>
      <w:r w:rsidRPr="00132A6C">
        <w:rPr>
          <w:rStyle w:val="FontStyle16"/>
          <w:spacing w:val="0"/>
          <w:sz w:val="28"/>
          <w:szCs w:val="28"/>
          <w:lang w:val="en-US"/>
        </w:rPr>
        <w:t>LH</w:t>
      </w:r>
      <w:r w:rsidRPr="00132A6C">
        <w:rPr>
          <w:rStyle w:val="FontStyle16"/>
          <w:spacing w:val="0"/>
          <w:sz w:val="28"/>
          <w:szCs w:val="28"/>
        </w:rPr>
        <w:t>-60. Лиофильно высушенный меченый БСА не изменил удельную активность ТХЛ-метки после хранения при -20°С в течение 2 лет.</w:t>
      </w:r>
    </w:p>
    <w:p w:rsidR="0063665D" w:rsidRPr="00132A6C" w:rsidRDefault="0063665D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>Так как ТХЛ-метки не поглощают свет с А&gt;290 нм, то число связанных с белком меток можно рассчитать измерением интенсивности ТХЛ или титрованием аминогрупп. Мы обнаружили, что результаты двух этих методов хорошо совпадают. Так, число свободных аминогрупп в БСА, найденное титрованием по методу Хабиба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и измерением удельной активности ТХЛ-метки, показало, что с БСА связано 18 остатков соединения VIII.</w:t>
      </w:r>
    </w:p>
    <w:p w:rsidR="0063665D" w:rsidRDefault="0063665D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>Отсюда следует также, что удельная активность метки VIII полностью сохраняется при введении метки в белок. Более того, удельная активность ' не уменьшается и при введении в белок очень большого числа меток. Так, удельная активность конъюгата БСА, меченного 25 остатками соединения VIII, оказалась равной удельной активности 25 эквивалентов соединения VIII. В ходе этих исследований метку вводили в различные белки</w:t>
      </w:r>
      <w:r w:rsidR="001A23F4" w:rsidRPr="00132A6C">
        <w:rPr>
          <w:rStyle w:val="FontStyle16"/>
          <w:spacing w:val="0"/>
          <w:sz w:val="28"/>
          <w:szCs w:val="28"/>
        </w:rPr>
        <w:t>.</w:t>
      </w:r>
      <w:r w:rsidRPr="00132A6C">
        <w:rPr>
          <w:rStyle w:val="FontStyle16"/>
          <w:spacing w:val="0"/>
          <w:sz w:val="28"/>
          <w:szCs w:val="28"/>
        </w:rPr>
        <w:t xml:space="preserve"> Полученные данные позволяют сделать вывод, что ТХЛ-метка сохраняет удельную активность в любых конъюгатах соединения VIII с белками, если только белок не содержит металл или хромофор.</w:t>
      </w:r>
    </w:p>
    <w:p w:rsidR="00A06EE4" w:rsidRDefault="00A06EE4" w:rsidP="002F1A00">
      <w:pPr>
        <w:pStyle w:val="Style2"/>
        <w:widowControl/>
        <w:spacing w:line="360" w:lineRule="auto"/>
        <w:ind w:firstLine="720"/>
        <w:jc w:val="center"/>
        <w:rPr>
          <w:rStyle w:val="FontStyle16"/>
          <w:b/>
          <w:spacing w:val="0"/>
          <w:sz w:val="28"/>
          <w:szCs w:val="28"/>
          <w:lang w:val="en-US"/>
        </w:rPr>
      </w:pPr>
    </w:p>
    <w:p w:rsidR="0063665D" w:rsidRDefault="002F1A00" w:rsidP="002F1A00">
      <w:pPr>
        <w:pStyle w:val="Style2"/>
        <w:widowControl/>
        <w:spacing w:line="360" w:lineRule="auto"/>
        <w:ind w:firstLine="720"/>
        <w:jc w:val="center"/>
        <w:rPr>
          <w:rStyle w:val="FontStyle16"/>
          <w:b/>
          <w:spacing w:val="0"/>
          <w:sz w:val="28"/>
          <w:szCs w:val="28"/>
        </w:rPr>
      </w:pPr>
      <w:r w:rsidRPr="002F1A00">
        <w:rPr>
          <w:rStyle w:val="FontStyle16"/>
          <w:b/>
          <w:spacing w:val="0"/>
          <w:sz w:val="28"/>
          <w:szCs w:val="28"/>
        </w:rPr>
        <w:t>Термохемилюминесценция</w:t>
      </w:r>
      <w:r w:rsidR="001A23F4" w:rsidRPr="002F1A00">
        <w:rPr>
          <w:rStyle w:val="FontStyle16"/>
          <w:b/>
          <w:spacing w:val="0"/>
          <w:sz w:val="28"/>
          <w:szCs w:val="28"/>
        </w:rPr>
        <w:t>,</w:t>
      </w:r>
      <w:r w:rsidRPr="002F1A00">
        <w:rPr>
          <w:rStyle w:val="FontStyle16"/>
          <w:b/>
          <w:spacing w:val="0"/>
          <w:sz w:val="28"/>
          <w:szCs w:val="28"/>
        </w:rPr>
        <w:t>с переносом энергии</w:t>
      </w:r>
    </w:p>
    <w:p w:rsidR="002F1A00" w:rsidRPr="002F1A00" w:rsidRDefault="002F1A00" w:rsidP="002F1A00">
      <w:pPr>
        <w:pStyle w:val="Style2"/>
        <w:widowControl/>
        <w:spacing w:line="360" w:lineRule="auto"/>
        <w:ind w:firstLine="720"/>
        <w:jc w:val="center"/>
        <w:rPr>
          <w:rStyle w:val="FontStyle16"/>
          <w:b/>
          <w:spacing w:val="0"/>
          <w:sz w:val="28"/>
          <w:szCs w:val="28"/>
        </w:rPr>
      </w:pPr>
    </w:p>
    <w:p w:rsidR="00A06EE4" w:rsidRPr="00132A6C" w:rsidRDefault="0063665D" w:rsidP="00A06EE4">
      <w:pPr>
        <w:pStyle w:val="Style3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>Как показано на рис. 5, энергия электронов синглетного возбужденного состояния кетона, образующегося при разложении 1,2-диоксетана, может быть перенесена нерадиационным путем к акцепторной люминесцирующей молекуле. Это явление можно использовать для усиления ТХЛ-сигнала 1,2-диоксетановых меток и меченых соединений. Для этой цели в белок вводят ТХЛ-метку и молекулу люминесцирующего акцептора. В качестве последнего предлагался 2 -9,10-дифени-лантрацен</w:t>
      </w:r>
      <w:r w:rsidR="001A23F4" w:rsidRPr="00132A6C">
        <w:rPr>
          <w:rStyle w:val="FontStyle16"/>
          <w:spacing w:val="0"/>
          <w:sz w:val="28"/>
          <w:szCs w:val="28"/>
        </w:rPr>
        <w:t>,</w:t>
      </w:r>
      <w:r w:rsidRPr="00132A6C">
        <w:rPr>
          <w:rStyle w:val="FontStyle16"/>
          <w:spacing w:val="0"/>
          <w:sz w:val="28"/>
          <w:szCs w:val="28"/>
        </w:rPr>
        <w:t xml:space="preserve"> устойчивый при 200 -250°С в атмосфере азота. Характеристики флуоресценции этого</w:t>
      </w:r>
      <w:r w:rsidR="00A06EE4" w:rsidRPr="00A06EE4">
        <w:rPr>
          <w:rStyle w:val="FontStyle16"/>
          <w:spacing w:val="0"/>
          <w:sz w:val="28"/>
          <w:szCs w:val="28"/>
        </w:rPr>
        <w:t xml:space="preserve"> </w:t>
      </w:r>
      <w:r w:rsidR="00A06EE4">
        <w:rPr>
          <w:rStyle w:val="FontStyle16"/>
          <w:spacing w:val="0"/>
          <w:sz w:val="28"/>
          <w:szCs w:val="28"/>
        </w:rPr>
        <w:t>с</w:t>
      </w:r>
      <w:r w:rsidR="00A06EE4" w:rsidRPr="00132A6C">
        <w:rPr>
          <w:rStyle w:val="FontStyle16"/>
          <w:spacing w:val="0"/>
          <w:sz w:val="28"/>
          <w:szCs w:val="28"/>
        </w:rPr>
        <w:t>оединения и хорошо известного акцептора 9,10-дифенилантраце-га практически идентичны.</w:t>
      </w:r>
    </w:p>
    <w:p w:rsidR="002F1A00" w:rsidRPr="00132A6C" w:rsidRDefault="002F1A00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</w:p>
    <w:p w:rsidR="0063665D" w:rsidRDefault="00C65BCA" w:rsidP="00132A6C">
      <w:pPr>
        <w:widowControl/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30" type="#_x0000_t75" style="width:203.25pt;height:138.75pt">
            <v:imagedata r:id="rId12" o:title=""/>
          </v:shape>
        </w:pict>
      </w:r>
    </w:p>
    <w:p w:rsidR="0063665D" w:rsidRDefault="00A06EE4" w:rsidP="00132A6C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C65BCA">
        <w:rPr>
          <w:sz w:val="28"/>
          <w:szCs w:val="28"/>
        </w:rPr>
        <w:pict>
          <v:shape id="_x0000_i1031" type="#_x0000_t75" style="width:324pt;height:192.75pt">
            <v:imagedata r:id="rId13" o:title=""/>
          </v:shape>
        </w:pict>
      </w:r>
    </w:p>
    <w:p w:rsidR="002F1A00" w:rsidRPr="00132A6C" w:rsidRDefault="002F1A00" w:rsidP="00132A6C">
      <w:pPr>
        <w:widowControl/>
        <w:spacing w:line="360" w:lineRule="auto"/>
        <w:ind w:firstLine="720"/>
        <w:jc w:val="both"/>
        <w:rPr>
          <w:sz w:val="28"/>
          <w:szCs w:val="28"/>
        </w:rPr>
      </w:pPr>
    </w:p>
    <w:p w:rsidR="0063665D" w:rsidRDefault="0063665D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 xml:space="preserve">Так как эффективность флуоресценции адамантанона и ДФА </w:t>
      </w:r>
      <w:r w:rsidRPr="00132A6C">
        <w:rPr>
          <w:rStyle w:val="FontStyle15"/>
          <w:spacing w:val="0"/>
          <w:sz w:val="28"/>
          <w:szCs w:val="28"/>
        </w:rPr>
        <w:t xml:space="preserve">1авна </w:t>
      </w:r>
      <w:r w:rsidRPr="00132A6C">
        <w:rPr>
          <w:rStyle w:val="FontStyle16"/>
          <w:spacing w:val="0"/>
          <w:sz w:val="28"/>
          <w:szCs w:val="28"/>
        </w:rPr>
        <w:t xml:space="preserve">5,2 • 10-з и 1 соответственно, то максимальный теоретически </w:t>
      </w:r>
      <w:r w:rsidR="00A06EE4" w:rsidRPr="00132A6C">
        <w:rPr>
          <w:rStyle w:val="FontStyle16"/>
          <w:spacing w:val="0"/>
          <w:sz w:val="28"/>
          <w:szCs w:val="28"/>
        </w:rPr>
        <w:t>возможный</w:t>
      </w:r>
      <w:r w:rsidRPr="00132A6C">
        <w:rPr>
          <w:rStyle w:val="FontStyle16"/>
          <w:spacing w:val="0"/>
          <w:sz w:val="28"/>
          <w:szCs w:val="28"/>
        </w:rPr>
        <w:t xml:space="preserve"> коэффициент усиления равен 190</w:t>
      </w:r>
      <w:r w:rsidR="001A23F4" w:rsidRPr="00132A6C">
        <w:rPr>
          <w:rStyle w:val="FontStyle16"/>
          <w:spacing w:val="0"/>
          <w:sz w:val="28"/>
          <w:szCs w:val="28"/>
        </w:rPr>
        <w:t>.</w:t>
      </w:r>
      <w:r w:rsidRPr="00132A6C">
        <w:rPr>
          <w:rStyle w:val="FontStyle16"/>
          <w:spacing w:val="0"/>
          <w:sz w:val="28"/>
          <w:szCs w:val="28"/>
        </w:rPr>
        <w:t xml:space="preserve"> Эффективность переноса энергии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="00A06EE4">
        <w:rPr>
          <w:rStyle w:val="FontStyle16"/>
          <w:spacing w:val="0"/>
          <w:sz w:val="28"/>
          <w:szCs w:val="28"/>
        </w:rPr>
        <w:t>зависит от концентрации. Как по</w:t>
      </w:r>
      <w:r w:rsidRPr="00132A6C">
        <w:rPr>
          <w:rStyle w:val="FontStyle16"/>
          <w:spacing w:val="0"/>
          <w:sz w:val="28"/>
          <w:szCs w:val="28"/>
        </w:rPr>
        <w:t>казано Ферстером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 xml:space="preserve">теоретически и позднее подтверждено </w:t>
      </w:r>
      <w:r w:rsidR="00A06EE4" w:rsidRPr="00132A6C">
        <w:rPr>
          <w:rStyle w:val="FontStyle16"/>
          <w:spacing w:val="0"/>
          <w:sz w:val="28"/>
          <w:szCs w:val="28"/>
        </w:rPr>
        <w:t>экспериментально</w:t>
      </w:r>
      <w:r w:rsidR="001A23F4" w:rsidRPr="00132A6C">
        <w:rPr>
          <w:rStyle w:val="FontStyle16"/>
          <w:spacing w:val="0"/>
          <w:sz w:val="28"/>
          <w:szCs w:val="28"/>
        </w:rPr>
        <w:t>,</w:t>
      </w:r>
      <w:r w:rsidRPr="00132A6C">
        <w:rPr>
          <w:rStyle w:val="FontStyle16"/>
          <w:spacing w:val="0"/>
          <w:sz w:val="28"/>
          <w:szCs w:val="28"/>
        </w:rPr>
        <w:t xml:space="preserve"> скорость, а также эффективность ПЭ</w:t>
      </w:r>
      <w:r w:rsidR="00A06EE4" w:rsidRPr="00A06EE4">
        <w:rPr>
          <w:rStyle w:val="FontStyle16"/>
          <w:spacing w:val="0"/>
          <w:sz w:val="28"/>
          <w:szCs w:val="28"/>
        </w:rPr>
        <w:t xml:space="preserve"> </w:t>
      </w:r>
      <w:r w:rsidR="00A06EE4" w:rsidRPr="00132A6C">
        <w:rPr>
          <w:rStyle w:val="FontStyle16"/>
          <w:spacing w:val="0"/>
          <w:sz w:val="28"/>
          <w:szCs w:val="28"/>
        </w:rPr>
        <w:t>путем дипольного взаимодействия между донором и акцептором зависит от шестой степени расстояния между обоими хромофорами.</w:t>
      </w:r>
    </w:p>
    <w:p w:rsidR="002F1A00" w:rsidRPr="00132A6C" w:rsidRDefault="002F1A00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</w:p>
    <w:p w:rsidR="0063665D" w:rsidRDefault="00C65BCA" w:rsidP="00132A6C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317.25pt;height:204.75pt">
            <v:imagedata r:id="rId14" o:title=""/>
          </v:shape>
        </w:pict>
      </w:r>
    </w:p>
    <w:p w:rsidR="0063665D" w:rsidRPr="00132A6C" w:rsidRDefault="00A06EE4" w:rsidP="00132A6C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65BCA">
        <w:rPr>
          <w:sz w:val="28"/>
          <w:szCs w:val="28"/>
        </w:rPr>
        <w:pict>
          <v:shape id="_x0000_i1033" type="#_x0000_t75" style="width:321pt;height:193.5pt">
            <v:imagedata r:id="rId15" o:title=""/>
          </v:shape>
        </w:pict>
      </w:r>
    </w:p>
    <w:p w:rsidR="002F1A00" w:rsidRDefault="002F1A00" w:rsidP="00132A6C">
      <w:pPr>
        <w:pStyle w:val="Style3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</w:p>
    <w:p w:rsidR="0063665D" w:rsidRPr="00132A6C" w:rsidRDefault="0063665D" w:rsidP="00132A6C">
      <w:pPr>
        <w:pStyle w:val="Style3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 xml:space="preserve">Расстояние между донором и акцептором, при котором эффективность ПЭ равна 0,5, обозначается символом </w:t>
      </w:r>
      <w:r w:rsidRPr="00132A6C">
        <w:rPr>
          <w:rStyle w:val="FontStyle14"/>
          <w:spacing w:val="0"/>
          <w:sz w:val="28"/>
          <w:szCs w:val="28"/>
          <w:lang w:val="en-US"/>
        </w:rPr>
        <w:t>R</w:t>
      </w:r>
      <w:r w:rsidRPr="00132A6C">
        <w:rPr>
          <w:rStyle w:val="FontStyle14"/>
          <w:spacing w:val="0"/>
          <w:sz w:val="28"/>
          <w:szCs w:val="28"/>
          <w:vertAlign w:val="subscript"/>
          <w:lang w:val="en-US"/>
        </w:rPr>
        <w:t>Q</w:t>
      </w:r>
      <w:r w:rsidRPr="00132A6C">
        <w:rPr>
          <w:rStyle w:val="FontStyle14"/>
          <w:spacing w:val="0"/>
          <w:sz w:val="28"/>
          <w:szCs w:val="28"/>
        </w:rPr>
        <w:t xml:space="preserve">. </w:t>
      </w:r>
      <w:r w:rsidRPr="00132A6C">
        <w:rPr>
          <w:rStyle w:val="FontStyle16"/>
          <w:spacing w:val="0"/>
          <w:sz w:val="28"/>
          <w:szCs w:val="28"/>
        </w:rPr>
        <w:t>Рассчитанная нами по методу Страйера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 xml:space="preserve">величина </w:t>
      </w:r>
      <w:r w:rsidRPr="00132A6C">
        <w:rPr>
          <w:rStyle w:val="FontStyle14"/>
          <w:spacing w:val="0"/>
          <w:sz w:val="28"/>
          <w:szCs w:val="28"/>
          <w:lang w:val="en-US"/>
        </w:rPr>
        <w:t>R</w:t>
      </w:r>
      <w:r w:rsidRPr="00132A6C">
        <w:rPr>
          <w:rStyle w:val="FontStyle14"/>
          <w:spacing w:val="0"/>
          <w:sz w:val="28"/>
          <w:szCs w:val="28"/>
          <w:vertAlign w:val="subscript"/>
        </w:rPr>
        <w:t>0</w:t>
      </w:r>
      <w:r w:rsidRPr="00132A6C">
        <w:rPr>
          <w:rStyle w:val="FontStyle14"/>
          <w:spacing w:val="0"/>
          <w:sz w:val="28"/>
          <w:szCs w:val="28"/>
        </w:rPr>
        <w:t xml:space="preserve"> </w:t>
      </w:r>
      <w:r w:rsidR="002F1A00">
        <w:rPr>
          <w:rStyle w:val="FontStyle16"/>
          <w:spacing w:val="0"/>
          <w:sz w:val="28"/>
          <w:szCs w:val="28"/>
        </w:rPr>
        <w:t>донорно-акцеп</w:t>
      </w:r>
      <w:r w:rsidRPr="00132A6C">
        <w:rPr>
          <w:rStyle w:val="FontStyle16"/>
          <w:spacing w:val="0"/>
          <w:sz w:val="28"/>
          <w:szCs w:val="28"/>
        </w:rPr>
        <w:t xml:space="preserve">торной пары </w:t>
      </w:r>
      <w:r w:rsidRPr="00132A6C">
        <w:rPr>
          <w:rStyle w:val="FontStyle16"/>
          <w:spacing w:val="0"/>
          <w:sz w:val="28"/>
          <w:szCs w:val="28"/>
          <w:lang w:val="en-US"/>
        </w:rPr>
        <w:t>Sj</w:t>
      </w:r>
      <w:r w:rsidRPr="00132A6C">
        <w:rPr>
          <w:rStyle w:val="FontStyle16"/>
          <w:spacing w:val="0"/>
          <w:sz w:val="28"/>
          <w:szCs w:val="28"/>
        </w:rPr>
        <w:t>-адамантанон - ДФА оказалась равной 15,3 А</w:t>
      </w:r>
      <w:r w:rsidR="001A23F4" w:rsidRPr="00132A6C">
        <w:rPr>
          <w:rStyle w:val="FontStyle16"/>
          <w:spacing w:val="0"/>
          <w:sz w:val="28"/>
          <w:szCs w:val="28"/>
        </w:rPr>
        <w:t>.</w:t>
      </w:r>
      <w:r w:rsidRPr="00132A6C">
        <w:rPr>
          <w:rStyle w:val="FontStyle16"/>
          <w:spacing w:val="0"/>
          <w:sz w:val="28"/>
          <w:szCs w:val="28"/>
        </w:rPr>
        <w:t xml:space="preserve"> График зависимости между эффективностью ПЭ и </w:t>
      </w:r>
      <w:r w:rsidRPr="00132A6C">
        <w:rPr>
          <w:rStyle w:val="FontStyle14"/>
          <w:spacing w:val="0"/>
          <w:sz w:val="28"/>
          <w:szCs w:val="28"/>
          <w:lang w:val="en-US"/>
        </w:rPr>
        <w:t>R</w:t>
      </w:r>
      <w:r w:rsidRPr="00132A6C">
        <w:rPr>
          <w:rStyle w:val="FontStyle14"/>
          <w:spacing w:val="0"/>
          <w:sz w:val="28"/>
          <w:szCs w:val="28"/>
          <w:vertAlign w:val="subscript"/>
        </w:rPr>
        <w:t>0</w:t>
      </w:r>
      <w:r w:rsidRPr="00132A6C">
        <w:rPr>
          <w:rStyle w:val="FontStyle14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представлен на рис. 11.</w:t>
      </w:r>
    </w:p>
    <w:p w:rsidR="0063665D" w:rsidRPr="00132A6C" w:rsidRDefault="0063665D" w:rsidP="002F1A00">
      <w:pPr>
        <w:pStyle w:val="Style6"/>
        <w:widowControl/>
        <w:spacing w:line="360" w:lineRule="auto"/>
        <w:ind w:firstLine="720"/>
        <w:jc w:val="both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 xml:space="preserve">Из приведенных данных следует, что для эффективного усиления </w:t>
      </w:r>
      <w:r w:rsidRPr="00132A6C">
        <w:rPr>
          <w:rStyle w:val="FontStyle16"/>
          <w:spacing w:val="0"/>
          <w:sz w:val="28"/>
          <w:szCs w:val="28"/>
          <w:lang w:val="en-US"/>
        </w:rPr>
        <w:t>TXJI</w:t>
      </w:r>
      <w:r w:rsidRPr="00132A6C">
        <w:rPr>
          <w:rStyle w:val="FontStyle16"/>
          <w:spacing w:val="0"/>
          <w:sz w:val="28"/>
          <w:szCs w:val="28"/>
        </w:rPr>
        <w:t xml:space="preserve"> с помощью СКП-ДФА среднее расстояние между остатками 1,2-диоксетана и ДФА не должно превышать 15 А. Это условие легко выполнить, связав ковалентно оба компонента. Напротив, введенные в белок ТХЛ-метки и СКП-ДФА будут распределены неупорядоченно и важной характеристикой системы будет среднее расстояние между метками. Необходимое для эффективного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переноса энергии число меток ДФА на молекулу белка можно оценить теоретически, приняв ряд допущений. Согласно результатам наших расчетов, для БСА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 xml:space="preserve">это число равно 6. С молекулой </w:t>
      </w:r>
      <w:r w:rsidRPr="00132A6C">
        <w:rPr>
          <w:rStyle w:val="FontStyle16"/>
          <w:spacing w:val="0"/>
          <w:sz w:val="28"/>
          <w:szCs w:val="28"/>
          <w:lang w:val="en-US"/>
        </w:rPr>
        <w:t>IgG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 xml:space="preserve">необходимо связать уже не менее 20 остатков СКП-ДФА. Эти расчеты; показывают, что неупорядоченное введение в молекулу </w:t>
      </w:r>
      <w:r w:rsidRPr="00132A6C">
        <w:rPr>
          <w:rStyle w:val="FontStyle16"/>
          <w:spacing w:val="0"/>
          <w:sz w:val="28"/>
          <w:szCs w:val="28"/>
          <w:lang w:val="en-US"/>
        </w:rPr>
        <w:t>IgG</w:t>
      </w:r>
      <w:r w:rsidRPr="00132A6C">
        <w:rPr>
          <w:rStyle w:val="FontStyle16"/>
          <w:spacing w:val="0"/>
          <w:sz w:val="28"/>
          <w:szCs w:val="28"/>
        </w:rPr>
        <w:t xml:space="preserve"> ТХЛ-меток и ДФА, скорее всего, не приведет ни к оптимальному усилению </w:t>
      </w:r>
      <w:r w:rsidRPr="00132A6C">
        <w:rPr>
          <w:rStyle w:val="FontStyle16"/>
          <w:spacing w:val="0"/>
          <w:sz w:val="28"/>
          <w:szCs w:val="28"/>
          <w:lang w:val="en-US"/>
        </w:rPr>
        <w:t>TXJI</w:t>
      </w:r>
      <w:r w:rsidRPr="00132A6C">
        <w:rPr>
          <w:rStyle w:val="FontStyle16"/>
          <w:spacing w:val="0"/>
          <w:sz w:val="28"/>
          <w:szCs w:val="28"/>
        </w:rPr>
        <w:t xml:space="preserve">, ни к активным конъюгатам антител. Напротив, неупорядоченное введение этих двух меток в меньшие по размеру мак-; ромолекулы должно привести к конъюгатам с высокой удельной! активностью. Экспериментально достигнутое максимальное усиление ТХЛ с помощью ПЭ равно 40. Так, если БСА обработать сна-ч чала </w:t>
      </w:r>
      <w:r w:rsidRPr="00132A6C">
        <w:rPr>
          <w:rStyle w:val="FontStyle16"/>
          <w:spacing w:val="0"/>
          <w:sz w:val="28"/>
          <w:szCs w:val="28"/>
          <w:lang w:val="en-US"/>
        </w:rPr>
        <w:t>N</w:t>
      </w:r>
      <w:r w:rsidRPr="00132A6C">
        <w:rPr>
          <w:rStyle w:val="FontStyle16"/>
          <w:spacing w:val="0"/>
          <w:sz w:val="28"/>
          <w:szCs w:val="28"/>
        </w:rPr>
        <w:t>-пвдроксисукцинимидным эфиром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и затем большим! избытком СКП-ДФА по стандартной методике</w:t>
      </w:r>
      <w:r w:rsidR="001A23F4" w:rsidRPr="00132A6C">
        <w:rPr>
          <w:rStyle w:val="FontStyle16"/>
          <w:spacing w:val="0"/>
          <w:sz w:val="28"/>
          <w:szCs w:val="28"/>
        </w:rPr>
        <w:t>,</w:t>
      </w:r>
      <w:r w:rsidR="002F1A00">
        <w:rPr>
          <w:rStyle w:val="FontStyle16"/>
          <w:spacing w:val="0"/>
          <w:sz w:val="28"/>
          <w:szCs w:val="28"/>
        </w:rPr>
        <w:t xml:space="preserve"> то об</w:t>
      </w:r>
      <w:r w:rsidRPr="00132A6C">
        <w:rPr>
          <w:rStyle w:val="FontStyle16"/>
          <w:spacing w:val="0"/>
          <w:sz w:val="28"/>
          <w:szCs w:val="28"/>
        </w:rPr>
        <w:t>разуется водорастворимый двойной конъюгат, проявляющий ярко-голубую флуоресценцию и ярко-голубую хемилюминесценцию.</w:t>
      </w:r>
    </w:p>
    <w:p w:rsidR="0063665D" w:rsidRPr="00132A6C" w:rsidRDefault="0063665D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>Удельная активность ТХЛ этого своеобразного источника света не изменяется при разбавлении. Двойной конъюгат характеризуется практически постоянным отношением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сигнал/концентрация в диапазоне от 0,1 мг/мл до 0,1 нг/мл. Предел обнаружения белка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на применявшемся приборе с коэффициентом эффективности счета 0,14% равен 10"</w:t>
      </w:r>
      <w:r w:rsidRPr="00132A6C">
        <w:rPr>
          <w:rStyle w:val="FontStyle16"/>
          <w:spacing w:val="0"/>
          <w:sz w:val="28"/>
          <w:szCs w:val="28"/>
          <w:vertAlign w:val="superscript"/>
        </w:rPr>
        <w:t>18</w:t>
      </w:r>
      <w:r w:rsidRPr="00132A6C">
        <w:rPr>
          <w:rStyle w:val="FontStyle16"/>
          <w:spacing w:val="0"/>
          <w:sz w:val="28"/>
          <w:szCs w:val="28"/>
        </w:rPr>
        <w:t xml:space="preserve"> моль. Препарат можно хранить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без разложения или потери активности и использовать в качестве метки путем ковалентного связывания с другими белками или небольшими молекулами в зависимости от цели анализа. В нашей лаборатории разработан термохемилюминесцентный иммуноанализ с флуоресцентным усилением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с использованием в качестве метки описанного выше двойного конъюгата БСА</w:t>
      </w:r>
      <w:r w:rsidR="001A23F4" w:rsidRPr="00132A6C">
        <w:rPr>
          <w:rStyle w:val="FontStyle16"/>
          <w:spacing w:val="0"/>
          <w:sz w:val="28"/>
          <w:szCs w:val="28"/>
        </w:rPr>
        <w:t>.</w:t>
      </w:r>
    </w:p>
    <w:p w:rsidR="0063665D" w:rsidRPr="00132A6C" w:rsidRDefault="0063665D" w:rsidP="00132A6C">
      <w:pPr>
        <w:pStyle w:val="Style5"/>
        <w:widowControl/>
        <w:spacing w:line="360" w:lineRule="auto"/>
        <w:ind w:firstLine="720"/>
        <w:jc w:val="both"/>
        <w:rPr>
          <w:sz w:val="28"/>
          <w:szCs w:val="28"/>
        </w:rPr>
      </w:pPr>
    </w:p>
    <w:p w:rsidR="0063665D" w:rsidRDefault="002F1A00" w:rsidP="002F1A00">
      <w:pPr>
        <w:pStyle w:val="Style5"/>
        <w:widowControl/>
        <w:spacing w:line="360" w:lineRule="auto"/>
        <w:ind w:firstLine="720"/>
        <w:jc w:val="center"/>
        <w:rPr>
          <w:rStyle w:val="FontStyle16"/>
          <w:b/>
          <w:spacing w:val="0"/>
          <w:sz w:val="28"/>
          <w:szCs w:val="28"/>
        </w:rPr>
      </w:pPr>
      <w:r w:rsidRPr="002F1A00">
        <w:rPr>
          <w:rStyle w:val="FontStyle16"/>
          <w:b/>
          <w:spacing w:val="0"/>
          <w:sz w:val="28"/>
          <w:szCs w:val="28"/>
        </w:rPr>
        <w:t>Количественное определение интенсивности термохемилюминесценции</w:t>
      </w:r>
    </w:p>
    <w:p w:rsidR="002F1A00" w:rsidRPr="002F1A00" w:rsidRDefault="002F1A00" w:rsidP="002F1A00">
      <w:pPr>
        <w:pStyle w:val="Style5"/>
        <w:widowControl/>
        <w:spacing w:line="360" w:lineRule="auto"/>
        <w:ind w:firstLine="720"/>
        <w:jc w:val="center"/>
        <w:rPr>
          <w:rStyle w:val="FontStyle16"/>
          <w:b/>
          <w:spacing w:val="0"/>
          <w:sz w:val="28"/>
          <w:szCs w:val="28"/>
        </w:rPr>
      </w:pPr>
    </w:p>
    <w:p w:rsidR="0063665D" w:rsidRPr="00132A6C" w:rsidRDefault="0063665D" w:rsidP="00132A6C">
      <w:pPr>
        <w:pStyle w:val="Style3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>Для быстрого измерения интенсивности ТХЛ необходимо нагреть пробу до 200-250°С. Соответственно проба должна представлять собой сухой остаток на подложке</w:t>
      </w:r>
      <w:r w:rsidR="001A23F4" w:rsidRPr="00132A6C">
        <w:rPr>
          <w:rStyle w:val="FontStyle16"/>
          <w:spacing w:val="0"/>
          <w:sz w:val="28"/>
          <w:szCs w:val="28"/>
        </w:rPr>
        <w:t>.</w:t>
      </w:r>
      <w:r w:rsidRPr="00132A6C">
        <w:rPr>
          <w:rStyle w:val="FontStyle16"/>
          <w:spacing w:val="0"/>
          <w:sz w:val="28"/>
          <w:szCs w:val="28"/>
        </w:rPr>
        <w:t xml:space="preserve"> Подходящая подложка должна быть термически устойчивой</w:t>
      </w:r>
      <w:r w:rsidR="001A23F4" w:rsidRPr="00132A6C">
        <w:rPr>
          <w:rStyle w:val="FontStyle16"/>
          <w:spacing w:val="0"/>
          <w:sz w:val="28"/>
          <w:szCs w:val="28"/>
        </w:rPr>
        <w:t>,</w:t>
      </w:r>
      <w:r w:rsidRPr="00132A6C">
        <w:rPr>
          <w:rStyle w:val="FontStyle16"/>
          <w:spacing w:val="0"/>
          <w:sz w:val="28"/>
          <w:szCs w:val="28"/>
        </w:rPr>
        <w:t xml:space="preserve"> </w:t>
      </w:r>
      <w:r w:rsidR="002F185B">
        <w:rPr>
          <w:rStyle w:val="FontStyle16"/>
          <w:spacing w:val="0"/>
          <w:sz w:val="28"/>
          <w:szCs w:val="28"/>
        </w:rPr>
        <w:t>н</w:t>
      </w:r>
      <w:r w:rsidRPr="00132A6C">
        <w:rPr>
          <w:rStyle w:val="FontStyle16"/>
          <w:spacing w:val="0"/>
          <w:sz w:val="28"/>
          <w:szCs w:val="28"/>
        </w:rPr>
        <w:t>е излучать в соответствующей области спектра в интервале температур 100-250°С, не тушить сигнал ТХЛ и выполнять функции носителя в обычных методиках иммуноанализа. Этим требованиям удовлетворяют такие материалы, как каптон-500Н и тефлон</w:t>
      </w:r>
      <w:r w:rsidR="001A23F4" w:rsidRPr="00132A6C">
        <w:rPr>
          <w:rStyle w:val="FontStyle16"/>
          <w:spacing w:val="0"/>
          <w:sz w:val="28"/>
          <w:szCs w:val="28"/>
        </w:rPr>
        <w:t>.</w:t>
      </w:r>
      <w:r w:rsidRPr="00132A6C">
        <w:rPr>
          <w:rStyle w:val="FontStyle16"/>
          <w:spacing w:val="0"/>
          <w:sz w:val="28"/>
          <w:szCs w:val="28"/>
        </w:rPr>
        <w:t xml:space="preserve"> Компоненты реакционной смеси можно адсорбировать на дисках диаметром </w:t>
      </w:r>
      <w:smartTag w:uri="urn:schemas-microsoft-com:office:smarttags" w:element="metricconverter">
        <w:smartTagPr>
          <w:attr w:name="ProductID" w:val="0,9 см"/>
        </w:smartTagPr>
        <w:r w:rsidRPr="00132A6C">
          <w:rPr>
            <w:rStyle w:val="FontStyle16"/>
            <w:spacing w:val="0"/>
            <w:sz w:val="28"/>
            <w:szCs w:val="28"/>
          </w:rPr>
          <w:t>0,9 см</w:t>
        </w:r>
      </w:smartTag>
      <w:r w:rsidRPr="00132A6C">
        <w:rPr>
          <w:rStyle w:val="FontStyle16"/>
          <w:spacing w:val="0"/>
          <w:sz w:val="28"/>
          <w:szCs w:val="28"/>
        </w:rPr>
        <w:t xml:space="preserve">, изготовленных из этих полимеров. В твердофазном иммуноферментном анализе типа </w:t>
      </w:r>
      <w:r w:rsidRPr="00132A6C">
        <w:rPr>
          <w:rStyle w:val="FontStyle16"/>
          <w:spacing w:val="0"/>
          <w:sz w:val="28"/>
          <w:szCs w:val="28"/>
          <w:lang w:val="en-US"/>
        </w:rPr>
        <w:t>ELISA</w:t>
      </w:r>
      <w:r w:rsidRPr="00132A6C">
        <w:rPr>
          <w:rStyle w:val="FontStyle16"/>
          <w:spacing w:val="0"/>
          <w:sz w:val="28"/>
          <w:szCs w:val="28"/>
        </w:rPr>
        <w:t xml:space="preserve"> эти диски не уступают обычным полистирольным микропланшетам или даже превосходят их. После очень простой очистки фоновый сигнал полимера каптон-500Н составляет около 1 имп./с при 240°С.</w:t>
      </w:r>
    </w:p>
    <w:p w:rsidR="0063665D" w:rsidRPr="00132A6C" w:rsidRDefault="0063665D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 xml:space="preserve">Так, при проведении анализа типа </w:t>
      </w:r>
      <w:r w:rsidRPr="00132A6C">
        <w:rPr>
          <w:rStyle w:val="FontStyle16"/>
          <w:spacing w:val="0"/>
          <w:sz w:val="28"/>
          <w:szCs w:val="28"/>
          <w:lang w:val="en-US"/>
        </w:rPr>
        <w:t>FATIMA</w:t>
      </w:r>
      <w:r w:rsidRPr="00132A6C">
        <w:rPr>
          <w:rStyle w:val="FontStyle16"/>
          <w:spacing w:val="0"/>
          <w:sz w:val="28"/>
          <w:szCs w:val="28"/>
        </w:rPr>
        <w:t xml:space="preserve"> диски из капто-на-500Н, на которые нанесен двухсайтовый иммунный комплекс с ТХЛ-меткой, помещают на небольшой нагревательный элемент. Интенсивность ТХЛ измеряют путем подсчета фотонов за время нагревания от 100°С до 250°С и термостати рования при этой температуре</w:t>
      </w:r>
      <w:r w:rsidR="001A23F4" w:rsidRPr="00132A6C">
        <w:rPr>
          <w:rStyle w:val="FontStyle16"/>
          <w:spacing w:val="0"/>
          <w:sz w:val="28"/>
          <w:szCs w:val="28"/>
        </w:rPr>
        <w:t>.</w:t>
      </w:r>
    </w:p>
    <w:p w:rsidR="0063665D" w:rsidRPr="00132A6C" w:rsidRDefault="0063665D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>Прибор для подсчета фотонов состоит из биметаллического фотоумножителя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 xml:space="preserve">типа </w:t>
      </w:r>
      <w:r w:rsidRPr="00132A6C">
        <w:rPr>
          <w:rStyle w:val="FontStyle16"/>
          <w:spacing w:val="0"/>
          <w:sz w:val="28"/>
          <w:szCs w:val="28"/>
          <w:lang w:val="en-US"/>
        </w:rPr>
        <w:t>EMI</w:t>
      </w:r>
      <w:r w:rsidRPr="00132A6C">
        <w:rPr>
          <w:rStyle w:val="FontStyle16"/>
          <w:spacing w:val="0"/>
          <w:sz w:val="28"/>
          <w:szCs w:val="28"/>
        </w:rPr>
        <w:t xml:space="preserve"> 9893 </w:t>
      </w:r>
      <w:r w:rsidRPr="00132A6C">
        <w:rPr>
          <w:rStyle w:val="FontStyle16"/>
          <w:spacing w:val="0"/>
          <w:sz w:val="28"/>
          <w:szCs w:val="28"/>
          <w:lang w:val="en-US"/>
        </w:rPr>
        <w:t>QA</w:t>
      </w:r>
      <w:r w:rsidRPr="00132A6C">
        <w:rPr>
          <w:rStyle w:val="FontStyle16"/>
          <w:spacing w:val="0"/>
          <w:sz w:val="28"/>
          <w:szCs w:val="28"/>
        </w:rPr>
        <w:t>/350 в неохлаждаемом блоке ТЕ 1004/</w:t>
      </w:r>
      <w:r w:rsidRPr="00132A6C">
        <w:rPr>
          <w:rStyle w:val="FontStyle16"/>
          <w:spacing w:val="0"/>
          <w:sz w:val="28"/>
          <w:szCs w:val="28"/>
          <w:lang w:val="en-US"/>
        </w:rPr>
        <w:t>TS</w:t>
      </w:r>
      <w:r w:rsidRPr="00132A6C">
        <w:rPr>
          <w:rStyle w:val="FontStyle16"/>
          <w:spacing w:val="0"/>
          <w:sz w:val="28"/>
          <w:szCs w:val="28"/>
        </w:rPr>
        <w:t>/110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и светопроводяще-го стеклянного стержня</w:t>
      </w:r>
      <w:r w:rsidR="001A23F4" w:rsidRPr="00132A6C">
        <w:rPr>
          <w:rStyle w:val="FontStyle16"/>
          <w:spacing w:val="0"/>
          <w:sz w:val="28"/>
          <w:szCs w:val="28"/>
        </w:rPr>
        <w:t>,</w:t>
      </w:r>
      <w:r w:rsidRPr="00132A6C">
        <w:rPr>
          <w:rStyle w:val="FontStyle16"/>
          <w:spacing w:val="0"/>
          <w:sz w:val="28"/>
          <w:szCs w:val="28"/>
        </w:rPr>
        <w:t xml:space="preserve"> который соединен с интерференционным фильтром</w:t>
      </w:r>
      <w:r w:rsidR="001A23F4" w:rsidRPr="00132A6C">
        <w:rPr>
          <w:rStyle w:val="FontStyle16"/>
          <w:spacing w:val="0"/>
          <w:sz w:val="28"/>
          <w:szCs w:val="28"/>
        </w:rPr>
        <w:t>,</w:t>
      </w:r>
      <w:r w:rsidRPr="00132A6C">
        <w:rPr>
          <w:rStyle w:val="FontStyle16"/>
          <w:spacing w:val="0"/>
          <w:sz w:val="28"/>
          <w:szCs w:val="28"/>
        </w:rPr>
        <w:t xml:space="preserve"> пропускающим короткие волны</w:t>
      </w:r>
      <w:r w:rsidR="001A23F4" w:rsidRPr="00132A6C">
        <w:rPr>
          <w:rStyle w:val="FontStyle16"/>
          <w:spacing w:val="0"/>
          <w:sz w:val="28"/>
          <w:szCs w:val="28"/>
        </w:rPr>
        <w:t>.</w:t>
      </w:r>
      <w:r w:rsidRPr="00132A6C">
        <w:rPr>
          <w:rStyle w:val="FontStyle16"/>
          <w:spacing w:val="0"/>
          <w:sz w:val="28"/>
          <w:szCs w:val="28"/>
        </w:rPr>
        <w:t xml:space="preserve"> Сигнал на ФЭУ предварительно усиливается и подается на блок дискриминатор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- счетчик фотонов</w:t>
      </w:r>
      <w:r w:rsidR="001A23F4" w:rsidRPr="00132A6C">
        <w:rPr>
          <w:rStyle w:val="FontStyle16"/>
          <w:spacing w:val="0"/>
          <w:sz w:val="28"/>
          <w:szCs w:val="28"/>
        </w:rPr>
        <w:t>.</w:t>
      </w:r>
      <w:r w:rsidRPr="00132A6C">
        <w:rPr>
          <w:rStyle w:val="FontStyle16"/>
          <w:spacing w:val="0"/>
          <w:sz w:val="28"/>
          <w:szCs w:val="28"/>
        </w:rPr>
        <w:t xml:space="preserve"> Держатель с нагревательным элементом и образцом соединяют с блоком ФЭУ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таким образом, чтобы оставался небольшой свободный объем камеры</w:t>
      </w:r>
      <w:r w:rsidR="001A23F4" w:rsidRPr="00132A6C">
        <w:rPr>
          <w:rStyle w:val="FontStyle16"/>
          <w:spacing w:val="0"/>
          <w:sz w:val="28"/>
          <w:szCs w:val="28"/>
        </w:rPr>
        <w:t>,</w:t>
      </w:r>
      <w:r w:rsidRPr="00132A6C">
        <w:rPr>
          <w:rStyle w:val="FontStyle16"/>
          <w:spacing w:val="0"/>
          <w:sz w:val="28"/>
          <w:szCs w:val="28"/>
        </w:rPr>
        <w:t xml:space="preserve"> который продувается слабым током газообразного азота. Принципиальная схема и внешний вид прибора представлены </w:t>
      </w:r>
      <w:r w:rsidR="00FE380E">
        <w:rPr>
          <w:rStyle w:val="FontStyle16"/>
          <w:spacing w:val="0"/>
          <w:sz w:val="28"/>
          <w:szCs w:val="28"/>
        </w:rPr>
        <w:t>н</w:t>
      </w:r>
      <w:r w:rsidRPr="00132A6C">
        <w:rPr>
          <w:rStyle w:val="FontStyle16"/>
          <w:spacing w:val="0"/>
          <w:sz w:val="28"/>
          <w:szCs w:val="28"/>
        </w:rPr>
        <w:t>а рис. 14-16.</w:t>
      </w:r>
    </w:p>
    <w:p w:rsidR="0063665D" w:rsidRDefault="0063665D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 xml:space="preserve">В полностью автоматизированной системе робот </w:t>
      </w:r>
      <w:r w:rsidRPr="00132A6C">
        <w:rPr>
          <w:rStyle w:val="FontStyle16"/>
          <w:spacing w:val="0"/>
          <w:sz w:val="28"/>
          <w:szCs w:val="28"/>
          <w:lang w:val="en-US"/>
        </w:rPr>
        <w:t>Movemaster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перемещает диски с пробами к нагревателю и затем закрывает камеру. Далее включаются питание блока ФЭУ и нагреватель пробы. По завершении определенного периода нагревания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 xml:space="preserve">питание блока ФЭУ отключается, робот открывает камеру, извлекает и отбрасывает пробу. Результаты измерения ТХЛ регистрируются и обрабатываются компьютером </w:t>
      </w:r>
      <w:r w:rsidRPr="00132A6C">
        <w:rPr>
          <w:rStyle w:val="FontStyle16"/>
          <w:spacing w:val="0"/>
          <w:sz w:val="28"/>
          <w:szCs w:val="28"/>
          <w:lang w:val="en-US"/>
        </w:rPr>
        <w:t>Apple</w:t>
      </w:r>
      <w:r w:rsidRPr="00132A6C">
        <w:rPr>
          <w:rStyle w:val="FontStyle16"/>
          <w:spacing w:val="0"/>
          <w:sz w:val="28"/>
          <w:szCs w:val="28"/>
        </w:rPr>
        <w:t>, который контролирует всю систему, а также строит калибровочный график. Обсуждаемая система способна обрабатывать 4 специальных микротитровальных планшета стандартного размера, содержащих в общей сложности 240 проб. Система отличается исключительно высокой гибкостью, что позволяет применять ее в исследовательских работах при разработке любых анализов на основе ТХЛ-меток.</w:t>
      </w:r>
    </w:p>
    <w:p w:rsidR="0063665D" w:rsidRPr="002F1A00" w:rsidRDefault="00A06EE4" w:rsidP="00A06EE4">
      <w:pPr>
        <w:pStyle w:val="Style2"/>
        <w:widowControl/>
        <w:spacing w:line="360" w:lineRule="auto"/>
        <w:ind w:firstLine="720"/>
        <w:jc w:val="center"/>
        <w:rPr>
          <w:rStyle w:val="FontStyle16"/>
          <w:b/>
          <w:spacing w:val="0"/>
          <w:sz w:val="28"/>
          <w:szCs w:val="28"/>
        </w:rPr>
      </w:pPr>
      <w:r>
        <w:rPr>
          <w:rStyle w:val="FontStyle16"/>
          <w:spacing w:val="0"/>
          <w:sz w:val="28"/>
          <w:szCs w:val="28"/>
        </w:rPr>
        <w:br w:type="page"/>
      </w:r>
      <w:r w:rsidR="002F1A00" w:rsidRPr="002F1A00">
        <w:rPr>
          <w:rStyle w:val="FontStyle16"/>
          <w:b/>
          <w:spacing w:val="0"/>
          <w:sz w:val="28"/>
          <w:szCs w:val="28"/>
        </w:rPr>
        <w:t>Определение хорионического гонадотропина человека с помощью термохемилюминесцентного иммуноанализа</w:t>
      </w:r>
    </w:p>
    <w:p w:rsidR="002F1A00" w:rsidRDefault="002F1A00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</w:p>
    <w:p w:rsidR="0063665D" w:rsidRPr="00132A6C" w:rsidRDefault="0063665D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>Разработана методика двухсайтового твердофазного термохемилюминесцентного иммуноанализа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для определения хорионического гонадотропина человека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 xml:space="preserve">с использованием дисков из каптона-500Н, на которые нанесены моноклинальные антитела против </w:t>
      </w:r>
      <w:r w:rsidRPr="00132A6C">
        <w:rPr>
          <w:rStyle w:val="FontStyle16"/>
          <w:spacing w:val="0"/>
          <w:sz w:val="28"/>
          <w:szCs w:val="28"/>
          <w:lang w:val="en-US"/>
        </w:rPr>
        <w:t>hCG</w:t>
      </w:r>
      <w:r w:rsidRPr="00132A6C">
        <w:rPr>
          <w:rStyle w:val="FontStyle16"/>
          <w:spacing w:val="0"/>
          <w:sz w:val="28"/>
          <w:szCs w:val="28"/>
        </w:rPr>
        <w:t xml:space="preserve"> и моноклональные антитела против другого эпитопа,</w:t>
      </w:r>
      <w:r w:rsidR="001A23F4" w:rsidRPr="00132A6C">
        <w:rPr>
          <w:rStyle w:val="FontStyle16"/>
          <w:spacing w:val="0"/>
          <w:sz w:val="28"/>
          <w:szCs w:val="28"/>
        </w:rPr>
        <w:t>.</w:t>
      </w:r>
      <w:r w:rsidRPr="00132A6C">
        <w:rPr>
          <w:rStyle w:val="FontStyle16"/>
          <w:spacing w:val="0"/>
          <w:sz w:val="28"/>
          <w:szCs w:val="28"/>
        </w:rPr>
        <w:t>содержащие несколько остатков ТХЛ-метки</w:t>
      </w:r>
      <w:r w:rsidR="001A23F4" w:rsidRPr="00132A6C">
        <w:rPr>
          <w:rStyle w:val="FontStyle16"/>
          <w:spacing w:val="0"/>
          <w:sz w:val="28"/>
          <w:szCs w:val="28"/>
        </w:rPr>
        <w:t>.</w:t>
      </w:r>
      <w:r w:rsidRPr="00132A6C">
        <w:rPr>
          <w:rStyle w:val="FontStyle16"/>
          <w:spacing w:val="0"/>
          <w:sz w:val="28"/>
          <w:szCs w:val="28"/>
        </w:rPr>
        <w:t xml:space="preserve"> В этом анализе принцип усиления не применялся.</w:t>
      </w:r>
    </w:p>
    <w:p w:rsidR="0063665D" w:rsidRDefault="0063665D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7"/>
          <w:spacing w:val="0"/>
          <w:sz w:val="28"/>
          <w:szCs w:val="28"/>
        </w:rPr>
        <w:t xml:space="preserve">Приготовление меченых антител. </w:t>
      </w:r>
      <w:r w:rsidR="002F1A00">
        <w:rPr>
          <w:rStyle w:val="FontStyle16"/>
          <w:spacing w:val="0"/>
          <w:sz w:val="28"/>
          <w:szCs w:val="28"/>
        </w:rPr>
        <w:t>К моноклональ</w:t>
      </w:r>
      <w:r w:rsidRPr="00132A6C">
        <w:rPr>
          <w:rStyle w:val="FontStyle16"/>
          <w:spacing w:val="0"/>
          <w:sz w:val="28"/>
          <w:szCs w:val="28"/>
        </w:rPr>
        <w:t xml:space="preserve">ным мышиным антителам против </w:t>
      </w:r>
      <w:r w:rsidRPr="00132A6C">
        <w:rPr>
          <w:rStyle w:val="FontStyle16"/>
          <w:spacing w:val="0"/>
          <w:sz w:val="28"/>
          <w:szCs w:val="28"/>
          <w:lang w:val="en-US"/>
        </w:rPr>
        <w:t>hCG</w:t>
      </w:r>
      <w:r w:rsidR="001A23F4" w:rsidRPr="00132A6C">
        <w:rPr>
          <w:rStyle w:val="FontStyle16"/>
          <w:spacing w:val="0"/>
          <w:sz w:val="28"/>
          <w:szCs w:val="28"/>
        </w:rPr>
        <w:t>,</w:t>
      </w:r>
      <w:r w:rsidRPr="00132A6C">
        <w:rPr>
          <w:rStyle w:val="FontStyle16"/>
          <w:spacing w:val="0"/>
          <w:sz w:val="28"/>
          <w:szCs w:val="28"/>
        </w:rPr>
        <w:t xml:space="preserve"> растворенным в 1мл 0,9% </w:t>
      </w:r>
      <w:r w:rsidRPr="00132A6C">
        <w:rPr>
          <w:rStyle w:val="FontStyle16"/>
          <w:spacing w:val="0"/>
          <w:sz w:val="28"/>
          <w:szCs w:val="28"/>
          <w:lang w:val="en-US"/>
        </w:rPr>
        <w:t>NaCl</w:t>
      </w:r>
      <w:r w:rsidR="001A23F4" w:rsidRPr="00132A6C">
        <w:rPr>
          <w:rStyle w:val="FontStyle16"/>
          <w:spacing w:val="0"/>
          <w:sz w:val="28"/>
          <w:szCs w:val="28"/>
        </w:rPr>
        <w:t>,</w:t>
      </w:r>
      <w:r w:rsidRPr="00132A6C">
        <w:rPr>
          <w:rStyle w:val="FontStyle16"/>
          <w:spacing w:val="0"/>
          <w:sz w:val="28"/>
          <w:szCs w:val="28"/>
        </w:rPr>
        <w:t xml:space="preserve"> добавляют 1мл </w:t>
      </w:r>
      <w:smartTag w:uri="urn:schemas-microsoft-com:office:smarttags" w:element="metricconverter">
        <w:smartTagPr>
          <w:attr w:name="ProductID" w:val="100 мМ"/>
        </w:smartTagPr>
        <w:r w:rsidRPr="00132A6C">
          <w:rPr>
            <w:rStyle w:val="FontStyle16"/>
            <w:spacing w:val="0"/>
            <w:sz w:val="28"/>
            <w:szCs w:val="28"/>
          </w:rPr>
          <w:t>100 мМ</w:t>
        </w:r>
      </w:smartTag>
      <w:r w:rsidRPr="00132A6C">
        <w:rPr>
          <w:rStyle w:val="FontStyle16"/>
          <w:spacing w:val="0"/>
          <w:sz w:val="28"/>
          <w:szCs w:val="28"/>
        </w:rPr>
        <w:t xml:space="preserve"> боратного буфера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и затем 200 мкл раствора соединения VIII в 1,4-диоксане</w:t>
      </w:r>
      <w:r w:rsidR="001A23F4" w:rsidRPr="00132A6C">
        <w:rPr>
          <w:rStyle w:val="FontStyle16"/>
          <w:spacing w:val="0"/>
          <w:sz w:val="28"/>
          <w:szCs w:val="28"/>
        </w:rPr>
        <w:t>.</w:t>
      </w:r>
      <w:r w:rsidRPr="00132A6C">
        <w:rPr>
          <w:rStyle w:val="FontStyle16"/>
          <w:spacing w:val="0"/>
          <w:sz w:val="28"/>
          <w:szCs w:val="28"/>
        </w:rPr>
        <w:t xml:space="preserve"> Раствор осторожно перемешивают 2 ч при комнатной температуре. Реакцию останавливают диализом против боратного буфера при 4°С. Как показало измерение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активности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ТХЛ-метки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этого конъюгата</w:t>
      </w:r>
      <w:r w:rsidR="002F1A00">
        <w:rPr>
          <w:rStyle w:val="FontStyle16"/>
          <w:spacing w:val="0"/>
          <w:sz w:val="28"/>
          <w:szCs w:val="28"/>
        </w:rPr>
        <w:t>,</w:t>
      </w:r>
      <w:r w:rsidR="00FE380E" w:rsidRPr="00FE380E">
        <w:rPr>
          <w:rStyle w:val="FontStyle16"/>
          <w:spacing w:val="0"/>
          <w:sz w:val="28"/>
          <w:szCs w:val="28"/>
        </w:rPr>
        <w:t xml:space="preserve"> </w:t>
      </w:r>
      <w:r w:rsidR="00FE380E" w:rsidRPr="00132A6C">
        <w:rPr>
          <w:rStyle w:val="FontStyle16"/>
          <w:spacing w:val="0"/>
          <w:sz w:val="28"/>
          <w:szCs w:val="28"/>
        </w:rPr>
        <w:t>эффективность введениях метки равна 40%.</w:t>
      </w:r>
    </w:p>
    <w:p w:rsidR="002F1A00" w:rsidRPr="00132A6C" w:rsidRDefault="002F1A00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</w:p>
    <w:p w:rsidR="0063665D" w:rsidRPr="00132A6C" w:rsidRDefault="00C65BCA" w:rsidP="00132A6C">
      <w:pPr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318pt;height:299.25pt">
            <v:imagedata r:id="rId16" o:title=""/>
          </v:shape>
        </w:pict>
      </w:r>
    </w:p>
    <w:p w:rsidR="0063665D" w:rsidRPr="00132A6C" w:rsidRDefault="0063665D" w:rsidP="00132A6C">
      <w:pPr>
        <w:pStyle w:val="Style3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 xml:space="preserve">Иммунная реактивность конъюгата моноклональных антител против </w:t>
      </w:r>
      <w:r w:rsidRPr="00132A6C">
        <w:rPr>
          <w:rStyle w:val="FontStyle16"/>
          <w:spacing w:val="0"/>
          <w:sz w:val="28"/>
          <w:szCs w:val="28"/>
          <w:lang w:val="en-US"/>
        </w:rPr>
        <w:t>hCG</w:t>
      </w:r>
      <w:r w:rsidRPr="00132A6C">
        <w:rPr>
          <w:rStyle w:val="FontStyle16"/>
          <w:spacing w:val="0"/>
          <w:sz w:val="28"/>
          <w:szCs w:val="28"/>
        </w:rPr>
        <w:t xml:space="preserve"> с 10 остатками соединения VIII подтверждена методом иммуноферментного анализа типа </w:t>
      </w:r>
      <w:r w:rsidRPr="00132A6C">
        <w:rPr>
          <w:rStyle w:val="FontStyle16"/>
          <w:spacing w:val="0"/>
          <w:sz w:val="28"/>
          <w:szCs w:val="28"/>
          <w:lang w:val="en-US"/>
        </w:rPr>
        <w:t>ELISA</w:t>
      </w:r>
      <w:r w:rsidRPr="00132A6C">
        <w:rPr>
          <w:rStyle w:val="FontStyle16"/>
          <w:spacing w:val="0"/>
          <w:sz w:val="28"/>
          <w:szCs w:val="28"/>
        </w:rPr>
        <w:t xml:space="preserve"> путем изучения конкурентного связывания в сравнении с коныогатом моноклональных антител против </w:t>
      </w:r>
      <w:r w:rsidRPr="00132A6C">
        <w:rPr>
          <w:rStyle w:val="FontStyle16"/>
          <w:spacing w:val="0"/>
          <w:sz w:val="28"/>
          <w:szCs w:val="28"/>
          <w:lang w:val="en-US"/>
        </w:rPr>
        <w:t>hCG</w:t>
      </w:r>
      <w:r w:rsidRPr="00132A6C">
        <w:rPr>
          <w:rStyle w:val="FontStyle16"/>
          <w:spacing w:val="0"/>
          <w:sz w:val="28"/>
          <w:szCs w:val="28"/>
        </w:rPr>
        <w:t xml:space="preserve"> с пероксидазой хрена. Удельная активность ТХЛ-метки полностью сохранялась при добавлении бычьей сыворотки и стандартов </w:t>
      </w:r>
      <w:r w:rsidRPr="00132A6C">
        <w:rPr>
          <w:rStyle w:val="FontStyle16"/>
          <w:spacing w:val="0"/>
          <w:sz w:val="28"/>
          <w:szCs w:val="28"/>
          <w:lang w:val="en-US"/>
        </w:rPr>
        <w:t>hCG</w:t>
      </w:r>
      <w:r w:rsidRPr="00132A6C">
        <w:rPr>
          <w:rStyle w:val="FontStyle16"/>
          <w:spacing w:val="0"/>
          <w:sz w:val="28"/>
          <w:szCs w:val="28"/>
        </w:rPr>
        <w:t>.</w:t>
      </w:r>
    </w:p>
    <w:p w:rsidR="0063665D" w:rsidRDefault="0063665D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7"/>
          <w:spacing w:val="0"/>
          <w:sz w:val="28"/>
          <w:szCs w:val="28"/>
        </w:rPr>
        <w:t xml:space="preserve">Выполнение анализа. </w:t>
      </w:r>
      <w:r w:rsidRPr="00132A6C">
        <w:rPr>
          <w:rStyle w:val="FontStyle16"/>
          <w:spacing w:val="0"/>
          <w:sz w:val="28"/>
          <w:szCs w:val="28"/>
        </w:rPr>
        <w:t xml:space="preserve">На диски из каптона-500Н наносят специфические мышиные моноклональные антитела против /3-цепи </w:t>
      </w:r>
      <w:r w:rsidRPr="00132A6C">
        <w:rPr>
          <w:rStyle w:val="FontStyle16"/>
          <w:spacing w:val="0"/>
          <w:sz w:val="28"/>
          <w:szCs w:val="28"/>
          <w:lang w:val="en-US"/>
        </w:rPr>
        <w:t>hCG</w:t>
      </w:r>
      <w:r w:rsidRPr="00132A6C">
        <w:rPr>
          <w:rStyle w:val="FontStyle16"/>
          <w:spacing w:val="0"/>
          <w:sz w:val="28"/>
          <w:szCs w:val="28"/>
        </w:rPr>
        <w:t>, дважды промывают боратным буфером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 xml:space="preserve">и инкубируют в течение ночи с 160 мкл стандарта </w:t>
      </w:r>
      <w:r w:rsidRPr="00132A6C">
        <w:rPr>
          <w:rStyle w:val="FontStyle16"/>
          <w:spacing w:val="0"/>
          <w:sz w:val="28"/>
          <w:szCs w:val="28"/>
          <w:lang w:val="en-US"/>
        </w:rPr>
        <w:t>hCG</w:t>
      </w:r>
      <w:r w:rsidRPr="00132A6C">
        <w:rPr>
          <w:rStyle w:val="FontStyle16"/>
          <w:spacing w:val="0"/>
          <w:sz w:val="28"/>
          <w:szCs w:val="28"/>
        </w:rPr>
        <w:t>, содержащего 40% бычьей сыворотки, 50-60% боратного буфера и 19 мкг/мл меченого конъюгата. На рис. 17 представлена калибровочная кривая, построенная по усредненным результатам 5 измерений. Интенсивность ТХЛ определяли с помощью автоматической системы, описанной в предыдущем разделе.</w:t>
      </w:r>
    </w:p>
    <w:p w:rsidR="0063665D" w:rsidRDefault="002F1A00" w:rsidP="00FE380E">
      <w:pPr>
        <w:pStyle w:val="Style2"/>
        <w:widowControl/>
        <w:spacing w:line="360" w:lineRule="auto"/>
        <w:ind w:firstLine="720"/>
        <w:jc w:val="center"/>
        <w:rPr>
          <w:rStyle w:val="FontStyle16"/>
          <w:b/>
          <w:spacing w:val="0"/>
          <w:sz w:val="28"/>
          <w:szCs w:val="28"/>
        </w:rPr>
      </w:pPr>
      <w:r>
        <w:rPr>
          <w:rStyle w:val="FontStyle16"/>
          <w:spacing w:val="0"/>
          <w:sz w:val="28"/>
          <w:szCs w:val="28"/>
        </w:rPr>
        <w:br w:type="page"/>
      </w:r>
      <w:r w:rsidRPr="002F1A00">
        <w:rPr>
          <w:rStyle w:val="FontStyle16"/>
          <w:b/>
          <w:spacing w:val="0"/>
          <w:sz w:val="28"/>
          <w:szCs w:val="28"/>
        </w:rPr>
        <w:t>Заключение</w:t>
      </w:r>
    </w:p>
    <w:p w:rsidR="002F1A00" w:rsidRPr="002F1A00" w:rsidRDefault="002F1A00" w:rsidP="002F1A00">
      <w:pPr>
        <w:pStyle w:val="Style2"/>
        <w:widowControl/>
        <w:spacing w:line="360" w:lineRule="auto"/>
        <w:ind w:firstLine="720"/>
        <w:jc w:val="center"/>
        <w:rPr>
          <w:rStyle w:val="FontStyle16"/>
          <w:b/>
          <w:spacing w:val="0"/>
          <w:sz w:val="28"/>
          <w:szCs w:val="28"/>
        </w:rPr>
      </w:pPr>
    </w:p>
    <w:p w:rsidR="0063665D" w:rsidRPr="00132A6C" w:rsidRDefault="0063665D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>Обладающие хемилюминесцентной активностью соединения можно получить в форме, позволяющей связать их с компонентами иммунохимической реакции. При использовании в качестве ТХЛ-меток. устойчивых 1,2-диоксетанов для количественного определения меченых соединении достаточно одного нагревания. По указанным ниже причинам для э</w:t>
      </w:r>
      <w:r w:rsidR="00FE380E">
        <w:rPr>
          <w:rStyle w:val="FontStyle16"/>
          <w:spacing w:val="0"/>
          <w:sz w:val="28"/>
          <w:szCs w:val="28"/>
        </w:rPr>
        <w:t>той цели особенно удобны 1,2-ди</w:t>
      </w:r>
      <w:r w:rsidRPr="00132A6C">
        <w:rPr>
          <w:rStyle w:val="FontStyle16"/>
          <w:spacing w:val="0"/>
          <w:sz w:val="28"/>
          <w:szCs w:val="28"/>
        </w:rPr>
        <w:t>оксетаны, получаемые из различных функционально-замещенных адамантилиденадамантанов.</w:t>
      </w:r>
    </w:p>
    <w:p w:rsidR="0063665D" w:rsidRPr="00132A6C" w:rsidRDefault="0063665D" w:rsidP="00132A6C">
      <w:pPr>
        <w:pStyle w:val="Style4"/>
        <w:widowControl/>
        <w:numPr>
          <w:ilvl w:val="0"/>
          <w:numId w:val="1"/>
        </w:numPr>
        <w:tabs>
          <w:tab w:val="left" w:pos="749"/>
        </w:tabs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>Термическая, а также химическая устойчивость этих меток позволяет долго хранить как сами метки, так и их кон</w:t>
      </w:r>
      <w:r w:rsidR="00FE380E">
        <w:rPr>
          <w:rStyle w:val="FontStyle16"/>
          <w:spacing w:val="0"/>
          <w:sz w:val="28"/>
          <w:szCs w:val="28"/>
        </w:rPr>
        <w:t>ью</w:t>
      </w:r>
      <w:r w:rsidRPr="00132A6C">
        <w:rPr>
          <w:rStyle w:val="FontStyle16"/>
          <w:spacing w:val="0"/>
          <w:sz w:val="28"/>
          <w:szCs w:val="28"/>
        </w:rPr>
        <w:t>гаты, применять буферные растворы с широким диапазоном рН, компоненты сыворотки и органические растворители, не опасаясь заметного разложения этих меток.</w:t>
      </w:r>
    </w:p>
    <w:p w:rsidR="0063665D" w:rsidRPr="00132A6C" w:rsidRDefault="0063665D" w:rsidP="00132A6C">
      <w:pPr>
        <w:pStyle w:val="Style4"/>
        <w:widowControl/>
        <w:numPr>
          <w:ilvl w:val="0"/>
          <w:numId w:val="1"/>
        </w:numPr>
        <w:tabs>
          <w:tab w:val="left" w:pos="749"/>
        </w:tabs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>Термохемилюмннесцентные реакции - это процессы первого порядка. Поэтому кинетика реакции не зависит от содержания метки в пробе. Ошибочные измерения можно отбросить с помощью алгоритма подгонки кривой.</w:t>
      </w:r>
    </w:p>
    <w:p w:rsidR="0063665D" w:rsidRPr="00132A6C" w:rsidRDefault="0063665D" w:rsidP="00132A6C">
      <w:pPr>
        <w:pStyle w:val="Style4"/>
        <w:widowControl/>
        <w:numPr>
          <w:ilvl w:val="0"/>
          <w:numId w:val="1"/>
        </w:numPr>
        <w:tabs>
          <w:tab w:val="left" w:pos="749"/>
        </w:tabs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>Для измерения интенсивности ТХЛ не нужны дополнительные химические реагенты.</w:t>
      </w:r>
    </w:p>
    <w:p w:rsidR="0063665D" w:rsidRPr="00132A6C" w:rsidRDefault="0063665D" w:rsidP="00132A6C">
      <w:pPr>
        <w:pStyle w:val="Style4"/>
        <w:widowControl/>
        <w:numPr>
          <w:ilvl w:val="0"/>
          <w:numId w:val="1"/>
        </w:numPr>
        <w:tabs>
          <w:tab w:val="left" w:pos="749"/>
        </w:tabs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>ТХЛ-меткн легко синтезировать с высоким выходом, воспроизводимой высокой степенью чистоты и высокой удельной активностью.</w:t>
      </w:r>
    </w:p>
    <w:p w:rsidR="0063665D" w:rsidRPr="00132A6C" w:rsidRDefault="0063665D" w:rsidP="00132A6C">
      <w:pPr>
        <w:pStyle w:val="Style4"/>
        <w:widowControl/>
        <w:numPr>
          <w:ilvl w:val="0"/>
          <w:numId w:val="1"/>
        </w:numPr>
        <w:tabs>
          <w:tab w:val="left" w:pos="749"/>
        </w:tabs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>Так как эти метки бесцветны, самогашение не наблюдается и в белки можно вводить большое число меток без потери удельной активности.</w:t>
      </w:r>
    </w:p>
    <w:p w:rsidR="0063665D" w:rsidRPr="00FE380E" w:rsidRDefault="0063665D" w:rsidP="00132A6C">
      <w:pPr>
        <w:pStyle w:val="Style4"/>
        <w:widowControl/>
        <w:numPr>
          <w:ilvl w:val="0"/>
          <w:numId w:val="1"/>
        </w:numPr>
        <w:tabs>
          <w:tab w:val="left" w:pos="749"/>
        </w:tabs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FE380E">
        <w:rPr>
          <w:rStyle w:val="FontStyle16"/>
          <w:spacing w:val="0"/>
          <w:sz w:val="28"/>
          <w:szCs w:val="28"/>
        </w:rPr>
        <w:t>Хотя удельная активность диадамантил-1,2-диоксетанов невысока</w:t>
      </w:r>
      <w:r w:rsidR="001A23F4" w:rsidRPr="00FE380E">
        <w:rPr>
          <w:rStyle w:val="FontStyle16"/>
          <w:spacing w:val="0"/>
          <w:sz w:val="28"/>
          <w:szCs w:val="28"/>
        </w:rPr>
        <w:t>,</w:t>
      </w:r>
      <w:r w:rsidRPr="00FE380E">
        <w:rPr>
          <w:rStyle w:val="FontStyle16"/>
          <w:spacing w:val="0"/>
          <w:sz w:val="28"/>
          <w:szCs w:val="28"/>
        </w:rPr>
        <w:t xml:space="preserve"> интенсивность ХЛ можно увеличить в 40 раз за счет переноса энергии к термически устойчивым</w:t>
      </w:r>
      <w:r w:rsidR="00FE380E">
        <w:rPr>
          <w:rStyle w:val="FontStyle16"/>
          <w:spacing w:val="0"/>
          <w:sz w:val="28"/>
          <w:szCs w:val="28"/>
        </w:rPr>
        <w:t xml:space="preserve"> </w:t>
      </w:r>
      <w:r w:rsidRPr="00FE380E">
        <w:rPr>
          <w:rStyle w:val="FontStyle16"/>
          <w:spacing w:val="0"/>
          <w:sz w:val="28"/>
          <w:szCs w:val="28"/>
        </w:rPr>
        <w:t>флуорофорам, например СКП-9,10-дифенилантрацену. При добавлении акцепторных соединений типа флуоресцеина или рубрена наблюдается сдвиг ТХЛ в красную область спектра.</w:t>
      </w:r>
    </w:p>
    <w:p w:rsidR="001A23F4" w:rsidRPr="00132A6C" w:rsidRDefault="0063665D" w:rsidP="00132A6C">
      <w:pPr>
        <w:pStyle w:val="Style2"/>
        <w:widowControl/>
        <w:spacing w:line="360" w:lineRule="auto"/>
        <w:ind w:firstLine="720"/>
        <w:rPr>
          <w:rStyle w:val="FontStyle16"/>
          <w:spacing w:val="0"/>
          <w:sz w:val="28"/>
          <w:szCs w:val="28"/>
        </w:rPr>
      </w:pPr>
      <w:r w:rsidRPr="00132A6C">
        <w:rPr>
          <w:rStyle w:val="FontStyle16"/>
          <w:spacing w:val="0"/>
          <w:sz w:val="28"/>
          <w:szCs w:val="28"/>
        </w:rPr>
        <w:t>7) В небольшие белки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можно вводить большое число ТХЛ-меток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и остатков ДФА</w:t>
      </w:r>
      <w:r w:rsidR="001A23F4" w:rsidRPr="00132A6C">
        <w:rPr>
          <w:rStyle w:val="FontStyle16"/>
          <w:spacing w:val="0"/>
          <w:sz w:val="28"/>
          <w:szCs w:val="28"/>
        </w:rPr>
        <w:t>;</w:t>
      </w:r>
      <w:r w:rsidRPr="00132A6C">
        <w:rPr>
          <w:rStyle w:val="FontStyle16"/>
          <w:spacing w:val="0"/>
          <w:sz w:val="28"/>
          <w:szCs w:val="28"/>
        </w:rPr>
        <w:t xml:space="preserve"> таким </w:t>
      </w:r>
      <w:r w:rsidR="002F185B" w:rsidRPr="00132A6C">
        <w:rPr>
          <w:rStyle w:val="FontStyle16"/>
          <w:spacing w:val="0"/>
          <w:sz w:val="28"/>
          <w:szCs w:val="28"/>
        </w:rPr>
        <w:t>образом,</w:t>
      </w:r>
      <w:r w:rsidRPr="00132A6C">
        <w:rPr>
          <w:rStyle w:val="FontStyle16"/>
          <w:spacing w:val="0"/>
          <w:sz w:val="28"/>
          <w:szCs w:val="28"/>
        </w:rPr>
        <w:t xml:space="preserve"> получают эффективно термохемилюминесци-рующий белок, который в свою очередь можно использовать как водорастворимую метку. В настоящее время удается определять ТХЛ только сухих проб, выдерживающих нагревание до 250°С; водные растворы</w:t>
      </w:r>
      <w:r w:rsidR="001A23F4" w:rsidRPr="00132A6C">
        <w:rPr>
          <w:rStyle w:val="FontStyle16"/>
          <w:spacing w:val="0"/>
          <w:sz w:val="28"/>
          <w:szCs w:val="28"/>
        </w:rPr>
        <w:t xml:space="preserve"> </w:t>
      </w:r>
      <w:r w:rsidRPr="00132A6C">
        <w:rPr>
          <w:rStyle w:val="FontStyle16"/>
          <w:spacing w:val="0"/>
          <w:sz w:val="28"/>
          <w:szCs w:val="28"/>
        </w:rPr>
        <w:t>анализировать нельзя. Бол</w:t>
      </w:r>
      <w:r w:rsidRPr="00132A6C">
        <w:rPr>
          <w:rStyle w:val="FontStyle16"/>
          <w:strike/>
          <w:spacing w:val="0"/>
          <w:sz w:val="28"/>
          <w:szCs w:val="28"/>
        </w:rPr>
        <w:t>ьш</w:t>
      </w:r>
      <w:r w:rsidRPr="00132A6C">
        <w:rPr>
          <w:rStyle w:val="FontStyle16"/>
          <w:spacing w:val="0"/>
          <w:sz w:val="28"/>
          <w:szCs w:val="28"/>
        </w:rPr>
        <w:t>и</w:t>
      </w:r>
      <w:r w:rsidRPr="00132A6C">
        <w:rPr>
          <w:rStyle w:val="FontStyle16"/>
          <w:strike/>
          <w:spacing w:val="0"/>
          <w:sz w:val="28"/>
          <w:szCs w:val="28"/>
        </w:rPr>
        <w:t>н</w:t>
      </w:r>
      <w:r w:rsidRPr="00132A6C">
        <w:rPr>
          <w:rStyle w:val="FontStyle16"/>
          <w:spacing w:val="0"/>
          <w:sz w:val="28"/>
          <w:szCs w:val="28"/>
        </w:rPr>
        <w:t xml:space="preserve">ство элементов этого нового метода постоянно совершенствуются, но наиболее существенного улучшения следует ожидать от разработки системы нагревания проб, в которой повышение температуры должно быть очень быстрым, строго локализованным и осуществляться точно по заданной программе. Методика определения </w:t>
      </w:r>
      <w:r w:rsidRPr="00132A6C">
        <w:rPr>
          <w:rStyle w:val="FontStyle16"/>
          <w:spacing w:val="0"/>
          <w:sz w:val="28"/>
          <w:szCs w:val="28"/>
          <w:lang w:val="en-US"/>
        </w:rPr>
        <w:t>hCG</w:t>
      </w:r>
      <w:r w:rsidRPr="00132A6C">
        <w:rPr>
          <w:rStyle w:val="FontStyle16"/>
          <w:spacing w:val="0"/>
          <w:sz w:val="28"/>
          <w:szCs w:val="28"/>
        </w:rPr>
        <w:t xml:space="preserve"> убедительно показывает, что цели, стоящие перед иммуноанализами типа ТИА и </w:t>
      </w:r>
      <w:r w:rsidRPr="00132A6C">
        <w:rPr>
          <w:rStyle w:val="FontStyle16"/>
          <w:spacing w:val="0"/>
          <w:sz w:val="28"/>
          <w:szCs w:val="28"/>
          <w:lang w:val="en-US"/>
        </w:rPr>
        <w:t>FATIMA</w:t>
      </w:r>
      <w:r w:rsidRPr="00132A6C">
        <w:rPr>
          <w:rStyle w:val="FontStyle16"/>
          <w:spacing w:val="0"/>
          <w:sz w:val="28"/>
          <w:szCs w:val="28"/>
        </w:rPr>
        <w:t>, вполне достижимы.</w:t>
      </w:r>
      <w:bookmarkStart w:id="0" w:name="_GoBack"/>
      <w:bookmarkEnd w:id="0"/>
    </w:p>
    <w:sectPr w:rsidR="001A23F4" w:rsidRPr="00132A6C" w:rsidSect="00132A6C">
      <w:pgSz w:w="11905" w:h="16837"/>
      <w:pgMar w:top="1134" w:right="851" w:bottom="1134" w:left="1701" w:header="720" w:footer="720" w:gutter="0"/>
      <w:cols w:space="60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070" w:rsidRDefault="00491070">
      <w:r>
        <w:separator/>
      </w:r>
    </w:p>
  </w:endnote>
  <w:endnote w:type="continuationSeparator" w:id="0">
    <w:p w:rsidR="00491070" w:rsidRDefault="00491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070" w:rsidRDefault="00491070">
      <w:r>
        <w:separator/>
      </w:r>
    </w:p>
  </w:footnote>
  <w:footnote w:type="continuationSeparator" w:id="0">
    <w:p w:rsidR="00491070" w:rsidRDefault="004910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F61EDD"/>
    <w:multiLevelType w:val="singleLevel"/>
    <w:tmpl w:val="7F5C53BC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5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0BC4"/>
    <w:rsid w:val="00025CF1"/>
    <w:rsid w:val="00132A6C"/>
    <w:rsid w:val="001A23F4"/>
    <w:rsid w:val="001D72F9"/>
    <w:rsid w:val="001E5793"/>
    <w:rsid w:val="002F185B"/>
    <w:rsid w:val="002F1A00"/>
    <w:rsid w:val="00336282"/>
    <w:rsid w:val="003C36AE"/>
    <w:rsid w:val="00491070"/>
    <w:rsid w:val="00533264"/>
    <w:rsid w:val="0053665C"/>
    <w:rsid w:val="0063665D"/>
    <w:rsid w:val="006550FD"/>
    <w:rsid w:val="007D3163"/>
    <w:rsid w:val="00814A7D"/>
    <w:rsid w:val="00A06EE4"/>
    <w:rsid w:val="00B23982"/>
    <w:rsid w:val="00C65BCA"/>
    <w:rsid w:val="00C810B5"/>
    <w:rsid w:val="00CC0BC4"/>
    <w:rsid w:val="00E54974"/>
    <w:rsid w:val="00FE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4F85C7AB-7606-4B6D-AB92-769B1D7E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pPr>
      <w:spacing w:line="269" w:lineRule="exact"/>
      <w:ind w:hanging="739"/>
    </w:pPr>
  </w:style>
  <w:style w:type="paragraph" w:customStyle="1" w:styleId="Style2">
    <w:name w:val="Style2"/>
    <w:basedOn w:val="a"/>
    <w:pPr>
      <w:spacing w:line="213" w:lineRule="exact"/>
      <w:ind w:firstLine="480"/>
      <w:jc w:val="both"/>
    </w:pPr>
  </w:style>
  <w:style w:type="paragraph" w:customStyle="1" w:styleId="Style3">
    <w:name w:val="Style3"/>
    <w:basedOn w:val="a"/>
    <w:pPr>
      <w:spacing w:line="206" w:lineRule="exact"/>
      <w:jc w:val="both"/>
    </w:pPr>
  </w:style>
  <w:style w:type="paragraph" w:customStyle="1" w:styleId="Style4">
    <w:name w:val="Style4"/>
    <w:basedOn w:val="a"/>
    <w:pPr>
      <w:spacing w:line="211" w:lineRule="exact"/>
      <w:ind w:firstLine="490"/>
      <w:jc w:val="both"/>
    </w:pPr>
  </w:style>
  <w:style w:type="paragraph" w:customStyle="1" w:styleId="Style5">
    <w:name w:val="Style5"/>
    <w:basedOn w:val="a"/>
    <w:pPr>
      <w:spacing w:line="202" w:lineRule="exact"/>
      <w:ind w:hanging="562"/>
    </w:pPr>
  </w:style>
  <w:style w:type="paragraph" w:customStyle="1" w:styleId="Style6">
    <w:name w:val="Style6"/>
    <w:basedOn w:val="a"/>
    <w:pPr>
      <w:spacing w:line="212" w:lineRule="exact"/>
      <w:ind w:firstLine="494"/>
    </w:pPr>
  </w:style>
  <w:style w:type="paragraph" w:customStyle="1" w:styleId="Style7">
    <w:name w:val="Style7"/>
    <w:basedOn w:val="a"/>
  </w:style>
  <w:style w:type="paragraph" w:customStyle="1" w:styleId="Style8">
    <w:name w:val="Style8"/>
    <w:basedOn w:val="a"/>
    <w:pPr>
      <w:spacing w:line="221" w:lineRule="exact"/>
      <w:ind w:hanging="456"/>
    </w:pPr>
  </w:style>
  <w:style w:type="character" w:customStyle="1" w:styleId="FontStyle11">
    <w:name w:val="Font Style11"/>
    <w:rPr>
      <w:rFonts w:ascii="Candara" w:hAnsi="Candara" w:cs="Candara"/>
      <w:b/>
      <w:bCs/>
      <w:sz w:val="26"/>
      <w:szCs w:val="26"/>
    </w:rPr>
  </w:style>
  <w:style w:type="character" w:customStyle="1" w:styleId="FontStyle12">
    <w:name w:val="Font Style12"/>
    <w:rPr>
      <w:rFonts w:ascii="Times New Roman" w:hAnsi="Times New Roman" w:cs="Times New Roman"/>
      <w:sz w:val="46"/>
      <w:szCs w:val="46"/>
    </w:rPr>
  </w:style>
  <w:style w:type="character" w:customStyle="1" w:styleId="FontStyle13">
    <w:name w:val="Font Style13"/>
    <w:rPr>
      <w:rFonts w:ascii="Times New Roman" w:hAnsi="Times New Roman" w:cs="Times New Roman"/>
      <w:b/>
      <w:bCs/>
      <w:spacing w:val="-10"/>
      <w:sz w:val="16"/>
      <w:szCs w:val="16"/>
    </w:rPr>
  </w:style>
  <w:style w:type="character" w:customStyle="1" w:styleId="FontStyle14">
    <w:name w:val="Font Style14"/>
    <w:rPr>
      <w:rFonts w:ascii="Times New Roman" w:hAnsi="Times New Roman" w:cs="Times New Roman"/>
      <w:i/>
      <w:iCs/>
      <w:spacing w:val="-20"/>
      <w:sz w:val="22"/>
      <w:szCs w:val="22"/>
    </w:rPr>
  </w:style>
  <w:style w:type="character" w:customStyle="1" w:styleId="FontStyle15">
    <w:name w:val="Font Style15"/>
    <w:rPr>
      <w:rFonts w:ascii="Times New Roman" w:hAnsi="Times New Roman" w:cs="Times New Roman"/>
      <w:spacing w:val="-10"/>
      <w:sz w:val="20"/>
      <w:szCs w:val="20"/>
    </w:rPr>
  </w:style>
  <w:style w:type="character" w:customStyle="1" w:styleId="FontStyle16">
    <w:name w:val="Font Style16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17">
    <w:name w:val="Font Style17"/>
    <w:rPr>
      <w:rFonts w:ascii="Times New Roman" w:hAnsi="Times New Roman" w:cs="Times New Roman"/>
      <w:b/>
      <w:bCs/>
      <w:spacing w:val="-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2664</Words>
  <Characters>15189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Термохемилюминесцентный иммуноанализ</vt:lpstr>
    </vt:vector>
  </TitlesOfParts>
  <Company/>
  <LinksUpToDate>false</LinksUpToDate>
  <CharactersWithSpaces>17818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Термохемилюминесцентный иммуноанализ</dc:title>
  <dc:subject/>
  <dc:creator>FuckYouBill</dc:creator>
  <cp:keywords/>
  <dc:description/>
  <cp:lastModifiedBy>admin</cp:lastModifiedBy>
  <cp:revision>2</cp:revision>
  <dcterms:created xsi:type="dcterms:W3CDTF">2014-02-25T10:15:00Z</dcterms:created>
  <dcterms:modified xsi:type="dcterms:W3CDTF">2014-02-25T10:15:00Z</dcterms:modified>
</cp:coreProperties>
</file>