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4D5" w:rsidRDefault="008E74D5" w:rsidP="008E74D5">
      <w:pPr>
        <w:pStyle w:val="aff2"/>
      </w:pPr>
      <w:r w:rsidRPr="008E74D5">
        <w:t>Азербайджанский Государственный Институт</w:t>
      </w:r>
    </w:p>
    <w:p w:rsidR="008E74D5" w:rsidRDefault="008E74D5" w:rsidP="008E74D5">
      <w:pPr>
        <w:pStyle w:val="aff2"/>
      </w:pPr>
      <w:r w:rsidRPr="008E74D5">
        <w:t>Усовершенствования врачей им</w:t>
      </w:r>
      <w:r>
        <w:t xml:space="preserve">. А. </w:t>
      </w:r>
      <w:r w:rsidRPr="008E74D5">
        <w:t>Алиева</w:t>
      </w: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Pr="008E74D5" w:rsidRDefault="008E74D5" w:rsidP="008E74D5">
      <w:pPr>
        <w:pStyle w:val="aff2"/>
      </w:pPr>
    </w:p>
    <w:p w:rsidR="008023D1" w:rsidRPr="008E74D5" w:rsidRDefault="008023D1" w:rsidP="008E74D5">
      <w:pPr>
        <w:pStyle w:val="aff2"/>
      </w:pPr>
      <w:r w:rsidRPr="008E74D5">
        <w:t>СОСТОЯНИЕ ВОДНОГО ОБМЕНА, ЦЕНТРАЛЬНОГО И ПЕРИФЕРИЧЕСКОГО КРОВООБРАЩЕНИЯ У БОЛЬНЫХ С ХРОНИЧЕСКОЙ УРЕМИЕЙ</w:t>
      </w: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8E74D5" w:rsidP="008E74D5">
      <w:pPr>
        <w:pStyle w:val="aff2"/>
      </w:pPr>
    </w:p>
    <w:p w:rsidR="008E74D5" w:rsidRDefault="004746D4" w:rsidP="008E74D5">
      <w:pPr>
        <w:pStyle w:val="aff2"/>
        <w:jc w:val="left"/>
      </w:pPr>
      <w:r w:rsidRPr="008E74D5">
        <w:t>И</w:t>
      </w:r>
      <w:r w:rsidR="008E74D5">
        <w:t xml:space="preserve">.М. </w:t>
      </w:r>
      <w:r w:rsidRPr="008E74D5">
        <w:t>Гамидов, Д</w:t>
      </w:r>
      <w:r w:rsidR="008E74D5">
        <w:t xml:space="preserve">.А. </w:t>
      </w:r>
      <w:r w:rsidRPr="008E74D5">
        <w:t xml:space="preserve">Зейналов, </w:t>
      </w:r>
    </w:p>
    <w:p w:rsidR="008023D1" w:rsidRPr="008E74D5" w:rsidRDefault="004746D4" w:rsidP="008E74D5">
      <w:pPr>
        <w:pStyle w:val="aff2"/>
        <w:jc w:val="left"/>
      </w:pPr>
      <w:r w:rsidRPr="008E74D5">
        <w:t>Ф</w:t>
      </w:r>
      <w:r w:rsidR="008E74D5">
        <w:t xml:space="preserve">.М. </w:t>
      </w:r>
      <w:r w:rsidRPr="008E74D5">
        <w:t>Ширинов, М</w:t>
      </w:r>
      <w:r w:rsidR="008E74D5">
        <w:t xml:space="preserve">.Р. </w:t>
      </w:r>
      <w:r w:rsidRPr="008E74D5">
        <w:t>Джалалов</w:t>
      </w:r>
    </w:p>
    <w:p w:rsidR="008E74D5" w:rsidRDefault="008E74D5" w:rsidP="008E74D5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8023D1" w:rsidRPr="008E74D5">
        <w:rPr>
          <w:lang w:eastAsia="en-US"/>
        </w:rPr>
        <w:t>В патогенезе клинических проявлений хронической почечной недостаточности</w:t>
      </w:r>
      <w:r>
        <w:rPr>
          <w:lang w:eastAsia="en-US"/>
        </w:rPr>
        <w:t xml:space="preserve"> (</w:t>
      </w:r>
      <w:r w:rsidR="008023D1" w:rsidRPr="008E74D5">
        <w:rPr>
          <w:lang w:eastAsia="en-US"/>
        </w:rPr>
        <w:t>ХПН</w:t>
      </w:r>
      <w:r w:rsidRPr="008E74D5">
        <w:rPr>
          <w:lang w:eastAsia="en-US"/>
        </w:rPr>
        <w:t>),</w:t>
      </w:r>
      <w:r w:rsidR="008023D1" w:rsidRPr="008E74D5">
        <w:rPr>
          <w:lang w:eastAsia="en-US"/>
        </w:rPr>
        <w:t xml:space="preserve"> наряду с азотемией, существенное значение придается нарушениям водного обмена в организме и гемодинамическим сдвигам</w:t>
      </w:r>
      <w:r w:rsidRPr="008E74D5">
        <w:rPr>
          <w:lang w:eastAsia="en-US"/>
        </w:rPr>
        <w:t xml:space="preserve">. </w:t>
      </w:r>
      <w:r w:rsidR="008023D1" w:rsidRPr="008E74D5">
        <w:rPr>
          <w:lang w:eastAsia="en-US"/>
        </w:rPr>
        <w:t>По данным многих авторов</w:t>
      </w:r>
      <w:r>
        <w:rPr>
          <w:lang w:eastAsia="en-US"/>
        </w:rPr>
        <w:t xml:space="preserve"> (</w:t>
      </w:r>
      <w:r w:rsidR="008023D1" w:rsidRPr="008E74D5">
        <w:rPr>
          <w:lang w:eastAsia="en-US"/>
        </w:rPr>
        <w:t>1,4,5,6,11</w:t>
      </w:r>
      <w:r>
        <w:rPr>
          <w:lang w:eastAsia="en-US"/>
        </w:rPr>
        <w:t>, 19, 20</w:t>
      </w:r>
      <w:r w:rsidR="008023D1" w:rsidRPr="008E74D5">
        <w:rPr>
          <w:lang w:eastAsia="en-US"/>
        </w:rPr>
        <w:t>,21</w:t>
      </w:r>
      <w:r w:rsidRPr="008E74D5">
        <w:rPr>
          <w:lang w:eastAsia="en-US"/>
        </w:rPr>
        <w:t xml:space="preserve">) </w:t>
      </w:r>
      <w:r w:rsidR="008023D1" w:rsidRPr="008E74D5">
        <w:rPr>
          <w:lang w:eastAsia="en-US"/>
        </w:rPr>
        <w:t>у больных с терминальной стадией ХПН в 45-65% случаев причиной смерти является сердечная недостаточность</w:t>
      </w:r>
      <w:r w:rsidRPr="008E74D5">
        <w:rPr>
          <w:lang w:eastAsia="en-US"/>
        </w:rPr>
        <w:t xml:space="preserve">. </w:t>
      </w:r>
      <w:r w:rsidR="008023D1" w:rsidRPr="008E74D5">
        <w:rPr>
          <w:lang w:eastAsia="en-US"/>
        </w:rPr>
        <w:t>Основными факторами приводящими к сердечной недостаточности при ХПН являются</w:t>
      </w:r>
      <w:r w:rsidRPr="008E74D5">
        <w:rPr>
          <w:lang w:eastAsia="en-US"/>
        </w:rPr>
        <w:t xml:space="preserve">: </w:t>
      </w:r>
      <w:r w:rsidR="008023D1" w:rsidRPr="008E74D5">
        <w:rPr>
          <w:lang w:eastAsia="en-US"/>
        </w:rPr>
        <w:t>анемия, нарушение водно-электролитного и кислотно-щелочного равновесия, диспротениемия, разнообразные гуморальные сдвиги, в частности, нарушение обмена нейрогормонов</w:t>
      </w:r>
      <w:r>
        <w:rPr>
          <w:lang w:eastAsia="en-US"/>
        </w:rPr>
        <w:t xml:space="preserve"> (</w:t>
      </w:r>
      <w:r w:rsidR="008023D1" w:rsidRPr="008E74D5">
        <w:rPr>
          <w:lang w:eastAsia="en-US"/>
        </w:rPr>
        <w:t>1,9,11,15,16,17,18</w:t>
      </w:r>
      <w:r w:rsidRPr="008E74D5">
        <w:rPr>
          <w:lang w:eastAsia="en-US"/>
        </w:rPr>
        <w:t xml:space="preserve">). </w:t>
      </w:r>
      <w:r w:rsidR="008023D1" w:rsidRPr="008E74D5">
        <w:rPr>
          <w:lang w:eastAsia="en-US"/>
        </w:rPr>
        <w:t>Развитие недостаточности кровообращения при ХПН объясняется сочетанным влиянием гемодинамических и метаболических нарушений, а также развитием изменений в микроциркуляторном русле и дистрофии паренхиматозных органов</w:t>
      </w:r>
      <w:r w:rsidRPr="008E74D5">
        <w:rPr>
          <w:lang w:eastAsia="en-US"/>
        </w:rPr>
        <w:t xml:space="preserve">. </w:t>
      </w:r>
      <w:r w:rsidR="008023D1" w:rsidRPr="008E74D5">
        <w:rPr>
          <w:lang w:eastAsia="en-US"/>
        </w:rPr>
        <w:t>Степень и характер этих нарушений могут определять течение заболевания и его исход</w:t>
      </w:r>
      <w:r>
        <w:rPr>
          <w:lang w:eastAsia="en-US"/>
        </w:rPr>
        <w:t xml:space="preserve"> (</w:t>
      </w:r>
      <w:r w:rsidR="008023D1" w:rsidRPr="008E74D5">
        <w:rPr>
          <w:lang w:eastAsia="en-US"/>
        </w:rPr>
        <w:t>2,3,4,7,8,10,12,13,22</w:t>
      </w:r>
      <w:r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Состояние микроциркуляции изучалось с посредством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>конъюктивальной биомикроскопии глазного яблока и проницаемости стенки сосудов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Проницаемость стенки сосудов для белка и жидкости изучалась по методу В</w:t>
      </w:r>
      <w:r w:rsidR="008E74D5">
        <w:rPr>
          <w:lang w:eastAsia="en-US"/>
        </w:rPr>
        <w:t xml:space="preserve">.П. </w:t>
      </w:r>
      <w:r w:rsidRPr="008E74D5">
        <w:rPr>
          <w:lang w:eastAsia="en-US"/>
        </w:rPr>
        <w:t>Казначеева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10</w:t>
      </w:r>
      <w:r w:rsidR="008E74D5"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Гемодинамические показатели</w:t>
      </w:r>
      <w:r w:rsidR="008E74D5">
        <w:rPr>
          <w:lang w:eastAsia="en-US"/>
        </w:rPr>
        <w:t xml:space="preserve"> </w:t>
      </w:r>
      <w:r w:rsidRPr="008E74D5">
        <w:rPr>
          <w:lang w:eastAsia="en-US"/>
        </w:rPr>
        <w:t>-</w:t>
      </w:r>
      <w:r w:rsidR="008E74D5">
        <w:rPr>
          <w:lang w:eastAsia="en-US"/>
        </w:rPr>
        <w:t xml:space="preserve"> </w:t>
      </w:r>
      <w:r w:rsidRPr="008E74D5">
        <w:rPr>
          <w:lang w:eastAsia="en-US"/>
        </w:rPr>
        <w:t>минутный объем кровообращения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МОК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сердечный индекс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СИ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ударный объем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УО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общее периферической сопротивление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ОПС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объем циркулирующей крови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ОЦК</w:t>
      </w:r>
      <w:r w:rsidR="008E74D5" w:rsidRPr="008E74D5">
        <w:rPr>
          <w:lang w:eastAsia="en-US"/>
        </w:rPr>
        <w:t xml:space="preserve">) </w:t>
      </w:r>
      <w:r w:rsidR="008E74D5">
        <w:rPr>
          <w:lang w:eastAsia="en-US"/>
        </w:rPr>
        <w:t>оп</w:t>
      </w:r>
      <w:r w:rsidRPr="008E74D5">
        <w:rPr>
          <w:lang w:eastAsia="en-US"/>
        </w:rPr>
        <w:t>ределяли методом разведения синьки Эванса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Т-1824</w:t>
      </w:r>
      <w:r w:rsidR="008E74D5" w:rsidRPr="008E74D5">
        <w:rPr>
          <w:lang w:eastAsia="en-US"/>
        </w:rPr>
        <w:t xml:space="preserve">). </w:t>
      </w:r>
      <w:r w:rsidRPr="008E74D5">
        <w:rPr>
          <w:lang w:eastAsia="en-US"/>
        </w:rPr>
        <w:t>Кривую разведения регистрировали на оксигемографе с помощью ушного датчика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Среднее динамическое давление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СДД</w:t>
      </w:r>
      <w:r w:rsidR="008E74D5" w:rsidRPr="008E74D5">
        <w:rPr>
          <w:lang w:eastAsia="en-US"/>
        </w:rPr>
        <w:t xml:space="preserve">) </w:t>
      </w:r>
      <w:r w:rsidR="008E74D5">
        <w:rPr>
          <w:lang w:eastAsia="en-US"/>
        </w:rPr>
        <w:t>оп</w:t>
      </w:r>
      <w:r w:rsidRPr="008E74D5">
        <w:rPr>
          <w:lang w:eastAsia="en-US"/>
        </w:rPr>
        <w:t>ределяли как сумму</w:t>
      </w:r>
      <w:r w:rsidR="008E74D5">
        <w:rPr>
          <w:lang w:eastAsia="en-US"/>
        </w:rPr>
        <w:t xml:space="preserve"> диасто</w:t>
      </w:r>
      <w:r w:rsidRPr="008E74D5">
        <w:rPr>
          <w:lang w:eastAsia="en-US"/>
        </w:rPr>
        <w:t>лического и 1/3 пульсового давления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Внеклеточная вода определялась тиосульфатом натрия, а общая</w:t>
      </w:r>
      <w:r w:rsidR="008E74D5">
        <w:rPr>
          <w:lang w:eastAsia="en-US"/>
        </w:rPr>
        <w:t xml:space="preserve"> </w:t>
      </w:r>
      <w:r w:rsidRPr="008E74D5">
        <w:rPr>
          <w:lang w:eastAsia="en-US"/>
        </w:rPr>
        <w:t>-</w:t>
      </w:r>
      <w:r w:rsidR="008E74D5">
        <w:rPr>
          <w:lang w:eastAsia="en-US"/>
        </w:rPr>
        <w:t xml:space="preserve"> </w:t>
      </w:r>
      <w:r w:rsidRPr="008E74D5">
        <w:rPr>
          <w:lang w:eastAsia="en-US"/>
        </w:rPr>
        <w:t>антипирином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Frank и соавт</w:t>
      </w:r>
      <w:r w:rsidR="008E74D5">
        <w:rPr>
          <w:lang w:eastAsia="en-US"/>
        </w:rPr>
        <w:t>. 19</w:t>
      </w:r>
      <w:r w:rsidRPr="008E74D5">
        <w:rPr>
          <w:lang w:eastAsia="en-US"/>
        </w:rPr>
        <w:t>65 г</w:t>
      </w:r>
      <w:r w:rsidR="008E74D5" w:rsidRPr="008E74D5">
        <w:rPr>
          <w:lang w:eastAsia="en-US"/>
        </w:rPr>
        <w:t xml:space="preserve">). </w:t>
      </w:r>
      <w:r w:rsidRPr="008E74D5">
        <w:rPr>
          <w:lang w:eastAsia="en-US"/>
        </w:rPr>
        <w:t>За объём жидкости клеточного пространства считали разницу между объемом общей воды и содержанием воды во внеклеточном пространстве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Под нашим наблюдением находились 96 больных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62 мужчин и 34 женщин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с хронической почечной недостаточностью в возрасте от 15 до 63 лет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Согласно классификации М</w:t>
      </w:r>
      <w:r w:rsidR="008E74D5">
        <w:rPr>
          <w:lang w:eastAsia="en-US"/>
        </w:rPr>
        <w:t xml:space="preserve">.Д. </w:t>
      </w:r>
      <w:r w:rsidRPr="008E74D5">
        <w:rPr>
          <w:lang w:eastAsia="en-US"/>
        </w:rPr>
        <w:t>Джавад-Заде и П</w:t>
      </w:r>
      <w:r w:rsidR="008E74D5">
        <w:rPr>
          <w:lang w:eastAsia="en-US"/>
        </w:rPr>
        <w:t xml:space="preserve">.С. </w:t>
      </w:r>
      <w:r w:rsidRPr="008E74D5">
        <w:rPr>
          <w:lang w:eastAsia="en-US"/>
        </w:rPr>
        <w:t>Малькова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7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все больные были разделены на 5 групп</w:t>
      </w:r>
      <w:r w:rsidR="008E74D5" w:rsidRPr="008E74D5">
        <w:rPr>
          <w:lang w:eastAsia="en-US"/>
        </w:rPr>
        <w:t xml:space="preserve">: </w:t>
      </w:r>
      <w:r w:rsidRPr="008E74D5">
        <w:rPr>
          <w:lang w:eastAsia="en-US"/>
        </w:rPr>
        <w:t>с субклинической стадией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0</w:t>
      </w:r>
      <w:r w:rsidR="008E74D5" w:rsidRPr="008E74D5">
        <w:rPr>
          <w:lang w:eastAsia="en-US"/>
        </w:rPr>
        <w:t xml:space="preserve">) - </w:t>
      </w:r>
      <w:r w:rsidRPr="008E74D5">
        <w:rPr>
          <w:lang w:eastAsia="en-US"/>
        </w:rPr>
        <w:t>12 больных, начальной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I</w:t>
      </w:r>
      <w:r w:rsidR="008E74D5" w:rsidRPr="008E74D5">
        <w:rPr>
          <w:lang w:eastAsia="en-US"/>
        </w:rPr>
        <w:t xml:space="preserve">) - </w:t>
      </w:r>
      <w:r w:rsidRPr="008E74D5">
        <w:rPr>
          <w:lang w:eastAsia="en-US"/>
        </w:rPr>
        <w:t>22, выраженной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11</w:t>
      </w:r>
      <w:r w:rsidR="008E74D5" w:rsidRPr="008E74D5">
        <w:rPr>
          <w:lang w:eastAsia="en-US"/>
        </w:rPr>
        <w:t xml:space="preserve">) - </w:t>
      </w:r>
      <w:r w:rsidRPr="008E74D5">
        <w:rPr>
          <w:lang w:eastAsia="en-US"/>
        </w:rPr>
        <w:t>20, тяжелой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III</w:t>
      </w:r>
      <w:r w:rsidR="008E74D5" w:rsidRPr="008E74D5">
        <w:rPr>
          <w:lang w:eastAsia="en-US"/>
        </w:rPr>
        <w:t xml:space="preserve">) - </w:t>
      </w:r>
      <w:r w:rsidRPr="008E74D5">
        <w:rPr>
          <w:lang w:eastAsia="en-US"/>
        </w:rPr>
        <w:t>16 и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>терминальной ХПН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IV</w:t>
      </w:r>
      <w:r w:rsidR="008E74D5" w:rsidRPr="008E74D5">
        <w:rPr>
          <w:lang w:eastAsia="en-US"/>
        </w:rPr>
        <w:t xml:space="preserve">) - </w:t>
      </w:r>
      <w:r w:rsidRPr="008E74D5">
        <w:rPr>
          <w:lang w:eastAsia="en-US"/>
        </w:rPr>
        <w:t>26 больных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 xml:space="preserve">В 44 случаях причиной ХПН был хронический гломерулонефрит, в 40 </w:t>
      </w:r>
      <w:r w:rsidR="008E74D5">
        <w:rPr>
          <w:lang w:eastAsia="en-US"/>
        </w:rPr>
        <w:t>-</w:t>
      </w:r>
      <w:r w:rsidRPr="008E74D5">
        <w:rPr>
          <w:lang w:eastAsia="en-US"/>
        </w:rPr>
        <w:t>хронический пиелонефрит, в 6-поликистоз почек и в 6-сахарный диабет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Все обследованные больные были распределены на 2 группы</w:t>
      </w:r>
      <w:r w:rsidR="008E74D5" w:rsidRPr="008E74D5">
        <w:rPr>
          <w:lang w:eastAsia="en-US"/>
        </w:rPr>
        <w:t xml:space="preserve">: </w:t>
      </w:r>
      <w:r w:rsidRPr="008E74D5">
        <w:rPr>
          <w:lang w:eastAsia="en-US"/>
        </w:rPr>
        <w:t xml:space="preserve">I </w:t>
      </w:r>
      <w:r w:rsidR="008E74D5">
        <w:rPr>
          <w:lang w:eastAsia="en-US"/>
        </w:rPr>
        <w:t>-</w:t>
      </w:r>
      <w:r w:rsidRPr="008E74D5">
        <w:rPr>
          <w:lang w:eastAsia="en-US"/>
        </w:rPr>
        <w:t>с сохранной водовыделительной функцией почек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60 больных</w:t>
      </w:r>
      <w:r w:rsidR="008E74D5" w:rsidRPr="008E74D5">
        <w:rPr>
          <w:lang w:eastAsia="en-US"/>
        </w:rPr>
        <w:t xml:space="preserve">); </w:t>
      </w:r>
      <w:r w:rsidRPr="008E74D5">
        <w:rPr>
          <w:lang w:eastAsia="en-US"/>
        </w:rPr>
        <w:t>II-со сниженной водовыделительной функцией почек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36 больных</w:t>
      </w:r>
      <w:r w:rsidR="008E74D5"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По состоянию сердечно-сосудистой системы больные были разделены на 2 группы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В 1-ю включены 68 больных без выраженных признаков недостаточности кровообращения, во 2-ю 28 больных с недостаточностью кровообращения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Полученные данные обрабатывались методом вариационной статистики и сравнивались с данными контрольной группы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20 человек</w:t>
      </w:r>
      <w:r w:rsidR="008E74D5"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Все исследования проводились в динамике на различных стадиях заболевания, полученные данные вместе с клинической картиной давали возмож</w:t>
      </w:r>
      <w:r w:rsidR="008E74D5">
        <w:rPr>
          <w:lang w:eastAsia="en-US"/>
        </w:rPr>
        <w:t>ность оп</w:t>
      </w:r>
      <w:r w:rsidRPr="008E74D5">
        <w:rPr>
          <w:lang w:eastAsia="en-US"/>
        </w:rPr>
        <w:t>ределить характер нарушения со стороны водного обмена периферической и центральной гемодинамики, а также проводить своевременную и целенаправленную коррекцию упомянутых сдвигов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Из 12 больных с субклинической стадией ХПН только у 3-х больных с нефротическим синдромом обнаружена высокая фильтрация стенки сосудов для жидкости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8,4 </w:t>
      </w:r>
      <w:r w:rsidRPr="008E74D5">
        <w:rPr>
          <w:lang w:eastAsia="en-US"/>
        </w:rPr>
        <w:t> 0,5 мл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и белка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0,76 </w:t>
      </w:r>
      <w:r w:rsidRPr="008E74D5">
        <w:rPr>
          <w:lang w:eastAsia="en-US"/>
        </w:rPr>
        <w:t> 0,4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по сравнению со здоровыми людьми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 xml:space="preserve">У этих больных клинические проявления нарушения водного обмена были в виде увеличения количества общей воды до 53,48 </w:t>
      </w:r>
      <w:r w:rsidRPr="008E74D5">
        <w:rPr>
          <w:lang w:eastAsia="en-US"/>
        </w:rPr>
        <w:t> 0,45%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здесь и далее</w:t>
      </w:r>
      <w:r w:rsidR="008E74D5">
        <w:rPr>
          <w:lang w:eastAsia="en-US"/>
        </w:rPr>
        <w:t xml:space="preserve"> </w:t>
      </w:r>
      <w:r w:rsidR="008E74D5" w:rsidRPr="008E74D5">
        <w:rPr>
          <w:lang w:eastAsia="en-US"/>
        </w:rPr>
        <w:t>%</w:t>
      </w:r>
      <w:r w:rsidRPr="008E74D5">
        <w:rPr>
          <w:lang w:eastAsia="en-US"/>
        </w:rPr>
        <w:t xml:space="preserve"> показатель водного обмена относительно массы тела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по сравнению с контрольной группой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50,4 </w:t>
      </w:r>
      <w:r w:rsidRPr="008E74D5">
        <w:rPr>
          <w:lang w:eastAsia="en-US"/>
        </w:rPr>
        <w:t> 4,32%</w:t>
      </w:r>
      <w:r w:rsidR="008E74D5" w:rsidRPr="008E74D5">
        <w:rPr>
          <w:lang w:eastAsia="en-US"/>
        </w:rPr>
        <w:t xml:space="preserve">). </w:t>
      </w:r>
      <w:r w:rsidRPr="008E74D5">
        <w:rPr>
          <w:lang w:eastAsia="en-US"/>
        </w:rPr>
        <w:t>Объём внеклеточной жидкости был несколько снижен по сравнению с контрольной группой и равнялся 17,22</w:t>
      </w:r>
      <w:r w:rsidRPr="008E74D5">
        <w:rPr>
          <w:lang w:eastAsia="en-US"/>
        </w:rPr>
        <w:t> 3,02%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Увеличение объёма общей воды у этих 3-х больных происходило за счет внутриклеточной гипергидратации, объём которой составлял</w:t>
      </w:r>
      <w:r w:rsidR="008E74D5" w:rsidRPr="008E74D5">
        <w:rPr>
          <w:lang w:eastAsia="en-US"/>
        </w:rPr>
        <w:t xml:space="preserve"> - </w:t>
      </w:r>
      <w:r w:rsidRPr="008E74D5">
        <w:rPr>
          <w:lang w:eastAsia="en-US"/>
        </w:rPr>
        <w:t xml:space="preserve">36,84 </w:t>
      </w:r>
      <w:r w:rsidRPr="008E74D5">
        <w:rPr>
          <w:lang w:eastAsia="en-US"/>
        </w:rPr>
        <w:t xml:space="preserve"> 0,64%, а у контрольной группы этот показатель равнялся 32,44 </w:t>
      </w:r>
      <w:r w:rsidRPr="008E74D5">
        <w:rPr>
          <w:lang w:eastAsia="en-US"/>
        </w:rPr>
        <w:t> 2,59%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 остальных 9 больных этой группы, у которых была сохранена водовыделительная функция почек, показатели фильтрации стенки сосудов для белка и жидкости, а также водных пространств существенно не отличались от показателей контрольной группы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Данные исследования конъюктивальной биомикроскопии глазного яблока у больных с нефротическим синдромом в субклинической стадии ХПН проявлялись в виде распространенного периваскулярного отека, извитости и неравномерности сосудов, агрегации эритроцитов в капилярах и венулах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 xml:space="preserve">5 больных с субклинической стадией ХПН, у которых причиной ХПН был хронический гломерулонефрит, у одного поликистоз почек, отмечалось повышение СДД до 98,2 </w:t>
      </w:r>
      <w:r w:rsidRPr="008E74D5">
        <w:rPr>
          <w:lang w:eastAsia="en-US"/>
        </w:rPr>
        <w:t> 1,21мм рт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ст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 этих же больных периваскулярно отмечались геморрагические участки, набюлюдались аневризмы венул, увеличение соотношения артериол к венулам, извитость, агрегация эритроцитов в капиллярах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Гемодинамические показатели выражались в повышении МОК</w:t>
      </w:r>
      <w:r w:rsidR="008E74D5" w:rsidRPr="008E74D5">
        <w:rPr>
          <w:lang w:eastAsia="en-US"/>
        </w:rPr>
        <w:t xml:space="preserve"> - </w:t>
      </w:r>
      <w:r w:rsidRPr="008E74D5">
        <w:rPr>
          <w:lang w:eastAsia="en-US"/>
        </w:rPr>
        <w:t xml:space="preserve">6,46 </w:t>
      </w:r>
      <w:r w:rsidRPr="008E74D5">
        <w:rPr>
          <w:lang w:eastAsia="en-US"/>
        </w:rPr>
        <w:t> 0,36 л/мин</w:t>
      </w:r>
      <w:r w:rsidR="008E74D5">
        <w:rPr>
          <w:lang w:eastAsia="en-US"/>
        </w:rPr>
        <w:t>.,</w:t>
      </w:r>
      <w:r w:rsidRPr="008E74D5">
        <w:rPr>
          <w:lang w:eastAsia="en-US"/>
        </w:rPr>
        <w:t xml:space="preserve"> СИ до 3,84 </w:t>
      </w:r>
      <w:r w:rsidRPr="008E74D5">
        <w:rPr>
          <w:lang w:eastAsia="en-US"/>
        </w:rPr>
        <w:t> 0,18 л/мин/м</w:t>
      </w:r>
      <w:r w:rsidRPr="008E74D5">
        <w:rPr>
          <w:vertAlign w:val="superscript"/>
          <w:lang w:eastAsia="en-US"/>
        </w:rPr>
        <w:t>2</w:t>
      </w:r>
      <w:r w:rsidR="008E74D5" w:rsidRPr="008E74D5">
        <w:rPr>
          <w:vertAlign w:val="superscript"/>
          <w:lang w:eastAsia="en-US"/>
        </w:rPr>
        <w:t>,</w:t>
      </w:r>
      <w:r w:rsidRPr="008E74D5">
        <w:rPr>
          <w:lang w:eastAsia="en-US"/>
        </w:rPr>
        <w:t xml:space="preserve"> УО до 92,2 </w:t>
      </w:r>
      <w:r w:rsidRPr="008E74D5">
        <w:rPr>
          <w:lang w:eastAsia="en-US"/>
        </w:rPr>
        <w:t> 1,32 мл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 xml:space="preserve">У 4 больных было отмечено уменьшение ОЦК до 80,2 </w:t>
      </w:r>
      <w:r w:rsidRPr="008E74D5">
        <w:rPr>
          <w:lang w:eastAsia="en-US"/>
        </w:rPr>
        <w:t xml:space="preserve"> 3,12 мл/кг при норме 82,01 </w:t>
      </w:r>
      <w:r w:rsidRPr="008E74D5">
        <w:rPr>
          <w:lang w:eastAsia="en-US"/>
        </w:rPr>
        <w:t> 3,58 мл/кг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ОПС у всех больных было одинаковым с показателями контрольной группы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 xml:space="preserve">и равнялось 1148 </w:t>
      </w:r>
      <w:r w:rsidRPr="008E74D5">
        <w:rPr>
          <w:lang w:eastAsia="en-US"/>
        </w:rPr>
        <w:t> 52,4 дин/сек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/см</w:t>
      </w:r>
      <w:r w:rsidRPr="008E74D5">
        <w:rPr>
          <w:vertAlign w:val="superscript"/>
          <w:lang w:eastAsia="en-US"/>
        </w:rPr>
        <w:t>-5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Периваскулярно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>отмечались очаговый отек, незначительное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>увеличение соотношения артериол к венулам, неравномерность калибра сосудов, а также агрегация эритроцитов в единичных венулах и капиллярах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У остальных 7 больных субклинической стадии ХПН, гемодинамические параметры не отличались от показателей центральной гемодинамики контрольной группы, несмотря на значительные изменения в микроциркуляторном русле конъю</w:t>
      </w:r>
      <w:r w:rsidR="008E74D5">
        <w:rPr>
          <w:lang w:eastAsia="en-US"/>
        </w:rPr>
        <w:t>н</w:t>
      </w:r>
      <w:r w:rsidRPr="008E74D5">
        <w:rPr>
          <w:lang w:eastAsia="en-US"/>
        </w:rPr>
        <w:t>ктивы глазного яблока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Состояние водного обмена и проницаемости сосудов для жидкости и белка у больных с начальной стадией ХПН было различное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 8 больных с олигурией отмечалось повышение фильтрации стенки сосудов для жидкости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6,5 </w:t>
      </w:r>
      <w:r w:rsidRPr="008E74D5">
        <w:rPr>
          <w:lang w:eastAsia="en-US"/>
        </w:rPr>
        <w:t> 2,3 мл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 xml:space="preserve">по сравнению с другими больными этой группы, а фильтрация для белка на 100 мл артериальной крови составила 0,45 </w:t>
      </w:r>
      <w:r w:rsidRPr="008E74D5">
        <w:rPr>
          <w:lang w:eastAsia="en-US"/>
        </w:rPr>
        <w:t xml:space="preserve"> 0,13 г, объём жидкости внеклеточного пространства равнялся 24,48 </w:t>
      </w:r>
      <w:r w:rsidRPr="008E74D5">
        <w:rPr>
          <w:lang w:eastAsia="en-US"/>
        </w:rPr>
        <w:t> 0,28%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в контрольной группе </w:t>
      </w:r>
      <w:r w:rsidR="008E74D5">
        <w:rPr>
          <w:lang w:eastAsia="en-US"/>
        </w:rPr>
        <w:t>-</w:t>
      </w:r>
      <w:r w:rsidRPr="008E74D5">
        <w:rPr>
          <w:lang w:eastAsia="en-US"/>
        </w:rPr>
        <w:t xml:space="preserve"> 18,72 </w:t>
      </w:r>
      <w:r w:rsidRPr="008E74D5">
        <w:rPr>
          <w:lang w:eastAsia="en-US"/>
        </w:rPr>
        <w:t> 3,06%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показатель объёма общей воды также превышал данных контрольной группы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54,2 </w:t>
      </w:r>
      <w:r w:rsidRPr="008E74D5">
        <w:rPr>
          <w:lang w:eastAsia="en-US"/>
        </w:rPr>
        <w:t> 6,24%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в то же время объём жидкости клеточного пространства был несколько снижен и равнялся 30,22 </w:t>
      </w:r>
      <w:r w:rsidRPr="008E74D5">
        <w:rPr>
          <w:lang w:eastAsia="en-US"/>
        </w:rPr>
        <w:t> 2,24%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в контрольной группе </w:t>
      </w:r>
      <w:r w:rsidR="008E74D5">
        <w:rPr>
          <w:lang w:eastAsia="en-US"/>
        </w:rPr>
        <w:t>-</w:t>
      </w:r>
      <w:r w:rsidRPr="008E74D5">
        <w:rPr>
          <w:lang w:eastAsia="en-US"/>
        </w:rPr>
        <w:t xml:space="preserve"> 32, 44 </w:t>
      </w:r>
      <w:r w:rsidRPr="008E74D5">
        <w:rPr>
          <w:lang w:eastAsia="en-US"/>
        </w:rPr>
        <w:t> 2,49%</w:t>
      </w:r>
      <w:r w:rsidR="008E74D5"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Исследование водных пространств у больных с полиурией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14 человек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показало уменьшение фильтрации стенки сосудов для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 xml:space="preserve">жидкости 3,7 </w:t>
      </w:r>
      <w:r w:rsidRPr="008E74D5">
        <w:rPr>
          <w:lang w:eastAsia="en-US"/>
        </w:rPr>
        <w:t> 1,5 мл, объёма жидкости</w:t>
      </w:r>
      <w:r w:rsidR="008E74D5" w:rsidRPr="008E74D5">
        <w:rPr>
          <w:lang w:eastAsia="en-US"/>
        </w:rPr>
        <w:t xml:space="preserve"> - </w:t>
      </w:r>
      <w:r w:rsidRPr="008E74D5">
        <w:rPr>
          <w:lang w:eastAsia="en-US"/>
        </w:rPr>
        <w:t xml:space="preserve">48,3 </w:t>
      </w:r>
      <w:r w:rsidRPr="008E74D5">
        <w:rPr>
          <w:lang w:eastAsia="en-US"/>
        </w:rPr>
        <w:t> 1,4</w:t>
      </w:r>
      <w:r w:rsidR="008E74D5" w:rsidRPr="008E74D5">
        <w:rPr>
          <w:lang w:eastAsia="en-US"/>
        </w:rPr>
        <w:t>%</w:t>
      </w:r>
      <w:r w:rsidRPr="008E74D5">
        <w:rPr>
          <w:lang w:eastAsia="en-US"/>
        </w:rPr>
        <w:t xml:space="preserve">, с преимущественным её уменьшением во внеклеточном секторе </w:t>
      </w:r>
      <w:r w:rsidR="008E74D5">
        <w:rPr>
          <w:lang w:eastAsia="en-US"/>
        </w:rPr>
        <w:t>-</w:t>
      </w:r>
      <w:r w:rsidRPr="008E74D5">
        <w:rPr>
          <w:lang w:eastAsia="en-US"/>
        </w:rPr>
        <w:t xml:space="preserve"> 16,07 </w:t>
      </w:r>
      <w:r w:rsidRPr="008E74D5">
        <w:rPr>
          <w:lang w:eastAsia="en-US"/>
        </w:rPr>
        <w:t> 1,06%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Уменьшение объёма клеточной жидкости у этих больных клинически сопровождалось жаждой, сухостью во рту, у одного больного дисфагией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В тяжелой и терминал</w:t>
      </w:r>
      <w:r w:rsidR="008E74D5">
        <w:rPr>
          <w:lang w:eastAsia="en-US"/>
        </w:rPr>
        <w:t>ь</w:t>
      </w:r>
      <w:r w:rsidRPr="008E74D5">
        <w:rPr>
          <w:lang w:eastAsia="en-US"/>
        </w:rPr>
        <w:t>ной стадии хронической уремии имелись большие отклонения распределения воды по секторам тела и выражались в резком увеличении общей воды организма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63,4 </w:t>
      </w:r>
      <w:r w:rsidRPr="008E74D5">
        <w:rPr>
          <w:lang w:eastAsia="en-US"/>
        </w:rPr>
        <w:t> 6%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внеклеточной воды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24,6 </w:t>
      </w:r>
      <w:r w:rsidRPr="008E74D5">
        <w:rPr>
          <w:lang w:eastAsia="en-US"/>
        </w:rPr>
        <w:t> 4,04%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 xml:space="preserve">и воды внутриклеточного пространства, доходящая до 38,84 </w:t>
      </w:r>
      <w:r w:rsidRPr="008E74D5">
        <w:rPr>
          <w:lang w:eastAsia="en-US"/>
        </w:rPr>
        <w:t> 3,48%, у группы</w:t>
      </w:r>
      <w:r w:rsidR="008E74D5" w:rsidRPr="008E74D5">
        <w:rPr>
          <w:lang w:eastAsia="en-US"/>
        </w:rPr>
        <w:t xml:space="preserve"> </w:t>
      </w:r>
      <w:r w:rsidRPr="008E74D5">
        <w:rPr>
          <w:lang w:eastAsia="en-US"/>
        </w:rPr>
        <w:t>больных с резко сниженной водовыделительной функцией почек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 больных с умеренно сохранной водовыделительной функцией почек отмечалось также увеличение общей воды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53,6 </w:t>
      </w:r>
      <w:r w:rsidRPr="008E74D5">
        <w:rPr>
          <w:lang w:eastAsia="en-US"/>
        </w:rPr>
        <w:t> 5,27%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внеклеточной жидкости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22,64 </w:t>
      </w:r>
      <w:r w:rsidRPr="008E74D5">
        <w:rPr>
          <w:lang w:eastAsia="en-US"/>
        </w:rPr>
        <w:t> 2,08%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в то же время объём жидкости клеточного пространства был снижен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31,18 </w:t>
      </w:r>
      <w:r w:rsidRPr="008E74D5">
        <w:rPr>
          <w:lang w:eastAsia="en-US"/>
        </w:rPr>
        <w:t> 2,23%</w:t>
      </w:r>
      <w:r w:rsidR="008E74D5"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Фильтрация для белка в тяжелой и в терминальной стадии ХПН, в зависимости от состояния транскапиллярного обмена, носила парадоксальный характер, или повышенная или пониженная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Повышение проницаемости стенки сосудов для жидкости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5,3 </w:t>
      </w:r>
      <w:r w:rsidRPr="008E74D5">
        <w:rPr>
          <w:lang w:eastAsia="en-US"/>
        </w:rPr>
        <w:t> 0,5 мл</w:t>
      </w:r>
      <w:r w:rsidR="008E74D5" w:rsidRPr="008E74D5">
        <w:rPr>
          <w:lang w:eastAsia="en-US"/>
        </w:rPr>
        <w:t xml:space="preserve">) </w:t>
      </w:r>
      <w:r w:rsidRPr="008E74D5">
        <w:rPr>
          <w:lang w:eastAsia="en-US"/>
        </w:rPr>
        <w:t>наблюдалось у больных с глобальной гипергидратацией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Изучение состояния водного баланса у отдельных больных показало, что имеется обратная коррелятивная связь между суточным диурезом и общей водой организма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r =</w:t>
      </w:r>
      <w:r w:rsidR="008E74D5" w:rsidRPr="008E74D5">
        <w:rPr>
          <w:lang w:eastAsia="en-US"/>
        </w:rPr>
        <w:t xml:space="preserve"> - </w:t>
      </w:r>
      <w:r w:rsidRPr="008E74D5">
        <w:rPr>
          <w:lang w:eastAsia="en-US"/>
        </w:rPr>
        <w:t>0,482</w:t>
      </w:r>
      <w:r w:rsidR="008E74D5" w:rsidRPr="008E74D5">
        <w:rPr>
          <w:lang w:eastAsia="en-US"/>
        </w:rPr>
        <w:t>).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В тяжелой и терминальной стадии хронической уремии усугублялись изменения в системе МЦ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таблица №1</w:t>
      </w:r>
      <w:r w:rsidR="008E74D5" w:rsidRPr="008E74D5">
        <w:rPr>
          <w:lang w:eastAsia="en-US"/>
        </w:rPr>
        <w:t xml:space="preserve">). </w:t>
      </w:r>
      <w:r w:rsidRPr="008E74D5">
        <w:rPr>
          <w:lang w:eastAsia="en-US"/>
        </w:rPr>
        <w:t>Наряду с увеличением распространенности агрегации эритроцитов в венулах, артериолах и капиллярах, наблюдалось явление замедления скорости кровотока в венулах, капиллярах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В некоторых случаях отмечена блокада кровотока в посткапиллярных венулах и капиллярах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 xml:space="preserve">ПИ=3,5 </w:t>
      </w:r>
      <w:r w:rsidRPr="008E74D5">
        <w:rPr>
          <w:lang w:eastAsia="en-US"/>
        </w:rPr>
        <w:t> 0,2</w:t>
      </w:r>
      <w:r w:rsidR="008E74D5" w:rsidRPr="008E74D5">
        <w:rPr>
          <w:lang w:eastAsia="en-US"/>
        </w:rPr>
        <w:t xml:space="preserve">; </w:t>
      </w:r>
      <w:r w:rsidRPr="008E74D5">
        <w:rPr>
          <w:lang w:eastAsia="en-US"/>
        </w:rPr>
        <w:t xml:space="preserve">СИ=17,2 </w:t>
      </w:r>
      <w:r w:rsidRPr="008E74D5">
        <w:rPr>
          <w:lang w:eastAsia="en-US"/>
        </w:rPr>
        <w:t> 0,8</w:t>
      </w:r>
      <w:r w:rsidR="008E74D5" w:rsidRPr="008E74D5">
        <w:rPr>
          <w:lang w:eastAsia="en-US"/>
        </w:rPr>
        <w:t xml:space="preserve">; </w:t>
      </w:r>
      <w:r w:rsidRPr="008E74D5">
        <w:rPr>
          <w:lang w:eastAsia="en-US"/>
        </w:rPr>
        <w:t xml:space="preserve">ВСИ=9,5 </w:t>
      </w:r>
      <w:r w:rsidRPr="008E74D5">
        <w:rPr>
          <w:lang w:eastAsia="en-US"/>
        </w:rPr>
        <w:t> 0,4</w:t>
      </w:r>
      <w:r w:rsidR="008E74D5" w:rsidRPr="008E74D5">
        <w:rPr>
          <w:lang w:eastAsia="en-US"/>
        </w:rPr>
        <w:t xml:space="preserve">). </w:t>
      </w:r>
      <w:r w:rsidRPr="008E74D5">
        <w:rPr>
          <w:lang w:eastAsia="en-US"/>
        </w:rPr>
        <w:t>У бо</w:t>
      </w:r>
      <w:r w:rsidR="008E74D5">
        <w:rPr>
          <w:lang w:eastAsia="en-US"/>
        </w:rPr>
        <w:t>льных 2-й группы агрегация эрит</w:t>
      </w:r>
      <w:r w:rsidRPr="008E74D5">
        <w:rPr>
          <w:lang w:eastAsia="en-US"/>
        </w:rPr>
        <w:t>р</w:t>
      </w:r>
      <w:r w:rsidR="008E74D5">
        <w:rPr>
          <w:lang w:eastAsia="en-US"/>
        </w:rPr>
        <w:t>о</w:t>
      </w:r>
      <w:r w:rsidRPr="008E74D5">
        <w:rPr>
          <w:lang w:eastAsia="en-US"/>
        </w:rPr>
        <w:t>цитов имела крупнозернистый характер, которая привела к стазу в магистральных сосудах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Для гемодинамики больных с тяжелой и терминальной стадией ХПН без клинических признаков недостаточности крово</w:t>
      </w:r>
      <w:r w:rsidR="008E74D5">
        <w:rPr>
          <w:lang w:eastAsia="en-US"/>
        </w:rPr>
        <w:t>о</w:t>
      </w:r>
      <w:r w:rsidRPr="008E74D5">
        <w:rPr>
          <w:lang w:eastAsia="en-US"/>
        </w:rPr>
        <w:t>бращения характерно было увеличение СИ, УО, а также МОК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Усиление механиче</w:t>
      </w:r>
      <w:r w:rsidR="008E74D5">
        <w:rPr>
          <w:lang w:eastAsia="en-US"/>
        </w:rPr>
        <w:t>ской работы сердца отражает, по-</w:t>
      </w:r>
      <w:r w:rsidRPr="008E74D5">
        <w:rPr>
          <w:lang w:eastAsia="en-US"/>
        </w:rPr>
        <w:t>видимому, компенсаторную гиперфункцию сердца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У больных с ХПН с клинически выраженной недостаточностью кровообращения были снижены показатели нагнетательной функции миокарда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В заключении следует отметить, что при ХПН наблюдаются значительные изменения водного обмена</w:t>
      </w:r>
      <w:r w:rsidR="008E74D5">
        <w:rPr>
          <w:lang w:eastAsia="en-US"/>
        </w:rPr>
        <w:t xml:space="preserve"> (</w:t>
      </w:r>
      <w:r w:rsidRPr="008E74D5">
        <w:rPr>
          <w:lang w:eastAsia="en-US"/>
        </w:rPr>
        <w:t>таблица №2</w:t>
      </w:r>
      <w:r w:rsidR="008E74D5" w:rsidRPr="008E74D5">
        <w:rPr>
          <w:lang w:eastAsia="en-US"/>
        </w:rPr>
        <w:t>),</w:t>
      </w:r>
      <w:r w:rsidRPr="008E74D5">
        <w:rPr>
          <w:lang w:eastAsia="en-US"/>
        </w:rPr>
        <w:t xml:space="preserve"> микроциркуляции и централь</w:t>
      </w:r>
      <w:r w:rsidR="008E74D5">
        <w:rPr>
          <w:lang w:eastAsia="en-US"/>
        </w:rPr>
        <w:t>ной гемоди</w:t>
      </w:r>
      <w:r w:rsidRPr="008E74D5">
        <w:rPr>
          <w:lang w:eastAsia="en-US"/>
        </w:rPr>
        <w:t>н</w:t>
      </w:r>
      <w:r w:rsidR="008E74D5">
        <w:rPr>
          <w:lang w:eastAsia="en-US"/>
        </w:rPr>
        <w:t>а</w:t>
      </w:r>
      <w:r w:rsidRPr="008E74D5">
        <w:rPr>
          <w:lang w:eastAsia="en-US"/>
        </w:rPr>
        <w:t>мики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Нарушения водного баланса организма, центральной гемодинамики, МЦ, в большой степени усугублялись с нарастанием тяжести почечной недостаточности</w:t>
      </w:r>
      <w:r w:rsidR="008E74D5" w:rsidRPr="008E74D5">
        <w:rPr>
          <w:lang w:eastAsia="en-US"/>
        </w:rPr>
        <w:t xml:space="preserve">. </w:t>
      </w:r>
      <w:r w:rsidRPr="008E74D5">
        <w:rPr>
          <w:lang w:eastAsia="en-US"/>
        </w:rPr>
        <w:t>Возможно</w:t>
      </w:r>
      <w:r w:rsidR="008E74D5">
        <w:rPr>
          <w:lang w:eastAsia="en-US"/>
        </w:rPr>
        <w:t>, п</w:t>
      </w:r>
      <w:r w:rsidRPr="008E74D5">
        <w:rPr>
          <w:lang w:eastAsia="en-US"/>
        </w:rPr>
        <w:t xml:space="preserve">ри ХПН наблюдаемые изменения в периваскулярном, сосудистом и внутрисосудистом секторах МЦ затрудняют прохождение крови в микрососудах, тем самым усиливает гипоксию тканей, с одной стороны вызывает дистрофию в жизненно важных органах, с другой </w:t>
      </w:r>
      <w:r w:rsidR="008E74D5">
        <w:rPr>
          <w:lang w:eastAsia="en-US"/>
        </w:rPr>
        <w:t>-</w:t>
      </w:r>
      <w:r w:rsidRPr="008E74D5">
        <w:rPr>
          <w:lang w:eastAsia="en-US"/>
        </w:rPr>
        <w:t xml:space="preserve"> увеличивает нагрузку на миокард</w:t>
      </w:r>
      <w:r w:rsidR="008E74D5" w:rsidRPr="008E74D5">
        <w:rPr>
          <w:lang w:eastAsia="en-US"/>
        </w:rPr>
        <w:t>.</w:t>
      </w:r>
    </w:p>
    <w:p w:rsidR="008E74D5" w:rsidRDefault="008E74D5" w:rsidP="008E74D5">
      <w:pPr>
        <w:ind w:firstLine="709"/>
        <w:rPr>
          <w:lang w:eastAsia="en-US"/>
        </w:rPr>
      </w:pP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Таблица 1</w:t>
      </w:r>
      <w:r w:rsidR="008E74D5" w:rsidRPr="008E74D5">
        <w:rPr>
          <w:lang w:eastAsia="en-US"/>
        </w:rPr>
        <w:t>. Показатели водного обмена у больных с ХПН.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589"/>
        <w:gridCol w:w="1083"/>
        <w:gridCol w:w="1474"/>
        <w:gridCol w:w="1541"/>
        <w:gridCol w:w="1809"/>
      </w:tblGrid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Группа обследованных</w:t>
            </w: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Количество обследованных</w:t>
            </w:r>
          </w:p>
        </w:tc>
        <w:tc>
          <w:tcPr>
            <w:tcW w:w="1083" w:type="dxa"/>
            <w:shd w:val="clear" w:color="auto" w:fill="auto"/>
          </w:tcPr>
          <w:p w:rsidR="008E74D5" w:rsidRDefault="008023D1" w:rsidP="008E74D5">
            <w:pPr>
              <w:pStyle w:val="afb"/>
            </w:pPr>
            <w:r w:rsidRPr="008E74D5">
              <w:t>Стат</w:t>
            </w:r>
            <w:r w:rsidR="008E74D5" w:rsidRPr="008E74D5">
              <w:t xml:space="preserve">. 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показат</w:t>
            </w:r>
            <w:r w:rsidR="008E74D5" w:rsidRPr="008E74D5">
              <w:t xml:space="preserve">. </w:t>
            </w:r>
          </w:p>
        </w:tc>
        <w:tc>
          <w:tcPr>
            <w:tcW w:w="1474" w:type="dxa"/>
            <w:shd w:val="clear" w:color="auto" w:fill="auto"/>
          </w:tcPr>
          <w:p w:rsidR="008E74D5" w:rsidRDefault="008023D1" w:rsidP="008E74D5">
            <w:pPr>
              <w:pStyle w:val="afb"/>
            </w:pPr>
            <w:r w:rsidRPr="008E74D5">
              <w:t xml:space="preserve">Общая вода </w:t>
            </w:r>
          </w:p>
          <w:p w:rsidR="008E74D5" w:rsidRDefault="008023D1" w:rsidP="008E74D5">
            <w:pPr>
              <w:pStyle w:val="afb"/>
            </w:pPr>
            <w:r w:rsidRPr="008E74D5">
              <w:t>в</w:t>
            </w:r>
            <w:r w:rsidR="008E74D5">
              <w:t xml:space="preserve"> </w:t>
            </w:r>
            <w:r w:rsidR="008E74D5" w:rsidRPr="008E74D5">
              <w:t>%</w:t>
            </w:r>
            <w:r w:rsidRPr="008E74D5">
              <w:t xml:space="preserve"> от массы 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тела</w:t>
            </w:r>
          </w:p>
        </w:tc>
        <w:tc>
          <w:tcPr>
            <w:tcW w:w="1541" w:type="dxa"/>
            <w:shd w:val="clear" w:color="auto" w:fill="auto"/>
          </w:tcPr>
          <w:p w:rsidR="008E74D5" w:rsidRDefault="008023D1" w:rsidP="008E74D5">
            <w:pPr>
              <w:pStyle w:val="afb"/>
            </w:pPr>
            <w:r w:rsidRPr="008E74D5">
              <w:t xml:space="preserve">Внеклеточная </w:t>
            </w:r>
          </w:p>
          <w:p w:rsidR="008E74D5" w:rsidRDefault="008023D1" w:rsidP="008E74D5">
            <w:pPr>
              <w:pStyle w:val="afb"/>
            </w:pPr>
            <w:r w:rsidRPr="008E74D5">
              <w:t>вода в</w:t>
            </w:r>
            <w:r w:rsidR="008E74D5">
              <w:t xml:space="preserve"> </w:t>
            </w:r>
            <w:r w:rsidR="008E74D5" w:rsidRPr="008E74D5">
              <w:t>%</w:t>
            </w:r>
            <w:r w:rsidRPr="008E74D5">
              <w:t xml:space="preserve"> 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от массы тела</w:t>
            </w:r>
          </w:p>
        </w:tc>
        <w:tc>
          <w:tcPr>
            <w:tcW w:w="1809" w:type="dxa"/>
            <w:shd w:val="clear" w:color="auto" w:fill="auto"/>
          </w:tcPr>
          <w:p w:rsidR="008E74D5" w:rsidRDefault="008023D1" w:rsidP="008E74D5">
            <w:pPr>
              <w:pStyle w:val="afb"/>
            </w:pPr>
            <w:r w:rsidRPr="008E74D5">
              <w:t xml:space="preserve">Внутриклеточная </w:t>
            </w:r>
          </w:p>
          <w:p w:rsidR="008E74D5" w:rsidRDefault="008023D1" w:rsidP="008E74D5">
            <w:pPr>
              <w:pStyle w:val="afb"/>
            </w:pPr>
            <w:r w:rsidRPr="008E74D5">
              <w:t>вода в</w:t>
            </w:r>
            <w:r w:rsidR="008E74D5">
              <w:t xml:space="preserve"> </w:t>
            </w:r>
            <w:r w:rsidR="008E74D5" w:rsidRPr="008E74D5">
              <w:t>%</w:t>
            </w:r>
            <w:r w:rsidRPr="008E74D5">
              <w:t xml:space="preserve"> 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от массы тела</w:t>
            </w:r>
          </w:p>
        </w:tc>
      </w:tr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Контрольная</w:t>
            </w: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20</w:t>
            </w:r>
          </w:p>
        </w:tc>
        <w:tc>
          <w:tcPr>
            <w:tcW w:w="1083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</w:tc>
        <w:tc>
          <w:tcPr>
            <w:tcW w:w="1474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54,7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1,3</w:t>
            </w:r>
          </w:p>
        </w:tc>
        <w:tc>
          <w:tcPr>
            <w:tcW w:w="1541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20,1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0,6</w:t>
            </w:r>
          </w:p>
        </w:tc>
        <w:tc>
          <w:tcPr>
            <w:tcW w:w="180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35,5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1,4</w:t>
            </w:r>
          </w:p>
        </w:tc>
      </w:tr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0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 xml:space="preserve">Стадия </w:t>
            </w: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12</w:t>
            </w:r>
          </w:p>
        </w:tc>
        <w:tc>
          <w:tcPr>
            <w:tcW w:w="1083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1474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54,8</w:t>
            </w:r>
          </w:p>
          <w:p w:rsidR="008E74D5" w:rsidRDefault="008023D1" w:rsidP="008E74D5">
            <w:pPr>
              <w:pStyle w:val="afb"/>
            </w:pPr>
            <w:r w:rsidRPr="008E74D5">
              <w:t>1,8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1541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20,2</w:t>
            </w:r>
          </w:p>
          <w:p w:rsidR="008E74D5" w:rsidRDefault="008023D1" w:rsidP="008E74D5">
            <w:pPr>
              <w:pStyle w:val="afb"/>
            </w:pPr>
            <w:r w:rsidRPr="008E74D5">
              <w:t>0,7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180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35,6</w:t>
            </w:r>
          </w:p>
          <w:p w:rsid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</w:tr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E74D5" w:rsidRDefault="008023D1" w:rsidP="008E74D5">
            <w:pPr>
              <w:pStyle w:val="afb"/>
            </w:pPr>
            <w:r w:rsidRPr="008E74D5">
              <w:t>I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Стадия</w:t>
            </w: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22</w:t>
            </w:r>
          </w:p>
        </w:tc>
        <w:tc>
          <w:tcPr>
            <w:tcW w:w="1083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1474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56,6</w:t>
            </w:r>
          </w:p>
          <w:p w:rsidR="008E74D5" w:rsidRDefault="008023D1" w:rsidP="008E74D5">
            <w:pPr>
              <w:pStyle w:val="afb"/>
            </w:pPr>
            <w:r w:rsidRPr="008E74D5">
              <w:t>1,4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1541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21,8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0,05</w:t>
            </w:r>
          </w:p>
        </w:tc>
        <w:tc>
          <w:tcPr>
            <w:tcW w:w="180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35,8</w:t>
            </w:r>
          </w:p>
          <w:p w:rsid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</w:tr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II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Стадия</w:t>
            </w:r>
          </w:p>
          <w:p w:rsidR="008023D1" w:rsidRPr="008E74D5" w:rsidRDefault="008023D1" w:rsidP="008E74D5">
            <w:pPr>
              <w:pStyle w:val="afb"/>
            </w:pP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20</w:t>
            </w:r>
          </w:p>
        </w:tc>
        <w:tc>
          <w:tcPr>
            <w:tcW w:w="1083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1474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57,3</w:t>
            </w:r>
          </w:p>
          <w:p w:rsidR="008E74D5" w:rsidRDefault="008023D1" w:rsidP="008E74D5">
            <w:pPr>
              <w:pStyle w:val="afb"/>
            </w:pPr>
            <w:r w:rsidRPr="008E74D5">
              <w:t>1,6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1541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22,3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0,3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0,001</w:t>
            </w:r>
          </w:p>
        </w:tc>
        <w:tc>
          <w:tcPr>
            <w:tcW w:w="180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35,9</w:t>
            </w:r>
          </w:p>
          <w:p w:rsidR="008E74D5" w:rsidRDefault="008023D1" w:rsidP="008E74D5">
            <w:pPr>
              <w:pStyle w:val="afb"/>
            </w:pPr>
            <w:r w:rsidRPr="008E74D5">
              <w:t>1,4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</w:tr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III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Стадия</w:t>
            </w: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16</w:t>
            </w:r>
          </w:p>
        </w:tc>
        <w:tc>
          <w:tcPr>
            <w:tcW w:w="1083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1474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59,0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0,05</w:t>
            </w:r>
          </w:p>
        </w:tc>
        <w:tc>
          <w:tcPr>
            <w:tcW w:w="1541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23,4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0,001</w:t>
            </w:r>
          </w:p>
        </w:tc>
        <w:tc>
          <w:tcPr>
            <w:tcW w:w="180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35,9</w:t>
            </w:r>
          </w:p>
          <w:p w:rsid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</w:tr>
      <w:tr w:rsidR="008023D1" w:rsidRPr="008E74D5" w:rsidTr="00E0560B">
        <w:trPr>
          <w:jc w:val="center"/>
        </w:trPr>
        <w:tc>
          <w:tcPr>
            <w:tcW w:w="1590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IV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Стадия</w:t>
            </w:r>
          </w:p>
        </w:tc>
        <w:tc>
          <w:tcPr>
            <w:tcW w:w="158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26</w:t>
            </w:r>
          </w:p>
        </w:tc>
        <w:tc>
          <w:tcPr>
            <w:tcW w:w="1083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1474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60,1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2,1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0,05</w:t>
            </w:r>
          </w:p>
        </w:tc>
        <w:tc>
          <w:tcPr>
            <w:tcW w:w="1541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24,8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0,001</w:t>
            </w:r>
          </w:p>
        </w:tc>
        <w:tc>
          <w:tcPr>
            <w:tcW w:w="1809" w:type="dxa"/>
            <w:shd w:val="clear" w:color="auto" w:fill="auto"/>
          </w:tcPr>
          <w:p w:rsidR="008023D1" w:rsidRPr="008E74D5" w:rsidRDefault="008023D1" w:rsidP="008E74D5">
            <w:pPr>
              <w:pStyle w:val="afb"/>
            </w:pPr>
            <w:r w:rsidRPr="008E74D5">
              <w:t>36,2</w:t>
            </w:r>
          </w:p>
          <w:p w:rsidR="008E74D5" w:rsidRDefault="008023D1" w:rsidP="008E74D5">
            <w:pPr>
              <w:pStyle w:val="afb"/>
            </w:pPr>
            <w:r w:rsidRPr="008E74D5">
              <w:t>0,7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</w:tr>
    </w:tbl>
    <w:p w:rsidR="008E74D5" w:rsidRDefault="008E74D5" w:rsidP="008E74D5">
      <w:pPr>
        <w:ind w:firstLine="709"/>
        <w:rPr>
          <w:lang w:eastAsia="en-US"/>
        </w:rPr>
      </w:pP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Примечание</w:t>
      </w:r>
      <w:r w:rsidR="008E74D5" w:rsidRPr="008E74D5">
        <w:rPr>
          <w:lang w:eastAsia="en-US"/>
        </w:rPr>
        <w:t xml:space="preserve">: </w:t>
      </w:r>
      <w:r w:rsidR="008E74D5">
        <w:rPr>
          <w:lang w:eastAsia="en-US"/>
        </w:rPr>
        <w:t>Р-достоверность раз</w:t>
      </w:r>
      <w:r w:rsidRPr="008E74D5">
        <w:rPr>
          <w:lang w:eastAsia="en-US"/>
        </w:rPr>
        <w:t>личия по сравнению с данными контрольной группы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Прочерком отмечены Р&gt; 0,05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Показатели водного обмена у больных с хронической почечной недостаточност</w:t>
      </w:r>
      <w:r w:rsidR="008E74D5">
        <w:rPr>
          <w:lang w:eastAsia="en-US"/>
        </w:rPr>
        <w:t>ь</w:t>
      </w:r>
      <w:r w:rsidRPr="008E74D5">
        <w:rPr>
          <w:lang w:eastAsia="en-US"/>
        </w:rPr>
        <w:t>ю</w:t>
      </w:r>
      <w:r w:rsidR="008E74D5" w:rsidRPr="008E74D5">
        <w:rPr>
          <w:lang w:eastAsia="en-US"/>
        </w:rPr>
        <w:t>.</w:t>
      </w:r>
    </w:p>
    <w:p w:rsidR="008E74D5" w:rsidRDefault="008E74D5" w:rsidP="008E74D5">
      <w:pPr>
        <w:ind w:firstLine="709"/>
        <w:rPr>
          <w:lang w:eastAsia="en-US"/>
        </w:rPr>
      </w:pPr>
    </w:p>
    <w:p w:rsidR="008023D1" w:rsidRP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Таблица 2</w:t>
      </w:r>
      <w:r w:rsidR="008E74D5" w:rsidRPr="008E74D5">
        <w:rPr>
          <w:lang w:eastAsia="en-US"/>
        </w:rPr>
        <w:t xml:space="preserve">. 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48"/>
        <w:gridCol w:w="1557"/>
        <w:gridCol w:w="1323"/>
        <w:gridCol w:w="566"/>
        <w:gridCol w:w="566"/>
        <w:gridCol w:w="666"/>
        <w:gridCol w:w="666"/>
        <w:gridCol w:w="666"/>
      </w:tblGrid>
      <w:tr w:rsidR="008023D1" w:rsidRPr="008E74D5">
        <w:trPr>
          <w:trHeight w:val="255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Статпоказатели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4D5" w:rsidRDefault="008023D1" w:rsidP="008E74D5">
            <w:pPr>
              <w:pStyle w:val="afb"/>
            </w:pPr>
            <w:r w:rsidRPr="008E74D5">
              <w:t>Контрольная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группа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Стадии ХПН</w:t>
            </w:r>
          </w:p>
        </w:tc>
      </w:tr>
      <w:tr w:rsidR="008023D1" w:rsidRPr="008E74D5">
        <w:trPr>
          <w:trHeight w:val="43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IV</w:t>
            </w:r>
          </w:p>
        </w:tc>
      </w:tr>
      <w:tr w:rsidR="008023D1" w:rsidRPr="008E74D5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4D5" w:rsidRDefault="008023D1" w:rsidP="008E74D5">
            <w:pPr>
              <w:pStyle w:val="afb"/>
            </w:pPr>
            <w:r w:rsidRPr="008E74D5">
              <w:t>Общая вода в</w:t>
            </w:r>
            <w:r w:rsidR="008E74D5">
              <w:t xml:space="preserve"> </w:t>
            </w:r>
            <w:r w:rsidR="008E74D5" w:rsidRPr="008E74D5">
              <w:t>%</w:t>
            </w:r>
            <w:r w:rsidRPr="008E74D5">
              <w:t xml:space="preserve"> 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от массы тела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54,7</w:t>
            </w:r>
          </w:p>
          <w:p w:rsidR="008E74D5" w:rsidRDefault="008023D1" w:rsidP="008E74D5">
            <w:pPr>
              <w:pStyle w:val="afb"/>
            </w:pPr>
            <w:r w:rsidRPr="008E74D5">
              <w:t>1,3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54,8</w:t>
            </w:r>
          </w:p>
          <w:p w:rsidR="008E74D5" w:rsidRDefault="008023D1" w:rsidP="008E74D5">
            <w:pPr>
              <w:pStyle w:val="afb"/>
            </w:pPr>
            <w:r w:rsidRPr="008E74D5">
              <w:t>1,9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56,6</w:t>
            </w:r>
          </w:p>
          <w:p w:rsidR="008E74D5" w:rsidRDefault="008023D1" w:rsidP="008E74D5">
            <w:pPr>
              <w:pStyle w:val="afb"/>
            </w:pPr>
            <w:r w:rsidRPr="008E74D5">
              <w:t>1,4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57,3</w:t>
            </w:r>
          </w:p>
          <w:p w:rsidR="008E74D5" w:rsidRDefault="008023D1" w:rsidP="008E74D5">
            <w:pPr>
              <w:pStyle w:val="afb"/>
            </w:pPr>
            <w:r w:rsidRPr="008E74D5">
              <w:t>1,6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59,0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60,1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2,1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0,05</w:t>
            </w:r>
          </w:p>
        </w:tc>
      </w:tr>
      <w:tr w:rsidR="008023D1" w:rsidRPr="008E74D5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4D5" w:rsidRDefault="008023D1" w:rsidP="008E74D5">
            <w:pPr>
              <w:pStyle w:val="afb"/>
            </w:pPr>
            <w:r w:rsidRPr="008E74D5">
              <w:t>Внекле</w:t>
            </w:r>
            <w:r w:rsidR="008E74D5">
              <w:t>точ</w:t>
            </w:r>
            <w:r w:rsidRPr="008E74D5">
              <w:t>ная вода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в</w:t>
            </w:r>
            <w:r w:rsidR="008E74D5">
              <w:t xml:space="preserve"> </w:t>
            </w:r>
            <w:r w:rsidR="008E74D5" w:rsidRPr="008E74D5">
              <w:t>%</w:t>
            </w:r>
            <w:r w:rsidRPr="008E74D5">
              <w:t xml:space="preserve"> от массы тела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20,1</w:t>
            </w:r>
          </w:p>
          <w:p w:rsidR="008E74D5" w:rsidRDefault="008023D1" w:rsidP="008E74D5">
            <w:pPr>
              <w:pStyle w:val="afb"/>
            </w:pPr>
            <w:r w:rsidRPr="008E74D5">
              <w:t>0,6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20,2</w:t>
            </w:r>
          </w:p>
          <w:p w:rsidR="008E74D5" w:rsidRDefault="008023D1" w:rsidP="008E74D5">
            <w:pPr>
              <w:pStyle w:val="afb"/>
            </w:pPr>
            <w:r w:rsidRPr="008E74D5">
              <w:t>0,7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21,8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22,3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0,3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23,4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24,8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0,6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0,001</w:t>
            </w:r>
          </w:p>
        </w:tc>
      </w:tr>
      <w:tr w:rsidR="008023D1" w:rsidRPr="008E74D5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4D5" w:rsidRDefault="008023D1" w:rsidP="008E74D5">
            <w:pPr>
              <w:pStyle w:val="afb"/>
            </w:pPr>
            <w:r w:rsidRPr="008E74D5">
              <w:t xml:space="preserve">Внутриклеточная вода 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в</w:t>
            </w:r>
            <w:r w:rsidR="008E74D5">
              <w:t xml:space="preserve"> </w:t>
            </w:r>
            <w:r w:rsidR="008E74D5" w:rsidRPr="008E74D5">
              <w:t>%</w:t>
            </w:r>
            <w:r w:rsidRPr="008E74D5">
              <w:t xml:space="preserve"> от массы тела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М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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35,5</w:t>
            </w:r>
          </w:p>
          <w:p w:rsidR="008E74D5" w:rsidRDefault="008023D1" w:rsidP="008E74D5">
            <w:pPr>
              <w:pStyle w:val="afb"/>
            </w:pPr>
            <w:r w:rsidRPr="008E74D5">
              <w:t>1,4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35,6</w:t>
            </w:r>
          </w:p>
          <w:p w:rsid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35,8</w:t>
            </w:r>
          </w:p>
          <w:p w:rsid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35,8</w:t>
            </w:r>
          </w:p>
          <w:p w:rsidR="008E74D5" w:rsidRDefault="008023D1" w:rsidP="008E74D5">
            <w:pPr>
              <w:pStyle w:val="afb"/>
            </w:pPr>
            <w:r w:rsidRPr="008E74D5">
              <w:t>1,4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35,9</w:t>
            </w:r>
          </w:p>
          <w:p w:rsidR="008E74D5" w:rsidRDefault="008023D1" w:rsidP="008E74D5">
            <w:pPr>
              <w:pStyle w:val="afb"/>
            </w:pPr>
            <w:r w:rsidRPr="008E74D5">
              <w:t>1,5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D1" w:rsidRPr="008E74D5" w:rsidRDefault="008023D1" w:rsidP="008E74D5">
            <w:pPr>
              <w:pStyle w:val="afb"/>
            </w:pPr>
            <w:r w:rsidRPr="008E74D5">
              <w:t>36,2</w:t>
            </w:r>
          </w:p>
          <w:p w:rsidR="008E74D5" w:rsidRDefault="008023D1" w:rsidP="008E74D5">
            <w:pPr>
              <w:pStyle w:val="afb"/>
            </w:pPr>
            <w:r w:rsidRPr="008E74D5">
              <w:t>0,7</w:t>
            </w:r>
          </w:p>
          <w:p w:rsidR="008023D1" w:rsidRPr="008E74D5" w:rsidRDefault="008023D1" w:rsidP="008E74D5">
            <w:pPr>
              <w:pStyle w:val="afb"/>
            </w:pPr>
            <w:r w:rsidRPr="008E74D5">
              <w:t>-</w:t>
            </w:r>
          </w:p>
        </w:tc>
      </w:tr>
    </w:tbl>
    <w:p w:rsidR="008023D1" w:rsidRPr="008E74D5" w:rsidRDefault="008023D1" w:rsidP="008E74D5">
      <w:pPr>
        <w:ind w:firstLine="709"/>
        <w:rPr>
          <w:lang w:eastAsia="en-US"/>
        </w:rPr>
      </w:pP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Примечание</w:t>
      </w:r>
      <w:r w:rsidR="008E74D5" w:rsidRPr="008E74D5">
        <w:rPr>
          <w:lang w:eastAsia="en-US"/>
        </w:rPr>
        <w:t xml:space="preserve">: </w:t>
      </w:r>
      <w:r w:rsidRPr="008E74D5">
        <w:rPr>
          <w:lang w:eastAsia="en-US"/>
        </w:rPr>
        <w:t>Р-достоверность различия по сравнению с данными контрольной группы</w:t>
      </w:r>
      <w:r w:rsidR="008E74D5" w:rsidRPr="008E74D5">
        <w:rPr>
          <w:lang w:eastAsia="en-US"/>
        </w:rPr>
        <w:t>.</w:t>
      </w:r>
    </w:p>
    <w:p w:rsidR="008E74D5" w:rsidRDefault="008023D1" w:rsidP="008E74D5">
      <w:pPr>
        <w:ind w:firstLine="709"/>
        <w:rPr>
          <w:lang w:eastAsia="en-US"/>
        </w:rPr>
      </w:pPr>
      <w:r w:rsidRPr="008E74D5">
        <w:rPr>
          <w:lang w:eastAsia="en-US"/>
        </w:rPr>
        <w:t>Прочерком отмечены Р&gt; 0,05</w:t>
      </w:r>
    </w:p>
    <w:p w:rsidR="008023D1" w:rsidRPr="008E74D5" w:rsidRDefault="008E74D5" w:rsidP="008E74D5">
      <w:pPr>
        <w:pStyle w:val="2"/>
      </w:pPr>
      <w:r>
        <w:br w:type="page"/>
        <w:t>Литература</w:t>
      </w:r>
    </w:p>
    <w:p w:rsidR="008E74D5" w:rsidRDefault="008E74D5" w:rsidP="008E74D5">
      <w:pPr>
        <w:ind w:firstLine="709"/>
        <w:rPr>
          <w:lang w:eastAsia="en-US"/>
        </w:rPr>
      </w:pPr>
    </w:p>
    <w:p w:rsidR="008E74D5" w:rsidRDefault="008023D1" w:rsidP="008E74D5">
      <w:pPr>
        <w:pStyle w:val="a0"/>
      </w:pPr>
      <w:r w:rsidRPr="008E74D5">
        <w:t>М</w:t>
      </w:r>
      <w:r w:rsidR="008E74D5">
        <w:t xml:space="preserve">.М. </w:t>
      </w:r>
      <w:r w:rsidRPr="008E74D5">
        <w:t>Агаев</w:t>
      </w:r>
      <w:r w:rsidR="008E74D5" w:rsidRPr="008E74D5">
        <w:t>.</w:t>
      </w:r>
      <w:r w:rsidR="008E74D5">
        <w:t xml:space="preserve"> "</w:t>
      </w:r>
      <w:r w:rsidRPr="008E74D5">
        <w:t>Состояние сердечно-сосудистой системы у больных с острой хронической почечной недостаточностью леченных гемодиализом</w:t>
      </w:r>
      <w:r w:rsidR="008E74D5">
        <w:t xml:space="preserve">". </w:t>
      </w:r>
      <w:r w:rsidRPr="008E74D5">
        <w:t>Автореф</w:t>
      </w:r>
      <w:r w:rsidR="008E74D5" w:rsidRPr="008E74D5">
        <w:t xml:space="preserve">. </w:t>
      </w:r>
      <w:r w:rsidRPr="008E74D5">
        <w:t>Канд</w:t>
      </w:r>
      <w:r w:rsidR="008E74D5" w:rsidRPr="008E74D5">
        <w:t xml:space="preserve">. </w:t>
      </w:r>
      <w:r w:rsidRPr="008E74D5">
        <w:t>дисс</w:t>
      </w:r>
      <w:r w:rsidR="008E74D5" w:rsidRPr="008E74D5">
        <w:t xml:space="preserve">. </w:t>
      </w:r>
      <w:r w:rsidRPr="008E74D5">
        <w:t>г</w:t>
      </w:r>
      <w:r w:rsidR="008E74D5" w:rsidRPr="008E74D5">
        <w:t xml:space="preserve">. </w:t>
      </w:r>
      <w:r w:rsidRPr="008E74D5">
        <w:t>Баку, 1974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В</w:t>
      </w:r>
      <w:r w:rsidR="008E74D5">
        <w:t xml:space="preserve">.С. </w:t>
      </w:r>
      <w:r w:rsidRPr="008E74D5">
        <w:t>Волков, Н</w:t>
      </w:r>
      <w:r w:rsidR="008E74D5">
        <w:t xml:space="preserve">.Н. </w:t>
      </w:r>
      <w:r w:rsidRPr="008E74D5">
        <w:t>Высоцкий, В</w:t>
      </w:r>
      <w:r w:rsidR="008E74D5">
        <w:t xml:space="preserve">.В. </w:t>
      </w:r>
      <w:r w:rsidRPr="008E74D5">
        <w:t>Троцюк, В</w:t>
      </w:r>
      <w:r w:rsidR="008E74D5">
        <w:t xml:space="preserve">.И. </w:t>
      </w:r>
      <w:r w:rsidRPr="008E74D5">
        <w:t>Мишин</w:t>
      </w:r>
      <w:r w:rsidR="008E74D5" w:rsidRPr="008E74D5">
        <w:t>.</w:t>
      </w:r>
      <w:r w:rsidR="008E74D5">
        <w:t xml:space="preserve"> "</w:t>
      </w:r>
      <w:r w:rsidRPr="008E74D5">
        <w:t>Оценка состояния микроциркуляции методом конъю</w:t>
      </w:r>
      <w:r w:rsidR="008E74D5">
        <w:t>н</w:t>
      </w:r>
      <w:r w:rsidRPr="008E74D5">
        <w:t>ктивальной биомикроскопии</w:t>
      </w:r>
      <w:r w:rsidR="008E74D5">
        <w:t xml:space="preserve">". </w:t>
      </w:r>
      <w:r w:rsidRPr="008E74D5">
        <w:t>Клиническая медицина, 1976, 7, 115-119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И</w:t>
      </w:r>
      <w:r w:rsidR="008E74D5">
        <w:t xml:space="preserve">.Л. </w:t>
      </w:r>
      <w:r w:rsidRPr="008E74D5">
        <w:t>Виноградова, В</w:t>
      </w:r>
      <w:r w:rsidR="008E74D5">
        <w:t xml:space="preserve">.Д. </w:t>
      </w:r>
      <w:r w:rsidRPr="008E74D5">
        <w:t>Шахсуваров, С</w:t>
      </w:r>
      <w:r w:rsidR="008E74D5">
        <w:t xml:space="preserve">.Ю. </w:t>
      </w:r>
      <w:r w:rsidRPr="008E74D5">
        <w:t>Багрянцева, И</w:t>
      </w:r>
      <w:r w:rsidR="008E74D5">
        <w:t xml:space="preserve">.В. </w:t>
      </w:r>
      <w:r w:rsidRPr="008E74D5">
        <w:t>Ряполова, В</w:t>
      </w:r>
      <w:r w:rsidR="008E74D5">
        <w:t xml:space="preserve">.М. </w:t>
      </w:r>
      <w:r w:rsidRPr="008E74D5">
        <w:t>Шлимак, А</w:t>
      </w:r>
      <w:r w:rsidR="008E74D5">
        <w:t xml:space="preserve">.П. </w:t>
      </w:r>
      <w:r w:rsidRPr="008E74D5">
        <w:t>Карпов</w:t>
      </w:r>
      <w:r w:rsidR="008E74D5" w:rsidRPr="008E74D5">
        <w:t>.</w:t>
      </w:r>
      <w:r w:rsidR="008E74D5">
        <w:t xml:space="preserve"> "</w:t>
      </w:r>
      <w:r w:rsidRPr="008E74D5">
        <w:t>Влияние гемодиализа на состояние водного обмена у больных с почечной недостаточностью</w:t>
      </w:r>
      <w:r w:rsidR="008E74D5">
        <w:t xml:space="preserve">". </w:t>
      </w:r>
      <w:r w:rsidRPr="008E74D5">
        <w:t>Журн</w:t>
      </w:r>
      <w:r w:rsidR="008E74D5" w:rsidRPr="008E74D5">
        <w:t>.</w:t>
      </w:r>
      <w:r w:rsidR="008E74D5">
        <w:t xml:space="preserve"> "</w:t>
      </w:r>
      <w:r w:rsidRPr="008E74D5">
        <w:t>Урология и нефрология</w:t>
      </w:r>
      <w:r w:rsidR="008E74D5">
        <w:t xml:space="preserve">", </w:t>
      </w:r>
      <w:r w:rsidRPr="008E74D5">
        <w:t>1985, 1, 38-41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Гамидов И</w:t>
      </w:r>
      <w:r w:rsidR="008E74D5">
        <w:t xml:space="preserve">.М., </w:t>
      </w:r>
      <w:r w:rsidR="008E74D5" w:rsidRPr="008E74D5">
        <w:t xml:space="preserve">- </w:t>
      </w:r>
      <w:r w:rsidRPr="008E74D5">
        <w:t>Состояние микроциркуляции у больных хронической почечной недостаточностью</w:t>
      </w:r>
      <w:r w:rsidR="008E74D5" w:rsidRPr="008E74D5">
        <w:t>. -</w:t>
      </w:r>
      <w:r w:rsidR="008E74D5">
        <w:t xml:space="preserve"> </w:t>
      </w:r>
      <w:r w:rsidRPr="008E74D5">
        <w:t>Автереф</w:t>
      </w:r>
      <w:r w:rsidR="008E74D5" w:rsidRPr="008E74D5">
        <w:t xml:space="preserve">. </w:t>
      </w:r>
      <w:r w:rsidRPr="008E74D5">
        <w:t>канд</w:t>
      </w:r>
      <w:r w:rsidR="008E74D5" w:rsidRPr="008E74D5">
        <w:t xml:space="preserve">. </w:t>
      </w:r>
      <w:r w:rsidRPr="008E74D5">
        <w:t>мед</w:t>
      </w:r>
      <w:r w:rsidR="008E74D5" w:rsidRPr="008E74D5">
        <w:t xml:space="preserve">. </w:t>
      </w:r>
      <w:r w:rsidRPr="008E74D5">
        <w:t>наук</w:t>
      </w:r>
      <w:r w:rsidR="008E74D5" w:rsidRPr="008E74D5">
        <w:t xml:space="preserve">. </w:t>
      </w:r>
      <w:r w:rsidRPr="008E74D5">
        <w:t>Тбилиси, 1984, 28 стр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Гамидов И</w:t>
      </w:r>
      <w:r w:rsidR="008E74D5">
        <w:t xml:space="preserve">.М. </w:t>
      </w:r>
      <w:r w:rsidR="008E74D5" w:rsidRPr="008E74D5">
        <w:t>-</w:t>
      </w:r>
      <w:r w:rsidR="008E74D5">
        <w:t xml:space="preserve"> </w:t>
      </w:r>
      <w:r w:rsidRPr="008E74D5">
        <w:t>Микрососудистое русло при хронической уремии</w:t>
      </w:r>
      <w:r w:rsidR="008E74D5" w:rsidRPr="008E74D5">
        <w:t xml:space="preserve">. </w:t>
      </w:r>
      <w:r w:rsidRPr="008E74D5">
        <w:t>Баку, 1988, 121 стр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М</w:t>
      </w:r>
      <w:r w:rsidR="008E74D5">
        <w:t xml:space="preserve">.Д. </w:t>
      </w:r>
      <w:r w:rsidRPr="008E74D5">
        <w:t>Джавад-Заде, П</w:t>
      </w:r>
      <w:r w:rsidR="008E74D5">
        <w:t xml:space="preserve">.С. </w:t>
      </w:r>
      <w:r w:rsidRPr="008E74D5">
        <w:t>Мальков</w:t>
      </w:r>
      <w:r w:rsidR="008E74D5" w:rsidRPr="008E74D5">
        <w:t>.</w:t>
      </w:r>
      <w:r w:rsidR="008E74D5">
        <w:t xml:space="preserve"> "</w:t>
      </w:r>
      <w:r w:rsidRPr="008E74D5">
        <w:t>О классификации хронической почеченой недостаточности</w:t>
      </w:r>
      <w:r w:rsidR="008E74D5">
        <w:t xml:space="preserve">". </w:t>
      </w:r>
      <w:r w:rsidRPr="008E74D5">
        <w:t>Журн</w:t>
      </w:r>
      <w:r w:rsidR="008E74D5" w:rsidRPr="008E74D5">
        <w:t>.</w:t>
      </w:r>
      <w:r w:rsidR="008E74D5">
        <w:t xml:space="preserve"> "</w:t>
      </w:r>
      <w:r w:rsidRPr="008E74D5">
        <w:t>Урология и нефрология</w:t>
      </w:r>
      <w:r w:rsidR="008E74D5">
        <w:t>". 19</w:t>
      </w:r>
      <w:r w:rsidRPr="008E74D5">
        <w:t>75, 3,7-13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М</w:t>
      </w:r>
      <w:r w:rsidR="008E74D5">
        <w:t xml:space="preserve">.Д. </w:t>
      </w:r>
      <w:r w:rsidRPr="008E74D5">
        <w:t>Джавад-Заде, П</w:t>
      </w:r>
      <w:r w:rsidR="008E74D5">
        <w:t xml:space="preserve">.С. </w:t>
      </w:r>
      <w:r w:rsidRPr="008E74D5">
        <w:t>Мальков</w:t>
      </w:r>
      <w:r w:rsidR="008E74D5" w:rsidRPr="008E74D5">
        <w:t>.</w:t>
      </w:r>
      <w:r w:rsidR="008E74D5">
        <w:t xml:space="preserve"> "</w:t>
      </w:r>
      <w:r w:rsidRPr="008E74D5">
        <w:t>Хроническая почечная недостаточность</w:t>
      </w:r>
      <w:r w:rsidR="008E74D5">
        <w:t xml:space="preserve">", </w:t>
      </w:r>
      <w:r w:rsidRPr="008E74D5">
        <w:t>М</w:t>
      </w:r>
      <w:r w:rsidR="008E74D5">
        <w:t>. 19</w:t>
      </w:r>
      <w:r w:rsidRPr="008E74D5">
        <w:t>78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В</w:t>
      </w:r>
      <w:r w:rsidR="008E74D5">
        <w:t xml:space="preserve">.М. </w:t>
      </w:r>
      <w:r w:rsidRPr="008E74D5">
        <w:t>Ермоленко</w:t>
      </w:r>
      <w:r w:rsidR="008E74D5" w:rsidRPr="008E74D5">
        <w:t>.</w:t>
      </w:r>
      <w:r w:rsidR="008E74D5">
        <w:t xml:space="preserve"> "</w:t>
      </w:r>
      <w:r w:rsidRPr="008E74D5">
        <w:t>Хронический гемодиализ</w:t>
      </w:r>
      <w:r w:rsidR="008E74D5">
        <w:t xml:space="preserve">", </w:t>
      </w:r>
      <w:r w:rsidRPr="008E74D5">
        <w:t>М</w:t>
      </w:r>
      <w:r w:rsidR="008E74D5">
        <w:t>. 19</w:t>
      </w:r>
      <w:r w:rsidRPr="008E74D5">
        <w:t>83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В</w:t>
      </w:r>
      <w:r w:rsidR="008E74D5">
        <w:t xml:space="preserve">.М. </w:t>
      </w:r>
      <w:r w:rsidRPr="008E74D5">
        <w:t>Казначеев</w:t>
      </w:r>
      <w:r w:rsidR="008E74D5" w:rsidRPr="008E74D5">
        <w:t>.</w:t>
      </w:r>
      <w:r w:rsidR="008E74D5">
        <w:t xml:space="preserve"> "</w:t>
      </w:r>
      <w:r w:rsidRPr="008E74D5">
        <w:t>Основные ферментативные процессы в патологии и клинике ревматизма</w:t>
      </w:r>
      <w:r w:rsidR="008E74D5">
        <w:t xml:space="preserve">". </w:t>
      </w:r>
      <w:r w:rsidRPr="008E74D5">
        <w:t>Новосибирск, 1960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В</w:t>
      </w:r>
      <w:r w:rsidR="008E74D5">
        <w:t xml:space="preserve">.В. </w:t>
      </w:r>
      <w:r w:rsidRPr="008E74D5">
        <w:t>Куприянов</w:t>
      </w:r>
      <w:r w:rsidR="008E74D5" w:rsidRPr="008E74D5">
        <w:t>.</w:t>
      </w:r>
      <w:r w:rsidR="008E74D5">
        <w:t xml:space="preserve"> "</w:t>
      </w:r>
      <w:r w:rsidRPr="008E74D5">
        <w:t>Морфология и функциональное значение микроциркуляции</w:t>
      </w:r>
      <w:r w:rsidR="008E74D5">
        <w:t xml:space="preserve">". </w:t>
      </w:r>
      <w:r w:rsidRPr="008E74D5">
        <w:t>Актовая речь</w:t>
      </w:r>
      <w:r w:rsidR="008E74D5">
        <w:t>. М. 19</w:t>
      </w:r>
      <w:r w:rsidRPr="008E74D5">
        <w:t>74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С</w:t>
      </w:r>
      <w:r w:rsidR="008E74D5">
        <w:t xml:space="preserve">.И. </w:t>
      </w:r>
      <w:r w:rsidRPr="008E74D5">
        <w:t>Рябов</w:t>
      </w:r>
      <w:r w:rsidR="008E74D5" w:rsidRPr="008E74D5">
        <w:t>.</w:t>
      </w:r>
      <w:r w:rsidR="008E74D5">
        <w:t xml:space="preserve"> "</w:t>
      </w:r>
      <w:r w:rsidRPr="008E74D5">
        <w:t>Болезни почек</w:t>
      </w:r>
      <w:r w:rsidR="008E74D5">
        <w:t xml:space="preserve">", </w:t>
      </w:r>
      <w:r w:rsidRPr="008E74D5">
        <w:t>Л</w:t>
      </w:r>
      <w:r w:rsidR="008E74D5">
        <w:t>. 19</w:t>
      </w:r>
      <w:r w:rsidRPr="008E74D5">
        <w:t>82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А</w:t>
      </w:r>
      <w:r w:rsidR="008E74D5">
        <w:t xml:space="preserve">.И. </w:t>
      </w:r>
      <w:r w:rsidRPr="008E74D5">
        <w:t>Струков</w:t>
      </w:r>
      <w:r w:rsidR="008E74D5" w:rsidRPr="008E74D5">
        <w:t>.</w:t>
      </w:r>
      <w:r w:rsidR="008E74D5">
        <w:t xml:space="preserve"> "</w:t>
      </w:r>
      <w:r w:rsidRPr="008E74D5">
        <w:t>Функциональные структуры микроциркуляции и их роль в патологии</w:t>
      </w:r>
      <w:r w:rsidR="008E74D5">
        <w:t xml:space="preserve">", </w:t>
      </w:r>
      <w:r w:rsidRPr="008E74D5">
        <w:t>Кардиология, 1975, 12,5-11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Е</w:t>
      </w:r>
      <w:r w:rsidR="008E74D5">
        <w:t xml:space="preserve">.М. </w:t>
      </w:r>
      <w:r w:rsidRPr="008E74D5">
        <w:t>Тареев</w:t>
      </w:r>
      <w:r w:rsidR="008E74D5" w:rsidRPr="008E74D5">
        <w:t>.</w:t>
      </w:r>
      <w:r w:rsidR="008E74D5">
        <w:t xml:space="preserve"> "</w:t>
      </w:r>
      <w:r w:rsidRPr="008E74D5">
        <w:t>Клиническая нефрология</w:t>
      </w:r>
      <w:r w:rsidR="008E74D5">
        <w:t xml:space="preserve">", </w:t>
      </w:r>
      <w:r w:rsidRPr="008E74D5">
        <w:t>М</w:t>
      </w:r>
      <w:r w:rsidR="008E74D5">
        <w:t>. 19</w:t>
      </w:r>
      <w:r w:rsidRPr="008E74D5">
        <w:t>82</w:t>
      </w:r>
      <w:r w:rsidR="008E74D5" w:rsidRPr="008E74D5">
        <w:t>.</w:t>
      </w:r>
    </w:p>
    <w:p w:rsidR="008E74D5" w:rsidRDefault="00636E01" w:rsidP="008E74D5">
      <w:pPr>
        <w:pStyle w:val="a0"/>
      </w:pPr>
      <w:r w:rsidRPr="008E74D5">
        <w:t>А</w:t>
      </w:r>
      <w:r w:rsidR="008E74D5">
        <w:t xml:space="preserve">.М. </w:t>
      </w:r>
      <w:r w:rsidRPr="008E74D5">
        <w:t>Чернух</w:t>
      </w:r>
      <w:r w:rsidR="008E74D5">
        <w:t>,</w:t>
      </w:r>
      <w:r w:rsidRPr="008E74D5">
        <w:t xml:space="preserve"> </w:t>
      </w:r>
      <w:r w:rsidR="008023D1" w:rsidRPr="008E74D5">
        <w:t>П</w:t>
      </w:r>
      <w:r w:rsidR="008E74D5">
        <w:t xml:space="preserve">.Н. </w:t>
      </w:r>
      <w:r w:rsidR="008023D1" w:rsidRPr="008E74D5">
        <w:t>Александров, О</w:t>
      </w:r>
      <w:r w:rsidR="008E74D5">
        <w:t xml:space="preserve">.В. </w:t>
      </w:r>
      <w:r w:rsidR="008023D1" w:rsidRPr="008E74D5">
        <w:t>Алекссев</w:t>
      </w:r>
      <w:r w:rsidR="008E74D5" w:rsidRPr="008E74D5">
        <w:t>.</w:t>
      </w:r>
      <w:r w:rsidR="008E74D5">
        <w:t xml:space="preserve"> "</w:t>
      </w:r>
      <w:r w:rsidR="008023D1" w:rsidRPr="008E74D5">
        <w:t>Микроциркуляция</w:t>
      </w:r>
      <w:r w:rsidR="008E74D5">
        <w:t xml:space="preserve">", </w:t>
      </w:r>
      <w:r w:rsidR="008023D1" w:rsidRPr="008E74D5">
        <w:t>М</w:t>
      </w:r>
      <w:r w:rsidR="008E74D5">
        <w:t>. 19</w:t>
      </w:r>
      <w:r w:rsidR="008023D1" w:rsidRPr="008E74D5">
        <w:t>75</w:t>
      </w:r>
      <w:r w:rsidR="008E74D5" w:rsidRPr="008E74D5">
        <w:t>.</w:t>
      </w:r>
    </w:p>
    <w:p w:rsidR="008E74D5" w:rsidRDefault="008023D1" w:rsidP="008E74D5">
      <w:pPr>
        <w:pStyle w:val="a0"/>
      </w:pPr>
      <w:r w:rsidRPr="008E74D5">
        <w:t>И</w:t>
      </w:r>
      <w:r w:rsidR="008E74D5">
        <w:t xml:space="preserve">.С. </w:t>
      </w:r>
      <w:r w:rsidRPr="008E74D5">
        <w:t>Ярмолинский, Е</w:t>
      </w:r>
      <w:r w:rsidR="008E74D5">
        <w:t xml:space="preserve">.А. </w:t>
      </w:r>
      <w:r w:rsidRPr="008E74D5">
        <w:t>Стацюк</w:t>
      </w:r>
      <w:r w:rsidR="008E74D5" w:rsidRPr="008E74D5">
        <w:t>.</w:t>
      </w:r>
      <w:r w:rsidR="008E74D5">
        <w:t xml:space="preserve"> "</w:t>
      </w:r>
      <w:r w:rsidRPr="008E74D5">
        <w:t>Опасности и осложнения отдель</w:t>
      </w:r>
      <w:r w:rsidR="00DD32D1" w:rsidRPr="008E74D5">
        <w:t>ной ультрафильтрации</w:t>
      </w:r>
      <w:r w:rsidR="008E74D5">
        <w:t xml:space="preserve">". </w:t>
      </w:r>
      <w:r w:rsidR="00DD32D1" w:rsidRPr="008E74D5">
        <w:t>Журн</w:t>
      </w:r>
      <w:r w:rsidR="008E74D5" w:rsidRPr="008E74D5">
        <w:t>.</w:t>
      </w:r>
      <w:r w:rsidR="008E74D5">
        <w:t xml:space="preserve"> "</w:t>
      </w:r>
      <w:r w:rsidR="00DD32D1" w:rsidRPr="008E74D5">
        <w:t>У</w:t>
      </w:r>
      <w:r w:rsidRPr="008E74D5">
        <w:t>рология и нефрология</w:t>
      </w:r>
      <w:r w:rsidR="008E74D5">
        <w:t xml:space="preserve">", </w:t>
      </w:r>
      <w:r w:rsidRPr="008E74D5">
        <w:t>1985, 1, 41-44</w:t>
      </w:r>
      <w:r w:rsidR="008E74D5" w:rsidRPr="008E74D5">
        <w:t>.</w:t>
      </w:r>
    </w:p>
    <w:p w:rsidR="008E74D5" w:rsidRPr="008E74D5" w:rsidRDefault="008023D1" w:rsidP="008E74D5">
      <w:pPr>
        <w:pStyle w:val="a0"/>
      </w:pPr>
      <w:r w:rsidRPr="008E74D5">
        <w:rPr>
          <w:lang w:val="en-US"/>
        </w:rPr>
        <w:t>W</w:t>
      </w:r>
      <w:r w:rsidR="008E74D5" w:rsidRPr="008E74D5">
        <w:t xml:space="preserve">. </w:t>
      </w:r>
      <w:r w:rsidRPr="008E74D5">
        <w:rPr>
          <w:lang w:val="en-US"/>
        </w:rPr>
        <w:t>Cliff</w:t>
      </w:r>
      <w:r w:rsidR="008E74D5" w:rsidRPr="008E74D5">
        <w:t>. "</w:t>
      </w:r>
      <w:r w:rsidRPr="008E74D5">
        <w:rPr>
          <w:lang w:val="en-US"/>
        </w:rPr>
        <w:t>Blood</w:t>
      </w:r>
      <w:r w:rsidRPr="008E74D5">
        <w:t xml:space="preserve"> </w:t>
      </w:r>
      <w:r w:rsidRPr="008E74D5">
        <w:rPr>
          <w:lang w:val="en-US"/>
        </w:rPr>
        <w:t>vessels</w:t>
      </w:r>
      <w:r w:rsidR="008E74D5" w:rsidRPr="008E74D5">
        <w:t xml:space="preserve">. </w:t>
      </w:r>
      <w:r w:rsidRPr="008E74D5">
        <w:rPr>
          <w:lang w:val="en-US"/>
        </w:rPr>
        <w:t>Cambridg</w:t>
      </w:r>
      <w:r w:rsidR="008E74D5" w:rsidRPr="008E74D5">
        <w:t xml:space="preserve">" </w:t>
      </w:r>
      <w:r w:rsidRPr="008E74D5">
        <w:t>1976</w:t>
      </w:r>
      <w:r w:rsidR="008E74D5" w:rsidRPr="008E74D5">
        <w:t>.</w:t>
      </w:r>
    </w:p>
    <w:p w:rsidR="008E74D5" w:rsidRDefault="008023D1" w:rsidP="008E74D5">
      <w:pPr>
        <w:pStyle w:val="a0"/>
        <w:rPr>
          <w:lang w:val="en-US"/>
        </w:rPr>
      </w:pPr>
      <w:r w:rsidRPr="008E74D5">
        <w:rPr>
          <w:lang w:val="en-US"/>
        </w:rPr>
        <w:t>Cogan</w:t>
      </w:r>
      <w:r w:rsidRPr="008E74D5">
        <w:t xml:space="preserve"> </w:t>
      </w:r>
      <w:r w:rsidRPr="008E74D5">
        <w:rPr>
          <w:lang w:val="en-US"/>
        </w:rPr>
        <w:t>MG</w:t>
      </w:r>
      <w:r w:rsidR="008E74D5" w:rsidRPr="008E74D5">
        <w:t xml:space="preserve">. </w:t>
      </w:r>
      <w:r w:rsidRPr="008E74D5">
        <w:rPr>
          <w:lang w:val="en-US"/>
        </w:rPr>
        <w:t>Fluid and Electrolytes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Physiology and pathophysiology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Appleton and Lange, New Jersey, 1991</w:t>
      </w:r>
      <w:r w:rsidR="008E74D5" w:rsidRPr="008E74D5">
        <w:rPr>
          <w:lang w:val="en-US"/>
        </w:rPr>
        <w:t>.</w:t>
      </w:r>
    </w:p>
    <w:p w:rsidR="008E74D5" w:rsidRPr="008E74D5" w:rsidRDefault="008023D1" w:rsidP="008E74D5">
      <w:pPr>
        <w:pStyle w:val="a0"/>
        <w:rPr>
          <w:lang w:val="en-US"/>
        </w:rPr>
      </w:pPr>
      <w:r w:rsidRPr="008E74D5">
        <w:rPr>
          <w:lang w:val="en-US"/>
        </w:rPr>
        <w:t>D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S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Gibson</w:t>
      </w:r>
      <w:r w:rsidR="008E74D5" w:rsidRPr="008E74D5">
        <w:rPr>
          <w:lang w:val="en-US"/>
        </w:rPr>
        <w:t>.</w:t>
      </w:r>
      <w:r w:rsidR="008E74D5">
        <w:rPr>
          <w:lang w:val="en-US"/>
        </w:rPr>
        <w:t xml:space="preserve"> "</w:t>
      </w:r>
      <w:r w:rsidRPr="008E74D5">
        <w:rPr>
          <w:lang w:val="en-US"/>
        </w:rPr>
        <w:t>Abnormal splitting of the second heart sound in renal failure</w:t>
      </w:r>
      <w:r w:rsidR="008E74D5">
        <w:rPr>
          <w:lang w:val="en-US"/>
        </w:rPr>
        <w:t xml:space="preserve">." </w:t>
      </w:r>
      <w:r w:rsidRPr="008E74D5">
        <w:rPr>
          <w:lang w:val="en-US"/>
        </w:rPr>
        <w:t>Brit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med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J</w:t>
      </w:r>
      <w:r w:rsidR="008E74D5" w:rsidRPr="008E74D5">
        <w:rPr>
          <w:lang w:val="en-US"/>
        </w:rPr>
        <w:t>., 19</w:t>
      </w:r>
      <w:r w:rsidRPr="008E74D5">
        <w:rPr>
          <w:lang w:val="en-US"/>
        </w:rPr>
        <w:t>67, 4,5572, 141-144</w:t>
      </w:r>
      <w:r w:rsidR="008E74D5" w:rsidRPr="008E74D5">
        <w:rPr>
          <w:lang w:val="en-US"/>
        </w:rPr>
        <w:t>.</w:t>
      </w:r>
    </w:p>
    <w:p w:rsidR="008E74D5" w:rsidRDefault="008023D1" w:rsidP="008E74D5">
      <w:pPr>
        <w:pStyle w:val="a0"/>
        <w:rPr>
          <w:lang w:val="en-US"/>
        </w:rPr>
      </w:pPr>
      <w:r w:rsidRPr="008E74D5">
        <w:rPr>
          <w:lang w:val="en-US"/>
        </w:rPr>
        <w:t>Johnson Rj, Feehally J</w:t>
      </w:r>
      <w:r w:rsidR="008E74D5">
        <w:rPr>
          <w:lang w:val="en-US"/>
        </w:rPr>
        <w:t xml:space="preserve"> (</w:t>
      </w:r>
      <w:r w:rsidRPr="008E74D5">
        <w:rPr>
          <w:lang w:val="en-US"/>
        </w:rPr>
        <w:t>Editors</w:t>
      </w:r>
      <w:r w:rsidR="008E74D5" w:rsidRPr="008E74D5">
        <w:rPr>
          <w:lang w:val="en-US"/>
        </w:rPr>
        <w:t>)</w:t>
      </w:r>
      <w:r w:rsidR="008E74D5">
        <w:rPr>
          <w:lang w:val="en-US"/>
        </w:rPr>
        <w:t>.com</w:t>
      </w:r>
      <w:r w:rsidRPr="008E74D5">
        <w:rPr>
          <w:lang w:val="en-US"/>
        </w:rPr>
        <w:t>prehensive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Clinical Nephrology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Harcourt Publishers Limited, Barcelona, 2000</w:t>
      </w:r>
      <w:r w:rsidR="008E74D5" w:rsidRPr="008E74D5">
        <w:rPr>
          <w:lang w:val="en-US"/>
        </w:rPr>
        <w:t>.</w:t>
      </w:r>
    </w:p>
    <w:p w:rsidR="008E74D5" w:rsidRPr="008E74D5" w:rsidRDefault="008023D1" w:rsidP="008E74D5">
      <w:pPr>
        <w:pStyle w:val="a0"/>
        <w:rPr>
          <w:lang w:val="en-US"/>
        </w:rPr>
      </w:pPr>
      <w:r w:rsidRPr="008E74D5">
        <w:rPr>
          <w:lang w:val="en-US"/>
        </w:rPr>
        <w:t>Rose B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D</w:t>
      </w:r>
      <w:r w:rsidR="008E74D5">
        <w:rPr>
          <w:lang w:val="en-US"/>
        </w:rPr>
        <w:t>.,</w:t>
      </w:r>
      <w:r w:rsidRPr="008E74D5">
        <w:rPr>
          <w:lang w:val="en-US"/>
        </w:rPr>
        <w:t xml:space="preserve"> Post T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 xml:space="preserve">Clinical Phiysiology of Acid </w:t>
      </w:r>
      <w:r w:rsidR="008E74D5">
        <w:rPr>
          <w:lang w:val="en-US"/>
        </w:rPr>
        <w:t>-</w:t>
      </w:r>
      <w:r w:rsidRPr="008E74D5">
        <w:rPr>
          <w:lang w:val="en-US"/>
        </w:rPr>
        <w:t>Base and</w:t>
      </w:r>
      <w:r w:rsidR="008E74D5" w:rsidRPr="008E74D5">
        <w:rPr>
          <w:lang w:val="en-US"/>
        </w:rPr>
        <w:t xml:space="preserve"> </w:t>
      </w:r>
      <w:r w:rsidRPr="008E74D5">
        <w:rPr>
          <w:lang w:val="en-US"/>
        </w:rPr>
        <w:t>Electrolyte Disorders</w:t>
      </w:r>
      <w:r w:rsidR="008E74D5" w:rsidRPr="008E74D5">
        <w:rPr>
          <w:lang w:val="en-US"/>
        </w:rPr>
        <w:t xml:space="preserve">. </w:t>
      </w:r>
      <w:r w:rsidRPr="008E74D5">
        <w:rPr>
          <w:lang w:val="en-US"/>
        </w:rPr>
        <w:t>Mc Graw Hill, New York, 2000</w:t>
      </w:r>
      <w:r w:rsidR="008E74D5" w:rsidRPr="008E74D5">
        <w:rPr>
          <w:lang w:val="en-US"/>
        </w:rPr>
        <w:t>.</w:t>
      </w:r>
    </w:p>
    <w:p w:rsidR="008E74D5" w:rsidRPr="008E74D5" w:rsidRDefault="008023D1" w:rsidP="008E74D5">
      <w:pPr>
        <w:pStyle w:val="a0"/>
        <w:rPr>
          <w:lang w:val="en-US"/>
        </w:rPr>
      </w:pPr>
      <w:r w:rsidRPr="008E74D5">
        <w:t>Чаьлар</w:t>
      </w:r>
      <w:r w:rsidRPr="008E74D5">
        <w:rPr>
          <w:lang w:val="en-US"/>
        </w:rPr>
        <w:t xml:space="preserve"> </w:t>
      </w:r>
      <w:r w:rsidRPr="008E74D5">
        <w:t>Ш</w:t>
      </w:r>
      <w:r w:rsidR="008E74D5" w:rsidRPr="008E74D5">
        <w:rPr>
          <w:lang w:val="en-US"/>
        </w:rPr>
        <w:t xml:space="preserve"> (</w:t>
      </w:r>
      <w:r w:rsidRPr="008E74D5">
        <w:t>Едитор</w:t>
      </w:r>
      <w:r w:rsidR="008E74D5" w:rsidRPr="008E74D5">
        <w:rPr>
          <w:lang w:val="en-US"/>
        </w:rPr>
        <w:t xml:space="preserve">). </w:t>
      </w:r>
      <w:r w:rsidRPr="008E74D5">
        <w:t>Клиник</w:t>
      </w:r>
      <w:r w:rsidRPr="008E74D5">
        <w:rPr>
          <w:lang w:val="en-US"/>
        </w:rPr>
        <w:t xml:space="preserve"> </w:t>
      </w:r>
      <w:r w:rsidRPr="008E74D5">
        <w:t>Нефролоъи</w:t>
      </w:r>
      <w:r w:rsidR="008E74D5" w:rsidRPr="008E74D5">
        <w:rPr>
          <w:lang w:val="en-US"/>
        </w:rPr>
        <w:t xml:space="preserve">. </w:t>
      </w:r>
      <w:r w:rsidRPr="008E74D5">
        <w:t>Медиал</w:t>
      </w:r>
      <w:r w:rsidRPr="008E74D5">
        <w:rPr>
          <w:lang w:val="en-US"/>
        </w:rPr>
        <w:t xml:space="preserve"> </w:t>
      </w:r>
      <w:r w:rsidRPr="008E74D5">
        <w:t>Йайын</w:t>
      </w:r>
      <w:r w:rsidRPr="008E74D5">
        <w:rPr>
          <w:lang w:val="en-US"/>
        </w:rPr>
        <w:t xml:space="preserve"> </w:t>
      </w:r>
      <w:r w:rsidRPr="008E74D5">
        <w:t>Эрубу</w:t>
      </w:r>
      <w:r w:rsidRPr="008E74D5">
        <w:rPr>
          <w:lang w:val="en-US"/>
        </w:rPr>
        <w:t xml:space="preserve">, </w:t>
      </w:r>
      <w:r w:rsidRPr="008E74D5">
        <w:t>Анкара</w:t>
      </w:r>
      <w:r w:rsidRPr="008E74D5">
        <w:rPr>
          <w:lang w:val="en-US"/>
        </w:rPr>
        <w:t>, 1986</w:t>
      </w:r>
      <w:r w:rsidR="008E74D5" w:rsidRPr="008E74D5">
        <w:rPr>
          <w:lang w:val="en-US"/>
        </w:rPr>
        <w:t>.</w:t>
      </w:r>
    </w:p>
    <w:p w:rsidR="00006C2E" w:rsidRDefault="008E74D5" w:rsidP="008E74D5">
      <w:pPr>
        <w:pStyle w:val="2"/>
      </w:pPr>
      <w:r>
        <w:rPr>
          <w:lang w:val="az-Latn-AZ"/>
        </w:rPr>
        <w:br w:type="page"/>
      </w:r>
      <w:r w:rsidR="00006C2E" w:rsidRPr="008E74D5">
        <w:rPr>
          <w:lang w:val="az-Latn-AZ"/>
        </w:rPr>
        <w:t>Summary</w:t>
      </w:r>
    </w:p>
    <w:p w:rsidR="008E74D5" w:rsidRPr="008E74D5" w:rsidRDefault="008E74D5" w:rsidP="008E74D5">
      <w:pPr>
        <w:ind w:firstLine="709"/>
        <w:rPr>
          <w:lang w:eastAsia="en-US"/>
        </w:rPr>
      </w:pPr>
    </w:p>
    <w:p w:rsidR="008E74D5" w:rsidRPr="008E74D5" w:rsidRDefault="008023D1" w:rsidP="008E74D5">
      <w:pPr>
        <w:ind w:firstLine="709"/>
        <w:rPr>
          <w:b/>
          <w:bCs/>
          <w:lang w:val="en-US" w:eastAsia="en-US"/>
        </w:rPr>
      </w:pPr>
      <w:r w:rsidRPr="008E74D5">
        <w:rPr>
          <w:b/>
          <w:bCs/>
          <w:lang w:val="az-Latn-AZ" w:eastAsia="en-US"/>
        </w:rPr>
        <w:t>İ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M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Gamidov</w:t>
      </w:r>
      <w:r w:rsidR="008E74D5" w:rsidRPr="008E74D5">
        <w:rPr>
          <w:b/>
          <w:bCs/>
          <w:lang w:val="az-Latn-AZ" w:eastAsia="en-US"/>
        </w:rPr>
        <w:t>,</w:t>
      </w:r>
      <w:r w:rsidRPr="008E74D5">
        <w:rPr>
          <w:b/>
          <w:bCs/>
          <w:lang w:val="az-Latn-AZ" w:eastAsia="en-US"/>
        </w:rPr>
        <w:t xml:space="preserve"> D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A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Zeynalov</w:t>
      </w:r>
      <w:r w:rsidR="008E74D5" w:rsidRPr="008E74D5">
        <w:rPr>
          <w:b/>
          <w:bCs/>
          <w:lang w:val="az-Latn-AZ" w:eastAsia="en-US"/>
        </w:rPr>
        <w:t>,</w:t>
      </w:r>
      <w:r w:rsidRPr="008E74D5">
        <w:rPr>
          <w:b/>
          <w:bCs/>
          <w:lang w:val="az-Latn-AZ" w:eastAsia="en-US"/>
        </w:rPr>
        <w:t xml:space="preserve"> F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M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Shirinov</w:t>
      </w:r>
      <w:r w:rsidR="008E74D5" w:rsidRPr="008E74D5">
        <w:rPr>
          <w:b/>
          <w:bCs/>
          <w:lang w:val="az-Latn-AZ" w:eastAsia="en-US"/>
        </w:rPr>
        <w:t>,</w:t>
      </w:r>
      <w:r w:rsidRPr="008E74D5">
        <w:rPr>
          <w:b/>
          <w:bCs/>
          <w:lang w:val="az-Latn-AZ" w:eastAsia="en-US"/>
        </w:rPr>
        <w:t xml:space="preserve"> M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R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Jalalov</w:t>
      </w:r>
    </w:p>
    <w:p w:rsidR="008E74D5" w:rsidRDefault="008023D1" w:rsidP="008E74D5">
      <w:pPr>
        <w:ind w:firstLine="709"/>
        <w:rPr>
          <w:b/>
          <w:bCs/>
          <w:lang w:val="en-US" w:eastAsia="en-US"/>
        </w:rPr>
      </w:pPr>
      <w:r w:rsidRPr="008E74D5">
        <w:rPr>
          <w:b/>
          <w:bCs/>
          <w:lang w:val="en-US" w:eastAsia="en-US"/>
        </w:rPr>
        <w:t>The condition of the water exchange,the central and peripheral</w:t>
      </w:r>
      <w:r w:rsidR="008E74D5" w:rsidRPr="008E74D5">
        <w:rPr>
          <w:b/>
          <w:bCs/>
          <w:lang w:val="en-US" w:eastAsia="en-US"/>
        </w:rPr>
        <w:t xml:space="preserve"> </w:t>
      </w:r>
      <w:r w:rsidRPr="008E74D5">
        <w:rPr>
          <w:b/>
          <w:bCs/>
          <w:lang w:val="en-US" w:eastAsia="en-US"/>
        </w:rPr>
        <w:t>blood circulation at patients</w:t>
      </w:r>
    </w:p>
    <w:p w:rsidR="008E74D5" w:rsidRDefault="008023D1" w:rsidP="008E74D5">
      <w:pPr>
        <w:ind w:firstLine="709"/>
        <w:rPr>
          <w:lang w:val="en-US" w:eastAsia="en-US"/>
        </w:rPr>
      </w:pPr>
      <w:r w:rsidRPr="008E74D5">
        <w:rPr>
          <w:lang w:val="en-US" w:eastAsia="en-US"/>
        </w:rPr>
        <w:t>The patients with the diagnosis chronic renal insufficiency 96 sick</w:t>
      </w:r>
      <w:r w:rsidR="008E74D5">
        <w:rPr>
          <w:lang w:val="en-US" w:eastAsia="en-US"/>
        </w:rPr>
        <w:t xml:space="preserve"> (</w:t>
      </w:r>
      <w:r w:rsidRPr="008E74D5">
        <w:rPr>
          <w:lang w:val="en-US" w:eastAsia="en-US"/>
        </w:rPr>
        <w:t>62 men and 34 women</w:t>
      </w:r>
      <w:r w:rsidR="008E74D5" w:rsidRPr="008E74D5">
        <w:rPr>
          <w:lang w:val="en-US" w:eastAsia="en-US"/>
        </w:rPr>
        <w:t xml:space="preserve">). </w:t>
      </w:r>
      <w:r w:rsidRPr="008E74D5">
        <w:rPr>
          <w:lang w:val="en-US" w:eastAsia="en-US"/>
        </w:rPr>
        <w:t>In 44 cases reason CRI was chronic glomerulonefrit</w:t>
      </w:r>
      <w:r w:rsidR="008E74D5">
        <w:rPr>
          <w:lang w:val="en-US" w:eastAsia="en-US"/>
        </w:rPr>
        <w:t>, i</w:t>
      </w:r>
      <w:r w:rsidRPr="008E74D5">
        <w:rPr>
          <w:lang w:val="en-US" w:eastAsia="en-US"/>
        </w:rPr>
        <w:t xml:space="preserve">n 40 </w:t>
      </w:r>
      <w:r w:rsidR="008E74D5">
        <w:rPr>
          <w:lang w:val="en-US" w:eastAsia="en-US"/>
        </w:rPr>
        <w:t>-</w:t>
      </w:r>
      <w:r w:rsidRPr="008E74D5">
        <w:rPr>
          <w:lang w:val="en-US" w:eastAsia="en-US"/>
        </w:rPr>
        <w:t xml:space="preserve"> chronic pyelonephritis</w:t>
      </w:r>
      <w:r w:rsidR="008E74D5">
        <w:rPr>
          <w:lang w:val="en-US" w:eastAsia="en-US"/>
        </w:rPr>
        <w:t>, i</w:t>
      </w:r>
      <w:r w:rsidRPr="008E74D5">
        <w:rPr>
          <w:lang w:val="en-US" w:eastAsia="en-US"/>
        </w:rPr>
        <w:t xml:space="preserve">n 6 </w:t>
      </w:r>
      <w:r w:rsidR="008E74D5">
        <w:rPr>
          <w:lang w:val="en-US" w:eastAsia="en-US"/>
        </w:rPr>
        <w:t>-</w:t>
      </w:r>
      <w:r w:rsidRPr="008E74D5">
        <w:rPr>
          <w:lang w:val="en-US" w:eastAsia="en-US"/>
        </w:rPr>
        <w:t xml:space="preserve"> polikistoz of renal and in a 6 </w:t>
      </w:r>
      <w:r w:rsidR="008E74D5">
        <w:rPr>
          <w:lang w:val="en-US" w:eastAsia="en-US"/>
        </w:rPr>
        <w:t>-</w:t>
      </w:r>
      <w:r w:rsidRPr="008E74D5">
        <w:rPr>
          <w:lang w:val="en-US" w:eastAsia="en-US"/>
        </w:rPr>
        <w:t xml:space="preserve"> diabetes</w:t>
      </w:r>
      <w:r w:rsidR="008E74D5" w:rsidRPr="008E74D5">
        <w:rPr>
          <w:lang w:val="en-US" w:eastAsia="en-US"/>
        </w:rPr>
        <w:t xml:space="preserve">. </w:t>
      </w:r>
      <w:r w:rsidRPr="008E74D5">
        <w:rPr>
          <w:lang w:val="en-US" w:eastAsia="en-US"/>
        </w:rPr>
        <w:t>All the surveyed patients have been distributed on two groups</w:t>
      </w:r>
      <w:r w:rsidR="008E74D5">
        <w:rPr>
          <w:lang w:val="en-US" w:eastAsia="en-US"/>
        </w:rPr>
        <w:t>:</w:t>
      </w:r>
    </w:p>
    <w:p w:rsidR="008E74D5" w:rsidRDefault="008E74D5" w:rsidP="008E74D5">
      <w:pPr>
        <w:ind w:firstLine="709"/>
        <w:rPr>
          <w:lang w:val="en-US" w:eastAsia="en-US"/>
        </w:rPr>
      </w:pPr>
      <w:r>
        <w:rPr>
          <w:lang w:val="en-US" w:eastAsia="en-US"/>
        </w:rPr>
        <w:t>1)</w:t>
      </w:r>
      <w:r w:rsidRPr="008E74D5">
        <w:rPr>
          <w:lang w:val="en-US" w:eastAsia="en-US"/>
        </w:rPr>
        <w:t xml:space="preserve"> </w:t>
      </w:r>
      <w:r w:rsidR="008023D1" w:rsidRPr="008E74D5">
        <w:rPr>
          <w:lang w:val="en-US" w:eastAsia="en-US"/>
        </w:rPr>
        <w:t xml:space="preserve">With safe water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secretory function of kidneys</w:t>
      </w:r>
      <w:r>
        <w:rPr>
          <w:lang w:val="en-US" w:eastAsia="en-US"/>
        </w:rPr>
        <w:t>,</w:t>
      </w:r>
    </w:p>
    <w:p w:rsidR="008E74D5" w:rsidRDefault="008E74D5" w:rsidP="008E74D5">
      <w:pPr>
        <w:ind w:firstLine="709"/>
        <w:rPr>
          <w:lang w:val="en-US" w:eastAsia="en-US"/>
        </w:rPr>
      </w:pPr>
      <w:r>
        <w:rPr>
          <w:lang w:val="en-US" w:eastAsia="en-US"/>
        </w:rPr>
        <w:t>2)</w:t>
      </w:r>
      <w:r w:rsidRPr="008E74D5">
        <w:rPr>
          <w:lang w:val="en-US" w:eastAsia="en-US"/>
        </w:rPr>
        <w:t xml:space="preserve"> </w:t>
      </w:r>
      <w:r w:rsidR="008023D1" w:rsidRPr="008E74D5">
        <w:rPr>
          <w:lang w:val="en-US" w:eastAsia="en-US"/>
        </w:rPr>
        <w:t xml:space="preserve">With the lowered water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secretory function of kidneys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 xml:space="preserve">Extra cellular water was defined with tiosulifat sodium,and the general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antipirin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Permeability of a wall of vessels for fibres and liquids was studied on V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P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Kaznacheeva`s method</w:t>
      </w:r>
      <w:r>
        <w:rPr>
          <w:lang w:val="en-US" w:eastAsia="en-US"/>
        </w:rPr>
        <w:t xml:space="preserve"> (</w:t>
      </w:r>
      <w:r w:rsidR="008023D1" w:rsidRPr="008E74D5">
        <w:rPr>
          <w:lang w:val="en-US" w:eastAsia="en-US"/>
        </w:rPr>
        <w:t>10</w:t>
      </w:r>
      <w:r w:rsidRPr="008E74D5">
        <w:rPr>
          <w:lang w:val="en-US" w:eastAsia="en-US"/>
        </w:rPr>
        <w:t xml:space="preserve">). </w:t>
      </w:r>
      <w:r w:rsidR="008023D1" w:rsidRPr="008E74D5">
        <w:rPr>
          <w:lang w:val="en-US" w:eastAsia="en-US"/>
        </w:rPr>
        <w:t>Gemodinamic parameters defined a method of cultivation of a blue of Evans</w:t>
      </w:r>
      <w:r>
        <w:rPr>
          <w:lang w:val="en-US" w:eastAsia="en-US"/>
        </w:rPr>
        <w:t xml:space="preserve"> (</w:t>
      </w:r>
      <w:r w:rsidR="008023D1" w:rsidRPr="008E74D5">
        <w:rPr>
          <w:lang w:val="en-US" w:eastAsia="en-US"/>
        </w:rPr>
        <w:t xml:space="preserve">T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1824</w:t>
      </w:r>
      <w:r w:rsidRPr="008E74D5">
        <w:rPr>
          <w:lang w:val="en-US" w:eastAsia="en-US"/>
        </w:rPr>
        <w:t xml:space="preserve">). </w:t>
      </w:r>
      <w:r w:rsidR="008023D1" w:rsidRPr="008E74D5">
        <w:rPr>
          <w:lang w:val="en-US" w:eastAsia="en-US"/>
        </w:rPr>
        <w:t xml:space="preserve">The given researches conuctivit bio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microscopy of an eveball at patients with nefrotic syndrome in subclinical stage CRI were shown in the form of widespread peryuvaskal a hypostasis,coil and Non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uniformity of vessels,aggregations erythrocyte in capillaries and veins at the same patients perivaskular were marked gemoratics sites, aneurysms veins</w:t>
      </w:r>
      <w:r>
        <w:rPr>
          <w:lang w:val="en-US" w:eastAsia="en-US"/>
        </w:rPr>
        <w:t>, i</w:t>
      </w:r>
      <w:r w:rsidR="008023D1" w:rsidRPr="008E74D5">
        <w:rPr>
          <w:lang w:val="en-US" w:eastAsia="en-US"/>
        </w:rPr>
        <w:t>ncrease in a parity arteriol to veins,coil,aggregation erythrocyte in capilllaries were observed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Subclinical stage CRI gemodynamic parameters did not differ from parameters central gemodynamic control group,despite of significant changes in microcircle a channel conuctivit an eveball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CRI are observed CRI significant changes of a water exchange, microcirculation and central gemodynamic are observed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Infringements of water balance of an organism,central gemodinamic</w:t>
      </w:r>
      <w:r>
        <w:rPr>
          <w:lang w:val="en-US" w:eastAsia="en-US"/>
        </w:rPr>
        <w:t>, i</w:t>
      </w:r>
      <w:r w:rsidR="008023D1" w:rsidRPr="008E74D5">
        <w:rPr>
          <w:lang w:val="en-US" w:eastAsia="en-US"/>
        </w:rPr>
        <w:t>n the big degree were aggravated with increase of weight renal insufficiency</w:t>
      </w:r>
      <w:r w:rsidRPr="008E74D5">
        <w:rPr>
          <w:lang w:val="en-US" w:eastAsia="en-US"/>
        </w:rPr>
        <w:t xml:space="preserve">. </w:t>
      </w:r>
      <w:r w:rsidR="008023D1" w:rsidRPr="008E74D5">
        <w:rPr>
          <w:lang w:val="en-US" w:eastAsia="en-US"/>
        </w:rPr>
        <w:t>Probably,at CRI observable changes in perivaskal</w:t>
      </w:r>
      <w:r w:rsidRPr="008E74D5">
        <w:rPr>
          <w:lang w:val="en-US" w:eastAsia="en-US"/>
        </w:rPr>
        <w:t>,</w:t>
      </w:r>
      <w:r w:rsidR="008023D1" w:rsidRPr="008E74D5">
        <w:rPr>
          <w:lang w:val="en-US" w:eastAsia="en-US"/>
        </w:rPr>
        <w:t xml:space="preserve">vascular and intravascular sectors complicate passage of blood to micro vessels,that strengthens gipoksiya fabrics, on the one hand causes a dystrophy in vital causes a dystrophy in the vital bodies,with another </w:t>
      </w:r>
      <w:r>
        <w:rPr>
          <w:lang w:val="en-US" w:eastAsia="en-US"/>
        </w:rPr>
        <w:t>-</w:t>
      </w:r>
      <w:r w:rsidR="008023D1" w:rsidRPr="008E74D5">
        <w:rPr>
          <w:lang w:val="en-US" w:eastAsia="en-US"/>
        </w:rPr>
        <w:t xml:space="preserve"> increases loading by a myocardium</w:t>
      </w:r>
      <w:r w:rsidRPr="008E74D5">
        <w:rPr>
          <w:lang w:val="en-US" w:eastAsia="en-US"/>
        </w:rPr>
        <w:t>.</w:t>
      </w:r>
    </w:p>
    <w:p w:rsidR="008E74D5" w:rsidRPr="008E74D5" w:rsidRDefault="008E74D5" w:rsidP="008E74D5">
      <w:pPr>
        <w:ind w:firstLine="709"/>
        <w:rPr>
          <w:b/>
          <w:bCs/>
          <w:lang w:val="az-Latn-AZ" w:eastAsia="en-US"/>
        </w:rPr>
      </w:pPr>
      <w:r>
        <w:rPr>
          <w:lang w:val="en-US" w:eastAsia="en-US"/>
        </w:rPr>
        <w:br w:type="page"/>
      </w:r>
      <w:r w:rsidR="00A47CA0" w:rsidRPr="008E74D5">
        <w:rPr>
          <w:b/>
          <w:bCs/>
          <w:lang w:val="az-Latn-AZ" w:eastAsia="en-US"/>
        </w:rPr>
        <w:t>X Ü L A S Ə</w:t>
      </w:r>
    </w:p>
    <w:p w:rsidR="008E74D5" w:rsidRPr="008E74D5" w:rsidRDefault="00A47CA0" w:rsidP="008E74D5">
      <w:pPr>
        <w:ind w:firstLine="709"/>
        <w:rPr>
          <w:b/>
          <w:bCs/>
          <w:lang w:val="az-Latn-AZ" w:eastAsia="en-US"/>
        </w:rPr>
      </w:pPr>
      <w:r w:rsidRPr="008E74D5">
        <w:rPr>
          <w:b/>
          <w:bCs/>
          <w:lang w:val="az-Latn-AZ" w:eastAsia="en-US"/>
        </w:rPr>
        <w:t>Xroniki uremiyalı xəstələrdə su mübadiləsinin, mərkəzi və</w:t>
      </w:r>
      <w:r w:rsidR="008E74D5" w:rsidRPr="008E74D5">
        <w:rPr>
          <w:b/>
          <w:bCs/>
          <w:lang w:val="en-US" w:eastAsia="en-US"/>
        </w:rPr>
        <w:t xml:space="preserve"> </w:t>
      </w:r>
      <w:r w:rsidRPr="008E74D5">
        <w:rPr>
          <w:b/>
          <w:bCs/>
          <w:lang w:val="az-Latn-AZ" w:eastAsia="en-US"/>
        </w:rPr>
        <w:t>periferik qan dövranının vəziyyəti</w:t>
      </w:r>
    </w:p>
    <w:p w:rsidR="008E74D5" w:rsidRDefault="00A47CA0" w:rsidP="008E74D5">
      <w:pPr>
        <w:ind w:firstLine="709"/>
        <w:rPr>
          <w:b/>
          <w:bCs/>
          <w:lang w:val="az-Latn-AZ" w:eastAsia="en-US"/>
        </w:rPr>
      </w:pPr>
      <w:r w:rsidRPr="008E74D5">
        <w:rPr>
          <w:b/>
          <w:bCs/>
          <w:lang w:val="az-Latn-AZ" w:eastAsia="en-US"/>
        </w:rPr>
        <w:t>Həmidov İ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M</w:t>
      </w:r>
      <w:r w:rsidR="008E74D5">
        <w:rPr>
          <w:b/>
          <w:bCs/>
          <w:lang w:val="az-Latn-AZ" w:eastAsia="en-US"/>
        </w:rPr>
        <w:t>.,</w:t>
      </w:r>
      <w:r w:rsidRPr="008E74D5">
        <w:rPr>
          <w:b/>
          <w:bCs/>
          <w:lang w:val="az-Latn-AZ" w:eastAsia="en-US"/>
        </w:rPr>
        <w:t>Zeynalov C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Ə</w:t>
      </w:r>
      <w:r w:rsidR="008E74D5">
        <w:rPr>
          <w:b/>
          <w:bCs/>
          <w:lang w:val="az-Latn-AZ" w:eastAsia="en-US"/>
        </w:rPr>
        <w:t>.,</w:t>
      </w:r>
      <w:r w:rsidRPr="008E74D5">
        <w:rPr>
          <w:b/>
          <w:bCs/>
          <w:lang w:val="az-Latn-AZ" w:eastAsia="en-US"/>
        </w:rPr>
        <w:t>Şirinov F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M</w:t>
      </w:r>
      <w:r w:rsidR="008E74D5">
        <w:rPr>
          <w:b/>
          <w:bCs/>
          <w:lang w:val="az-Latn-AZ" w:eastAsia="en-US"/>
        </w:rPr>
        <w:t>.,</w:t>
      </w:r>
      <w:r w:rsidRPr="008E74D5">
        <w:rPr>
          <w:b/>
          <w:bCs/>
          <w:lang w:val="az-Latn-AZ" w:eastAsia="en-US"/>
        </w:rPr>
        <w:t>Calalov M</w:t>
      </w:r>
      <w:r w:rsidR="008E74D5" w:rsidRPr="008E74D5">
        <w:rPr>
          <w:b/>
          <w:bCs/>
          <w:lang w:val="az-Latn-AZ" w:eastAsia="en-US"/>
        </w:rPr>
        <w:t xml:space="preserve">. </w:t>
      </w:r>
      <w:r w:rsidRPr="008E74D5">
        <w:rPr>
          <w:b/>
          <w:bCs/>
          <w:lang w:val="az-Latn-AZ" w:eastAsia="en-US"/>
        </w:rPr>
        <w:t>R</w:t>
      </w:r>
      <w:r w:rsidR="008E74D5" w:rsidRPr="008E74D5">
        <w:rPr>
          <w:b/>
          <w:bCs/>
          <w:lang w:val="az-Latn-AZ" w:eastAsia="en-US"/>
        </w:rPr>
        <w:t>.</w:t>
      </w:r>
    </w:p>
    <w:p w:rsidR="008E74D5" w:rsidRDefault="00A47CA0" w:rsidP="008E74D5">
      <w:pPr>
        <w:ind w:firstLine="709"/>
        <w:rPr>
          <w:lang w:val="az-Latn-AZ" w:eastAsia="en-US"/>
        </w:rPr>
      </w:pPr>
      <w:r w:rsidRPr="008E74D5">
        <w:rPr>
          <w:lang w:val="az-Latn-AZ" w:eastAsia="en-US"/>
        </w:rPr>
        <w:t>Xroniki Böyrək Çatışmazlığı</w:t>
      </w:r>
      <w:r w:rsidR="008E74D5">
        <w:rPr>
          <w:lang w:val="az-Latn-AZ" w:eastAsia="en-US"/>
        </w:rPr>
        <w:t xml:space="preserve"> (</w:t>
      </w:r>
      <w:r w:rsidRPr="008E74D5">
        <w:rPr>
          <w:lang w:val="az-Latn-AZ" w:eastAsia="en-US"/>
        </w:rPr>
        <w:t>XBÇ</w:t>
      </w:r>
      <w:r w:rsidR="008E74D5" w:rsidRPr="008E74D5">
        <w:rPr>
          <w:lang w:val="az-Latn-AZ" w:eastAsia="en-US"/>
        </w:rPr>
        <w:t xml:space="preserve">) </w:t>
      </w:r>
      <w:r w:rsidRPr="008E74D5">
        <w:rPr>
          <w:lang w:val="az-Latn-AZ" w:eastAsia="en-US"/>
        </w:rPr>
        <w:t xml:space="preserve">ilə 15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63 yaş arasında 96 xəstə</w:t>
      </w:r>
      <w:r w:rsidR="008E74D5">
        <w:rPr>
          <w:lang w:val="az-Latn-AZ" w:eastAsia="en-US"/>
        </w:rPr>
        <w:t xml:space="preserve"> (</w:t>
      </w:r>
      <w:r w:rsidRPr="008E74D5">
        <w:rPr>
          <w:lang w:val="az-Latn-AZ" w:eastAsia="en-US"/>
        </w:rPr>
        <w:t>62 kişi,34 qadın</w:t>
      </w:r>
      <w:r w:rsidR="008E74D5" w:rsidRPr="008E74D5">
        <w:rPr>
          <w:lang w:val="az-Latn-AZ" w:eastAsia="en-US"/>
        </w:rPr>
        <w:t xml:space="preserve">) </w:t>
      </w:r>
      <w:r w:rsidRPr="008E74D5">
        <w:rPr>
          <w:lang w:val="az-Latn-AZ" w:eastAsia="en-US"/>
        </w:rPr>
        <w:t>müayinə olundu</w:t>
      </w:r>
      <w:r w:rsidR="008E74D5" w:rsidRPr="008E74D5">
        <w:rPr>
          <w:lang w:val="az-Latn-AZ" w:eastAsia="en-US"/>
        </w:rPr>
        <w:t xml:space="preserve">. </w:t>
      </w:r>
      <w:r w:rsidRPr="008E74D5">
        <w:rPr>
          <w:lang w:val="az-Latn-AZ" w:eastAsia="en-US"/>
        </w:rPr>
        <w:t xml:space="preserve">Bu xəstələrdə XBÇ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nin əsas səbəbi 44 nəfərdə xroniki qlomerulonefrit, 40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xroniki pielonefrit 6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böyrək polikistozu və 6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şəkərli diabet xəstəliyi olmuşdur</w:t>
      </w:r>
      <w:r w:rsidR="008E74D5" w:rsidRPr="008E74D5">
        <w:rPr>
          <w:lang w:val="az-Latn-AZ" w:eastAsia="en-US"/>
        </w:rPr>
        <w:t>.</w:t>
      </w:r>
    </w:p>
    <w:p w:rsidR="008E74D5" w:rsidRDefault="00A47CA0" w:rsidP="008E74D5">
      <w:pPr>
        <w:ind w:firstLine="709"/>
        <w:rPr>
          <w:lang w:val="az-Latn-AZ" w:eastAsia="en-US"/>
        </w:rPr>
      </w:pPr>
      <w:r w:rsidRPr="008E74D5">
        <w:rPr>
          <w:lang w:val="az-Latn-AZ" w:eastAsia="en-US"/>
        </w:rPr>
        <w:t>Mərkəzi hemodinamika, mikrosirkulyasiya və su mübadiləsinin vəziyyəti,böyrəklərin funksiyasından asılı olaraq iki qrupa bölünmüşdür</w:t>
      </w:r>
      <w:r w:rsidR="008E74D5" w:rsidRPr="008E74D5">
        <w:rPr>
          <w:lang w:val="az-Latn-AZ" w:eastAsia="en-US"/>
        </w:rPr>
        <w:t xml:space="preserve">: </w:t>
      </w:r>
      <w:r w:rsidRPr="008E74D5">
        <w:rPr>
          <w:lang w:val="az-Latn-AZ" w:eastAsia="en-US"/>
        </w:rPr>
        <w:t>Birinci qrup maye xaricetmə funksiyası saxlanılmış</w:t>
      </w:r>
      <w:r w:rsidR="008E74D5">
        <w:rPr>
          <w:lang w:val="az-Latn-AZ" w:eastAsia="en-US"/>
        </w:rPr>
        <w:t>, i</w:t>
      </w:r>
      <w:r w:rsidRPr="008E74D5">
        <w:rPr>
          <w:lang w:val="az-Latn-AZ" w:eastAsia="en-US"/>
        </w:rPr>
        <w:t>kinci qrup isə mayexaricetmə funksiyası itirilmiş xəstələrdir</w:t>
      </w:r>
      <w:r w:rsidR="008E74D5" w:rsidRPr="008E74D5">
        <w:rPr>
          <w:lang w:val="az-Latn-AZ" w:eastAsia="en-US"/>
        </w:rPr>
        <w:t xml:space="preserve">. </w:t>
      </w:r>
      <w:r w:rsidRPr="008E74D5">
        <w:rPr>
          <w:lang w:val="az-Latn-AZ" w:eastAsia="en-US"/>
        </w:rPr>
        <w:t xml:space="preserve">Hüceyrəxarici su Na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tiosulfatla, ümumi isə antipirinlə müəyyən olundu</w:t>
      </w:r>
      <w:r w:rsidR="008E74D5" w:rsidRPr="008E74D5">
        <w:rPr>
          <w:lang w:val="az-Latn-AZ" w:eastAsia="en-US"/>
        </w:rPr>
        <w:t xml:space="preserve">. </w:t>
      </w:r>
      <w:r w:rsidRPr="008E74D5">
        <w:rPr>
          <w:lang w:val="az-Latn-AZ" w:eastAsia="en-US"/>
        </w:rPr>
        <w:t xml:space="preserve">Mərkəzi hemodinamika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Evans sinkasının durulaşdırılma üsulu ilə</w:t>
      </w:r>
      <w:r w:rsidR="008E74D5">
        <w:rPr>
          <w:lang w:val="az-Latn-AZ" w:eastAsia="en-US"/>
        </w:rPr>
        <w:t xml:space="preserve"> (</w:t>
      </w:r>
      <w:r w:rsidRPr="008E74D5">
        <w:rPr>
          <w:lang w:val="az-Latn-AZ" w:eastAsia="en-US"/>
        </w:rPr>
        <w:t>T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>1824</w:t>
      </w:r>
      <w:r w:rsidR="008E74D5" w:rsidRPr="008E74D5">
        <w:rPr>
          <w:lang w:val="az-Latn-AZ" w:eastAsia="en-US"/>
        </w:rPr>
        <w:t>),</w:t>
      </w:r>
      <w:r w:rsidRPr="008E74D5">
        <w:rPr>
          <w:lang w:val="az-Latn-AZ" w:eastAsia="en-US"/>
        </w:rPr>
        <w:t xml:space="preserve"> mikrosirkulyasiya göz almasında konyuktivanın biomikroskopiyasıyla,damar divarlarının keçiriciliyi isə V</w:t>
      </w:r>
      <w:r w:rsidR="008E74D5" w:rsidRPr="008E74D5">
        <w:rPr>
          <w:lang w:val="az-Latn-AZ" w:eastAsia="en-US"/>
        </w:rPr>
        <w:t xml:space="preserve">. </w:t>
      </w:r>
      <w:r w:rsidRPr="008E74D5">
        <w:rPr>
          <w:lang w:val="az-Latn-AZ" w:eastAsia="en-US"/>
        </w:rPr>
        <w:t>P</w:t>
      </w:r>
      <w:r w:rsidR="008E74D5" w:rsidRPr="008E74D5">
        <w:rPr>
          <w:lang w:val="az-Latn-AZ" w:eastAsia="en-US"/>
        </w:rPr>
        <w:t xml:space="preserve">. </w:t>
      </w:r>
      <w:r w:rsidRPr="008E74D5">
        <w:rPr>
          <w:lang w:val="az-Latn-AZ" w:eastAsia="en-US"/>
        </w:rPr>
        <w:t>Kaznaçeyev üsulu ilə öyrənildi</w:t>
      </w:r>
      <w:r w:rsidR="008E74D5" w:rsidRPr="008E74D5">
        <w:rPr>
          <w:lang w:val="az-Latn-AZ" w:eastAsia="en-US"/>
        </w:rPr>
        <w:t>.</w:t>
      </w:r>
    </w:p>
    <w:p w:rsidR="008E74D5" w:rsidRDefault="00A47CA0" w:rsidP="008E74D5">
      <w:pPr>
        <w:ind w:firstLine="709"/>
        <w:rPr>
          <w:lang w:val="az-Latn-AZ" w:eastAsia="en-US"/>
        </w:rPr>
      </w:pPr>
      <w:r w:rsidRPr="008E74D5">
        <w:rPr>
          <w:lang w:val="az-Latn-AZ" w:eastAsia="en-US"/>
        </w:rPr>
        <w:t>Böyrəyin mayexaricetmə funksiyası saxlanılmış xəstələrdə mərkəzi hemodinamika ürəyin mexaniki işinin artması ilə,damar divarlarının və göz almasında konyuktivanın mikrodamar yatağının cüzi dəyişikliyi ilə müşahidə olundu</w:t>
      </w:r>
      <w:r w:rsidR="008E74D5" w:rsidRPr="008E74D5">
        <w:rPr>
          <w:lang w:val="az-Latn-AZ" w:eastAsia="en-US"/>
        </w:rPr>
        <w:t>.</w:t>
      </w:r>
    </w:p>
    <w:p w:rsidR="008E74D5" w:rsidRDefault="00A47CA0" w:rsidP="008E74D5">
      <w:pPr>
        <w:ind w:firstLine="709"/>
        <w:rPr>
          <w:lang w:val="az-Latn-AZ" w:eastAsia="en-US"/>
        </w:rPr>
      </w:pPr>
      <w:r w:rsidRPr="008E74D5">
        <w:rPr>
          <w:lang w:val="az-Latn-AZ" w:eastAsia="en-US"/>
        </w:rPr>
        <w:t>Böyrəyin mayexaricetmə funksiyası itirilmiş xəstələrdə isə qlobal hiperhidrotasiya,damar divarlarında mayekeçiriciliyinin artması,mərkəzi hemodinamikanın göstəricilərinin və mikrodamar yatağında dəyişikliklərinin artması müşahidə edildi</w:t>
      </w:r>
      <w:r w:rsidR="008E74D5" w:rsidRPr="008E74D5">
        <w:rPr>
          <w:lang w:val="az-Latn-AZ" w:eastAsia="en-US"/>
        </w:rPr>
        <w:t>.</w:t>
      </w:r>
    </w:p>
    <w:p w:rsidR="008E74D5" w:rsidRDefault="00A47CA0" w:rsidP="008E74D5">
      <w:pPr>
        <w:ind w:firstLine="709"/>
        <w:rPr>
          <w:lang w:val="az-Latn-AZ" w:eastAsia="en-US"/>
        </w:rPr>
      </w:pPr>
      <w:r w:rsidRPr="008E74D5">
        <w:rPr>
          <w:lang w:val="az-Latn-AZ" w:eastAsia="en-US"/>
        </w:rPr>
        <w:t xml:space="preserve">Xroniki uremiyanın kəskinləşməsində mikrosirkulyasiyanın vəziyyətini, mərkəzi hemodinamikanın damar divarlarının keçiriciliyinin və su mübadiləsinin kompleks şəkildə öyrənilməsi XBÇ zamanı urək </w:t>
      </w:r>
      <w:r w:rsidR="008E74D5">
        <w:rPr>
          <w:lang w:val="az-Latn-AZ" w:eastAsia="en-US"/>
        </w:rPr>
        <w:t>-</w:t>
      </w:r>
      <w:r w:rsidRPr="008E74D5">
        <w:rPr>
          <w:lang w:val="az-Latn-AZ" w:eastAsia="en-US"/>
        </w:rPr>
        <w:t xml:space="preserve"> damar çatışmazlığının patogenezinin müəyyən edilməsinə və düzgün müalicə taktikasının seçilməsinə imkan yaradır</w:t>
      </w:r>
      <w:r w:rsidR="008E74D5" w:rsidRPr="008E74D5">
        <w:rPr>
          <w:lang w:val="az-Latn-AZ" w:eastAsia="en-US"/>
        </w:rPr>
        <w:t>.</w:t>
      </w:r>
    </w:p>
    <w:p w:rsidR="00A47CA0" w:rsidRPr="008E74D5" w:rsidRDefault="00A47CA0" w:rsidP="008E74D5">
      <w:pPr>
        <w:ind w:firstLine="709"/>
        <w:rPr>
          <w:lang w:val="az-Latn-AZ" w:eastAsia="en-US"/>
        </w:rPr>
      </w:pPr>
      <w:bookmarkStart w:id="0" w:name="_GoBack"/>
      <w:bookmarkEnd w:id="0"/>
    </w:p>
    <w:sectPr w:rsidR="00A47CA0" w:rsidRPr="008E74D5" w:rsidSect="008E74D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60B" w:rsidRDefault="00E0560B" w:rsidP="008E74D5">
      <w:pPr>
        <w:pStyle w:val="15"/>
      </w:pPr>
      <w:r>
        <w:separator/>
      </w:r>
    </w:p>
  </w:endnote>
  <w:endnote w:type="continuationSeparator" w:id="0">
    <w:p w:rsidR="00E0560B" w:rsidRDefault="00E0560B" w:rsidP="008E74D5">
      <w:pPr>
        <w:pStyle w:val="1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D5" w:rsidRDefault="008E74D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D5" w:rsidRDefault="008E74D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60B" w:rsidRDefault="00E0560B" w:rsidP="008E74D5">
      <w:pPr>
        <w:pStyle w:val="15"/>
      </w:pPr>
      <w:r>
        <w:separator/>
      </w:r>
    </w:p>
  </w:footnote>
  <w:footnote w:type="continuationSeparator" w:id="0">
    <w:p w:rsidR="00E0560B" w:rsidRDefault="00E0560B" w:rsidP="008E74D5">
      <w:pPr>
        <w:pStyle w:val="1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D5" w:rsidRDefault="00F16F49" w:rsidP="008E74D5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E74D5" w:rsidRDefault="008E74D5" w:rsidP="008E74D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D5" w:rsidRDefault="008E74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A7536"/>
    <w:multiLevelType w:val="singleLevel"/>
    <w:tmpl w:val="D68C4D8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"/>
  </w:num>
  <w:num w:numId="24">
    <w:abstractNumId w:val="3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D1"/>
    <w:rsid w:val="00006C2E"/>
    <w:rsid w:val="00024A7F"/>
    <w:rsid w:val="00070732"/>
    <w:rsid w:val="00200504"/>
    <w:rsid w:val="00252BF8"/>
    <w:rsid w:val="004746D4"/>
    <w:rsid w:val="004C6C22"/>
    <w:rsid w:val="00636E01"/>
    <w:rsid w:val="007617E3"/>
    <w:rsid w:val="00766787"/>
    <w:rsid w:val="008023D1"/>
    <w:rsid w:val="008E74D5"/>
    <w:rsid w:val="008F754C"/>
    <w:rsid w:val="009011E8"/>
    <w:rsid w:val="00A47CA0"/>
    <w:rsid w:val="00BB60B8"/>
    <w:rsid w:val="00DB1874"/>
    <w:rsid w:val="00DD32D1"/>
    <w:rsid w:val="00E0560B"/>
    <w:rsid w:val="00E47BCB"/>
    <w:rsid w:val="00F1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2B4BDA-3205-4D43-81B0-3A6A27CA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E74D5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8E74D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8E74D5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8E74D5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8E74D5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8E74D5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8E74D5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8E74D5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8E74D5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table" w:styleId="-1">
    <w:name w:val="Table Web 1"/>
    <w:basedOn w:val="a4"/>
    <w:uiPriority w:val="99"/>
    <w:rsid w:val="008E74D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E74D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9">
    <w:name w:val="endnote reference"/>
    <w:uiPriority w:val="99"/>
    <w:semiHidden/>
    <w:rsid w:val="008E74D5"/>
    <w:rPr>
      <w:vertAlign w:val="superscript"/>
    </w:rPr>
  </w:style>
  <w:style w:type="paragraph" w:styleId="a7">
    <w:name w:val="Body Text"/>
    <w:basedOn w:val="a2"/>
    <w:link w:val="aa"/>
    <w:uiPriority w:val="99"/>
    <w:rsid w:val="008E74D5"/>
    <w:pPr>
      <w:ind w:firstLine="709"/>
    </w:pPr>
    <w:rPr>
      <w:lang w:eastAsia="en-US"/>
    </w:r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E74D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E74D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8E74D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E74D5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8E74D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8E74D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8E74D5"/>
    <w:rPr>
      <w:rFonts w:eastAsia="Times New Roman"/>
      <w:sz w:val="28"/>
      <w:szCs w:val="28"/>
      <w:lang w:val="ru-RU" w:eastAsia="en-US"/>
    </w:rPr>
  </w:style>
  <w:style w:type="paragraph" w:styleId="af1">
    <w:name w:val="footer"/>
    <w:basedOn w:val="a2"/>
    <w:link w:val="13"/>
    <w:uiPriority w:val="99"/>
    <w:semiHidden/>
    <w:rsid w:val="008E74D5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E74D5"/>
    <w:rPr>
      <w:rFonts w:eastAsia="Times New Roman"/>
      <w:noProof/>
      <w:kern w:val="16"/>
      <w:sz w:val="28"/>
      <w:szCs w:val="28"/>
      <w:lang w:val="ru-RU" w:eastAsia="en-US"/>
    </w:rPr>
  </w:style>
  <w:style w:type="character" w:styleId="af3">
    <w:name w:val="footnote reference"/>
    <w:uiPriority w:val="99"/>
    <w:semiHidden/>
    <w:rsid w:val="008E74D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E74D5"/>
    <w:pPr>
      <w:numPr>
        <w:numId w:val="23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8E74D5"/>
    <w:pPr>
      <w:numPr>
        <w:numId w:val="24"/>
      </w:numPr>
    </w:pPr>
  </w:style>
  <w:style w:type="paragraph" w:customStyle="1" w:styleId="af4">
    <w:name w:val="литера"/>
    <w:uiPriority w:val="99"/>
    <w:rsid w:val="008E74D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8E74D5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8E74D5"/>
    <w:rPr>
      <w:sz w:val="28"/>
      <w:szCs w:val="28"/>
    </w:rPr>
  </w:style>
  <w:style w:type="paragraph" w:styleId="af7">
    <w:name w:val="Normal (Web)"/>
    <w:basedOn w:val="a2"/>
    <w:uiPriority w:val="99"/>
    <w:rsid w:val="008E74D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8E74D5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8E74D5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8E74D5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8E74D5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8E74D5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8E74D5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8E74D5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E74D5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8E74D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8E74D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E74D5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E74D5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8E74D5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8E74D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E74D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E74D5"/>
    <w:rPr>
      <w:i/>
      <w:iCs/>
    </w:rPr>
  </w:style>
  <w:style w:type="paragraph" w:customStyle="1" w:styleId="afb">
    <w:name w:val="ТАБЛИЦА"/>
    <w:next w:val="a2"/>
    <w:autoRedefine/>
    <w:uiPriority w:val="99"/>
    <w:rsid w:val="008E74D5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8E74D5"/>
  </w:style>
  <w:style w:type="paragraph" w:customStyle="1" w:styleId="afc">
    <w:name w:val="Стиль ТАБЛИЦА + Междустр.интервал:  полуторный"/>
    <w:basedOn w:val="afb"/>
    <w:uiPriority w:val="99"/>
    <w:rsid w:val="008E74D5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8E74D5"/>
  </w:style>
  <w:style w:type="table" w:customStyle="1" w:styleId="16">
    <w:name w:val="Стиль таблицы1"/>
    <w:basedOn w:val="a4"/>
    <w:uiPriority w:val="99"/>
    <w:rsid w:val="008E74D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8E74D5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8E74D5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8E74D5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8E74D5"/>
    <w:rPr>
      <w:rFonts w:eastAsia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8E74D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/>
  <LinksUpToDate>false</LinksUpToDate>
  <CharactersWithSpaces>16709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subject/>
  <dc:creator>s.gafarova</dc:creator>
  <cp:keywords/>
  <dc:description/>
  <cp:lastModifiedBy>admin</cp:lastModifiedBy>
  <cp:revision>2</cp:revision>
  <cp:lastPrinted>2009-10-21T08:47:00Z</cp:lastPrinted>
  <dcterms:created xsi:type="dcterms:W3CDTF">2014-02-25T09:45:00Z</dcterms:created>
  <dcterms:modified xsi:type="dcterms:W3CDTF">2014-02-25T09:45:00Z</dcterms:modified>
</cp:coreProperties>
</file>