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F25" w:rsidRPr="00EC6624" w:rsidRDefault="00E30F25" w:rsidP="00EC6624">
      <w:pPr>
        <w:spacing w:line="360" w:lineRule="auto"/>
        <w:ind w:firstLine="709"/>
        <w:jc w:val="center"/>
        <w:rPr>
          <w:sz w:val="28"/>
          <w:szCs w:val="28"/>
        </w:rPr>
      </w:pPr>
      <w:r w:rsidRPr="00EC6624">
        <w:rPr>
          <w:sz w:val="28"/>
          <w:szCs w:val="28"/>
        </w:rPr>
        <w:t>Тульский Государственный Университет</w:t>
      </w:r>
    </w:p>
    <w:p w:rsidR="00E30F25" w:rsidRPr="00EC6624" w:rsidRDefault="00E30F25" w:rsidP="00EC6624">
      <w:pPr>
        <w:spacing w:line="360" w:lineRule="auto"/>
        <w:ind w:firstLine="709"/>
        <w:jc w:val="center"/>
        <w:rPr>
          <w:sz w:val="28"/>
          <w:szCs w:val="28"/>
        </w:rPr>
      </w:pPr>
      <w:r w:rsidRPr="00EC6624">
        <w:rPr>
          <w:sz w:val="28"/>
          <w:szCs w:val="28"/>
        </w:rPr>
        <w:t>Медицинский факультет</w:t>
      </w:r>
    </w:p>
    <w:p w:rsidR="00E30F25" w:rsidRPr="00EC6624" w:rsidRDefault="00E30F25" w:rsidP="00EC6624">
      <w:pPr>
        <w:spacing w:line="360" w:lineRule="auto"/>
        <w:ind w:firstLine="709"/>
        <w:jc w:val="center"/>
        <w:rPr>
          <w:sz w:val="28"/>
          <w:szCs w:val="28"/>
        </w:rPr>
      </w:pPr>
      <w:r w:rsidRPr="00EC6624">
        <w:rPr>
          <w:sz w:val="28"/>
          <w:szCs w:val="28"/>
        </w:rPr>
        <w:t>Кафедра Санитарно-Гигиенических и Профилактических Дисциплин</w:t>
      </w:r>
    </w:p>
    <w:p w:rsidR="00E30F25" w:rsidRPr="00EC6624" w:rsidRDefault="00E30F25" w:rsidP="00EC6624">
      <w:pPr>
        <w:spacing w:line="360" w:lineRule="auto"/>
        <w:ind w:firstLine="709"/>
        <w:jc w:val="center"/>
        <w:rPr>
          <w:sz w:val="28"/>
          <w:szCs w:val="28"/>
        </w:rPr>
      </w:pPr>
    </w:p>
    <w:p w:rsidR="00E30F25" w:rsidRPr="00EC6624" w:rsidRDefault="00E30F25" w:rsidP="00EC6624">
      <w:pPr>
        <w:spacing w:line="360" w:lineRule="auto"/>
        <w:ind w:firstLine="709"/>
        <w:jc w:val="center"/>
        <w:rPr>
          <w:sz w:val="28"/>
          <w:szCs w:val="28"/>
        </w:rPr>
      </w:pPr>
      <w:r w:rsidRPr="00EC6624">
        <w:rPr>
          <w:sz w:val="28"/>
          <w:szCs w:val="28"/>
        </w:rPr>
        <w:t>Зав.кафедрой: д.б.н. Честнова Т.В.</w:t>
      </w:r>
    </w:p>
    <w:p w:rsidR="00E30F25" w:rsidRPr="00EC6624" w:rsidRDefault="00E30F25" w:rsidP="00EC6624">
      <w:pPr>
        <w:spacing w:line="360" w:lineRule="auto"/>
        <w:ind w:firstLine="709"/>
        <w:jc w:val="center"/>
        <w:rPr>
          <w:sz w:val="28"/>
          <w:szCs w:val="28"/>
        </w:rPr>
      </w:pPr>
    </w:p>
    <w:p w:rsidR="00E30F25" w:rsidRPr="00EC6624" w:rsidRDefault="00E30F25" w:rsidP="00EC6624">
      <w:pPr>
        <w:spacing w:line="360" w:lineRule="auto"/>
        <w:ind w:firstLine="709"/>
        <w:jc w:val="center"/>
        <w:rPr>
          <w:sz w:val="28"/>
          <w:szCs w:val="28"/>
        </w:rPr>
      </w:pPr>
    </w:p>
    <w:p w:rsidR="00E30F25" w:rsidRPr="00EC6624" w:rsidRDefault="00E30F25" w:rsidP="00EC6624">
      <w:pPr>
        <w:spacing w:line="360" w:lineRule="auto"/>
        <w:ind w:firstLine="709"/>
        <w:jc w:val="center"/>
        <w:rPr>
          <w:sz w:val="28"/>
          <w:szCs w:val="28"/>
        </w:rPr>
      </w:pPr>
    </w:p>
    <w:p w:rsidR="00E30F25" w:rsidRPr="00EC6624" w:rsidRDefault="00E30F25" w:rsidP="00EC6624">
      <w:pPr>
        <w:spacing w:line="360" w:lineRule="auto"/>
        <w:ind w:firstLine="709"/>
        <w:jc w:val="center"/>
        <w:rPr>
          <w:sz w:val="28"/>
          <w:szCs w:val="28"/>
        </w:rPr>
      </w:pPr>
    </w:p>
    <w:p w:rsidR="00E30F25" w:rsidRPr="00EC6624" w:rsidRDefault="00E30F25" w:rsidP="00EC6624">
      <w:pPr>
        <w:spacing w:line="360" w:lineRule="auto"/>
        <w:ind w:firstLine="709"/>
        <w:jc w:val="center"/>
        <w:rPr>
          <w:sz w:val="28"/>
          <w:szCs w:val="28"/>
        </w:rPr>
      </w:pPr>
    </w:p>
    <w:p w:rsidR="00E30F25" w:rsidRPr="00EC6624" w:rsidRDefault="00E30F25" w:rsidP="00EC6624">
      <w:pPr>
        <w:spacing w:line="360" w:lineRule="auto"/>
        <w:ind w:firstLine="709"/>
        <w:jc w:val="center"/>
        <w:rPr>
          <w:sz w:val="28"/>
          <w:szCs w:val="28"/>
        </w:rPr>
      </w:pPr>
    </w:p>
    <w:p w:rsidR="00E30F25" w:rsidRPr="00EC6624" w:rsidRDefault="00E30F25" w:rsidP="00EC662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C6624">
        <w:rPr>
          <w:b/>
          <w:bCs/>
          <w:sz w:val="28"/>
          <w:szCs w:val="28"/>
        </w:rPr>
        <w:t>КУРСОВАЯ РАБОТА</w:t>
      </w:r>
    </w:p>
    <w:p w:rsidR="00E30F25" w:rsidRPr="00EC6624" w:rsidRDefault="00E30F25" w:rsidP="00EC662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C6624">
        <w:rPr>
          <w:b/>
          <w:bCs/>
          <w:sz w:val="28"/>
          <w:szCs w:val="28"/>
        </w:rPr>
        <w:t>по эпидемиологии.</w:t>
      </w:r>
    </w:p>
    <w:p w:rsidR="00E30F25" w:rsidRPr="00EC6624" w:rsidRDefault="00E30F25" w:rsidP="00EC662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C6624">
        <w:rPr>
          <w:b/>
          <w:bCs/>
          <w:sz w:val="28"/>
          <w:szCs w:val="28"/>
        </w:rPr>
        <w:t>Тема: “Ретроспективный эпидемиологический анализ</w:t>
      </w:r>
    </w:p>
    <w:p w:rsidR="00E30F25" w:rsidRPr="00EC6624" w:rsidRDefault="00E30F25" w:rsidP="00EC6624">
      <w:pPr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  <w:r w:rsidRPr="00EC6624">
        <w:rPr>
          <w:b/>
          <w:bCs/>
          <w:sz w:val="28"/>
          <w:szCs w:val="28"/>
        </w:rPr>
        <w:t xml:space="preserve">заболеваемости скарлатиной за период с 1996 по 2006г. включительно в населённом пункте </w:t>
      </w:r>
      <w:r w:rsidR="00505947" w:rsidRPr="00EC6624">
        <w:rPr>
          <w:b/>
          <w:bCs/>
          <w:sz w:val="28"/>
          <w:szCs w:val="28"/>
        </w:rPr>
        <w:t>“</w:t>
      </w:r>
      <w:r w:rsidRPr="00EC6624">
        <w:rPr>
          <w:b/>
          <w:bCs/>
          <w:sz w:val="28"/>
          <w:szCs w:val="28"/>
          <w:lang w:val="en-US"/>
        </w:rPr>
        <w:t>L</w:t>
      </w:r>
      <w:r w:rsidRPr="00EC6624">
        <w:rPr>
          <w:b/>
          <w:bCs/>
          <w:sz w:val="28"/>
          <w:szCs w:val="28"/>
        </w:rPr>
        <w:t>”</w:t>
      </w:r>
      <w:r w:rsidR="00505947" w:rsidRPr="00EC6624">
        <w:rPr>
          <w:b/>
          <w:bCs/>
          <w:sz w:val="28"/>
          <w:szCs w:val="28"/>
        </w:rPr>
        <w:t>.</w:t>
      </w:r>
    </w:p>
    <w:p w:rsidR="00E30F25" w:rsidRPr="00EC6624" w:rsidRDefault="00E30F25" w:rsidP="00EC6624">
      <w:pPr>
        <w:spacing w:line="360" w:lineRule="auto"/>
        <w:ind w:firstLine="709"/>
        <w:jc w:val="center"/>
        <w:rPr>
          <w:sz w:val="28"/>
          <w:szCs w:val="28"/>
        </w:rPr>
      </w:pPr>
    </w:p>
    <w:p w:rsidR="00E30F25" w:rsidRPr="00EC6624" w:rsidRDefault="00E30F25" w:rsidP="00EC6624">
      <w:pPr>
        <w:spacing w:line="360" w:lineRule="auto"/>
        <w:ind w:firstLine="709"/>
        <w:jc w:val="center"/>
        <w:rPr>
          <w:sz w:val="28"/>
          <w:szCs w:val="28"/>
        </w:rPr>
      </w:pPr>
    </w:p>
    <w:p w:rsidR="00E30F25" w:rsidRPr="00EC6624" w:rsidRDefault="00E30F25" w:rsidP="00EC6624">
      <w:pPr>
        <w:spacing w:line="360" w:lineRule="auto"/>
        <w:ind w:firstLine="709"/>
        <w:jc w:val="center"/>
        <w:rPr>
          <w:sz w:val="28"/>
          <w:szCs w:val="28"/>
        </w:rPr>
      </w:pPr>
    </w:p>
    <w:p w:rsidR="00E30F25" w:rsidRPr="00EC6624" w:rsidRDefault="00E30F25" w:rsidP="00EC6624">
      <w:pPr>
        <w:spacing w:line="360" w:lineRule="auto"/>
        <w:ind w:firstLine="709"/>
        <w:jc w:val="center"/>
        <w:rPr>
          <w:sz w:val="28"/>
          <w:szCs w:val="28"/>
        </w:rPr>
      </w:pPr>
    </w:p>
    <w:p w:rsidR="00E30F25" w:rsidRPr="00EC6624" w:rsidRDefault="00E30F25" w:rsidP="00EC6624">
      <w:pPr>
        <w:spacing w:line="360" w:lineRule="auto"/>
        <w:ind w:firstLine="709"/>
        <w:jc w:val="center"/>
        <w:rPr>
          <w:sz w:val="28"/>
          <w:szCs w:val="28"/>
        </w:rPr>
      </w:pPr>
    </w:p>
    <w:p w:rsidR="00E30F25" w:rsidRPr="00EC6624" w:rsidRDefault="00E30F25" w:rsidP="00EC6624">
      <w:pPr>
        <w:spacing w:line="360" w:lineRule="auto"/>
        <w:ind w:firstLine="709"/>
        <w:jc w:val="center"/>
        <w:rPr>
          <w:sz w:val="28"/>
          <w:szCs w:val="28"/>
        </w:rPr>
      </w:pPr>
    </w:p>
    <w:p w:rsidR="00E30F25" w:rsidRPr="00EC6624" w:rsidRDefault="00E30F25" w:rsidP="00EC6624">
      <w:pPr>
        <w:spacing w:line="360" w:lineRule="auto"/>
        <w:ind w:firstLine="709"/>
        <w:jc w:val="center"/>
        <w:rPr>
          <w:sz w:val="28"/>
          <w:szCs w:val="28"/>
        </w:rPr>
      </w:pPr>
    </w:p>
    <w:p w:rsidR="00616B70" w:rsidRPr="00EC6624" w:rsidRDefault="00616B70" w:rsidP="00EC6624">
      <w:pPr>
        <w:spacing w:line="360" w:lineRule="auto"/>
        <w:ind w:firstLine="709"/>
        <w:jc w:val="center"/>
        <w:rPr>
          <w:sz w:val="28"/>
          <w:szCs w:val="28"/>
        </w:rPr>
      </w:pPr>
    </w:p>
    <w:p w:rsidR="00616B70" w:rsidRPr="00EC6624" w:rsidRDefault="00616B70" w:rsidP="00EC6624">
      <w:pPr>
        <w:spacing w:line="360" w:lineRule="auto"/>
        <w:ind w:firstLine="709"/>
        <w:jc w:val="center"/>
        <w:rPr>
          <w:sz w:val="28"/>
          <w:szCs w:val="28"/>
        </w:rPr>
      </w:pPr>
    </w:p>
    <w:p w:rsidR="00616B70" w:rsidRPr="00EC6624" w:rsidRDefault="00616B70" w:rsidP="00EC6624">
      <w:pPr>
        <w:spacing w:line="360" w:lineRule="auto"/>
        <w:ind w:firstLine="709"/>
        <w:jc w:val="center"/>
        <w:rPr>
          <w:sz w:val="28"/>
          <w:szCs w:val="28"/>
        </w:rPr>
      </w:pPr>
    </w:p>
    <w:p w:rsidR="00E30F25" w:rsidRPr="00EC6624" w:rsidRDefault="00E30F25" w:rsidP="00EC6624">
      <w:pPr>
        <w:spacing w:line="360" w:lineRule="auto"/>
        <w:ind w:firstLine="709"/>
        <w:jc w:val="center"/>
        <w:rPr>
          <w:sz w:val="28"/>
          <w:szCs w:val="28"/>
        </w:rPr>
      </w:pPr>
    </w:p>
    <w:p w:rsidR="00E30F25" w:rsidRPr="00EC6624" w:rsidRDefault="00E30F25" w:rsidP="00EC6624">
      <w:pPr>
        <w:spacing w:line="360" w:lineRule="auto"/>
        <w:ind w:firstLine="709"/>
        <w:jc w:val="center"/>
        <w:rPr>
          <w:sz w:val="28"/>
          <w:szCs w:val="28"/>
        </w:rPr>
      </w:pPr>
    </w:p>
    <w:p w:rsidR="00E30F25" w:rsidRDefault="00E30F25" w:rsidP="00EC6624">
      <w:pPr>
        <w:spacing w:line="360" w:lineRule="auto"/>
        <w:ind w:firstLine="709"/>
        <w:jc w:val="center"/>
        <w:rPr>
          <w:sz w:val="28"/>
          <w:szCs w:val="28"/>
        </w:rPr>
      </w:pPr>
      <w:r w:rsidRPr="00EC6624">
        <w:rPr>
          <w:sz w:val="28"/>
          <w:szCs w:val="28"/>
        </w:rPr>
        <w:t>Тула, 2006г.</w:t>
      </w:r>
    </w:p>
    <w:p w:rsidR="00EC6624" w:rsidRDefault="00EC6624" w:rsidP="00EC6624">
      <w:pPr>
        <w:spacing w:line="360" w:lineRule="auto"/>
        <w:ind w:firstLine="709"/>
        <w:jc w:val="center"/>
        <w:rPr>
          <w:sz w:val="28"/>
          <w:szCs w:val="28"/>
        </w:rPr>
      </w:pPr>
    </w:p>
    <w:p w:rsidR="00EC6624" w:rsidRDefault="00EC6624" w:rsidP="00EC6624">
      <w:pPr>
        <w:spacing w:line="360" w:lineRule="auto"/>
        <w:ind w:firstLine="709"/>
        <w:jc w:val="center"/>
        <w:rPr>
          <w:sz w:val="28"/>
          <w:szCs w:val="28"/>
        </w:rPr>
        <w:sectPr w:rsidR="00EC6624" w:rsidSect="00EC6624">
          <w:footerReference w:type="default" r:id="rId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30F25" w:rsidRPr="00EC6624" w:rsidRDefault="00EC6624" w:rsidP="00EC662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E30F25" w:rsidRPr="00EC6624" w:rsidRDefault="00E30F25" w:rsidP="00EC6624">
      <w:pPr>
        <w:spacing w:line="360" w:lineRule="auto"/>
        <w:jc w:val="both"/>
        <w:rPr>
          <w:sz w:val="28"/>
          <w:szCs w:val="28"/>
        </w:rPr>
      </w:pPr>
    </w:p>
    <w:p w:rsidR="00E30F25" w:rsidRPr="00EC6624" w:rsidRDefault="00817B27" w:rsidP="00EC6624">
      <w:pPr>
        <w:spacing w:line="360" w:lineRule="auto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Введение</w:t>
      </w:r>
    </w:p>
    <w:p w:rsidR="00817B27" w:rsidRPr="00EC6624" w:rsidRDefault="00817B27" w:rsidP="00EC6624">
      <w:pPr>
        <w:spacing w:line="360" w:lineRule="auto"/>
        <w:jc w:val="both"/>
        <w:rPr>
          <w:sz w:val="28"/>
          <w:szCs w:val="28"/>
        </w:rPr>
      </w:pPr>
      <w:r w:rsidRPr="00EC6624">
        <w:rPr>
          <w:sz w:val="28"/>
          <w:szCs w:val="28"/>
        </w:rPr>
        <w:t xml:space="preserve">Раздел №1: Анализ многолетней динамики заболеваемости скарлатиной за период с 1996 по 2006г. включительно в населённом пункте </w:t>
      </w:r>
      <w:r w:rsidR="00505947" w:rsidRPr="00EC6624">
        <w:rPr>
          <w:sz w:val="28"/>
          <w:szCs w:val="28"/>
        </w:rPr>
        <w:t>“</w:t>
      </w:r>
      <w:r w:rsidRPr="00EC6624">
        <w:rPr>
          <w:sz w:val="28"/>
          <w:szCs w:val="28"/>
          <w:lang w:val="en-US"/>
        </w:rPr>
        <w:t>L</w:t>
      </w:r>
      <w:r w:rsidR="00505947" w:rsidRPr="00EC6624">
        <w:rPr>
          <w:sz w:val="28"/>
          <w:szCs w:val="28"/>
        </w:rPr>
        <w:t>”</w:t>
      </w:r>
      <w:r w:rsidRPr="00EC6624">
        <w:rPr>
          <w:sz w:val="28"/>
          <w:szCs w:val="28"/>
        </w:rPr>
        <w:t>.</w:t>
      </w:r>
    </w:p>
    <w:p w:rsidR="00817B27" w:rsidRPr="00EC6624" w:rsidRDefault="00817B27" w:rsidP="00EC6624">
      <w:pPr>
        <w:spacing w:line="360" w:lineRule="auto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1.Первичный материал исследования</w:t>
      </w:r>
    </w:p>
    <w:p w:rsidR="00E30F25" w:rsidRPr="00EC6624" w:rsidRDefault="00817B27" w:rsidP="00EC6624">
      <w:pPr>
        <w:spacing w:line="360" w:lineRule="auto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2.Подраздел 1 – Анализ тенденции заболеваемости</w:t>
      </w:r>
    </w:p>
    <w:p w:rsidR="00817B27" w:rsidRPr="00EC6624" w:rsidRDefault="00817B27" w:rsidP="00EC6624">
      <w:pPr>
        <w:spacing w:line="360" w:lineRule="auto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3.Подраздел 2 – Анализ периодической составляющей</w:t>
      </w:r>
    </w:p>
    <w:p w:rsidR="00817B27" w:rsidRPr="00EC6624" w:rsidRDefault="00817B27" w:rsidP="00EC6624">
      <w:pPr>
        <w:spacing w:line="360" w:lineRule="auto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4.Подраздел 3 – Анализ нерегулярных колебаний заболеваемости</w:t>
      </w:r>
    </w:p>
    <w:p w:rsidR="00817B27" w:rsidRPr="00EC6624" w:rsidRDefault="00817B27" w:rsidP="00EC6624">
      <w:pPr>
        <w:spacing w:line="360" w:lineRule="auto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IV</w:t>
      </w:r>
      <w:r w:rsidRPr="00EC6624">
        <w:rPr>
          <w:sz w:val="28"/>
          <w:szCs w:val="28"/>
        </w:rPr>
        <w:t xml:space="preserve">.Раздел №2: Анализ внутригодовой динамики заболеваемости скарлатиной за период с 1996 по 2006г. включительно в населённом пункте </w:t>
      </w:r>
      <w:r w:rsidR="00505947" w:rsidRPr="00EC6624">
        <w:rPr>
          <w:sz w:val="28"/>
          <w:szCs w:val="28"/>
        </w:rPr>
        <w:t>“</w:t>
      </w:r>
      <w:r w:rsidRPr="00EC6624">
        <w:rPr>
          <w:sz w:val="28"/>
          <w:szCs w:val="28"/>
          <w:lang w:val="en-US"/>
        </w:rPr>
        <w:t>L</w:t>
      </w:r>
      <w:r w:rsidR="00505947" w:rsidRPr="00EC6624">
        <w:rPr>
          <w:sz w:val="28"/>
          <w:szCs w:val="28"/>
        </w:rPr>
        <w:t>”</w:t>
      </w:r>
      <w:r w:rsidRPr="00EC6624">
        <w:rPr>
          <w:sz w:val="28"/>
          <w:szCs w:val="28"/>
        </w:rPr>
        <w:t>.</w:t>
      </w:r>
    </w:p>
    <w:p w:rsidR="00817B27" w:rsidRPr="00EC6624" w:rsidRDefault="00817B27" w:rsidP="00EC6624">
      <w:pPr>
        <w:spacing w:line="360" w:lineRule="auto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1.Первичный материал исследования</w:t>
      </w:r>
    </w:p>
    <w:p w:rsidR="00817B27" w:rsidRPr="00EC6624" w:rsidRDefault="00817B27" w:rsidP="00EC6624">
      <w:pPr>
        <w:spacing w:line="360" w:lineRule="auto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2.Подраздел 1 – Анализ круглогодичной составляющей эпидемического процесса во внутригодовой динамике заболеваемости</w:t>
      </w:r>
    </w:p>
    <w:p w:rsidR="00817B27" w:rsidRPr="00EC6624" w:rsidRDefault="00817B27" w:rsidP="00EC6624">
      <w:pPr>
        <w:spacing w:line="360" w:lineRule="auto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3.Подраздел 2 – Анализ вспышечной составляющей эпидемического процесса во внутригодовой динамике заболеваемости</w:t>
      </w:r>
    </w:p>
    <w:p w:rsidR="00817B27" w:rsidRPr="00EC6624" w:rsidRDefault="00817B27" w:rsidP="00EC6624">
      <w:pPr>
        <w:spacing w:line="360" w:lineRule="auto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4.Подраздел 3 – Оценка сезонной составляющей эпидемического процесса во внутригодовой динамике заболеваемости</w:t>
      </w:r>
    </w:p>
    <w:p w:rsidR="00E30F25" w:rsidRPr="00EC6624" w:rsidRDefault="00817B27" w:rsidP="00EC6624">
      <w:pPr>
        <w:spacing w:line="360" w:lineRule="auto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Заключение</w:t>
      </w:r>
    </w:p>
    <w:p w:rsidR="00EC6624" w:rsidRDefault="00EC6624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EC6624" w:rsidRDefault="00EC6624" w:rsidP="00EC6624">
      <w:pPr>
        <w:spacing w:line="360" w:lineRule="auto"/>
        <w:ind w:firstLine="709"/>
        <w:jc w:val="both"/>
        <w:rPr>
          <w:sz w:val="28"/>
          <w:szCs w:val="28"/>
        </w:rPr>
        <w:sectPr w:rsidR="00EC6624" w:rsidSect="00EC6624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30F25" w:rsidRDefault="00E30F25" w:rsidP="00EC662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C6624">
        <w:rPr>
          <w:b/>
          <w:bCs/>
          <w:sz w:val="28"/>
          <w:szCs w:val="28"/>
        </w:rPr>
        <w:t>ВВЕДЕНИЕ</w:t>
      </w:r>
    </w:p>
    <w:p w:rsidR="00EC6624" w:rsidRPr="00EC6624" w:rsidRDefault="00EC6624" w:rsidP="00EC662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b/>
          <w:bCs/>
          <w:sz w:val="28"/>
          <w:szCs w:val="28"/>
        </w:rPr>
        <w:t>Возбудитель</w:t>
      </w:r>
      <w:r w:rsidRPr="00EC6624">
        <w:rPr>
          <w:sz w:val="28"/>
          <w:szCs w:val="28"/>
        </w:rPr>
        <w:t xml:space="preserve"> скарлатины — β-гемолитический стрептококк группы A Streptococcus pyogenes. Многочисленные представители этой группы отличаются по набору антигенов; смена их происходит на одной территории обычно с интервалом в несколько лет. Возбудители скарлатины могут длительно сохраняться вне организма на предметах, окружающих больного. Они остаются жизнеспособными при высыхании мокроты и гноя, на игрушках, постельных принадлежностях. При температуре 56—60°С стрептококки погибают в течение 30 мин. Они чувствительны к дезинфектантам.</w: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b/>
          <w:bCs/>
          <w:sz w:val="28"/>
          <w:szCs w:val="28"/>
        </w:rPr>
        <w:t>Источники возбудителей</w:t>
      </w:r>
      <w:r w:rsidRPr="00EC6624">
        <w:rPr>
          <w:sz w:val="28"/>
          <w:szCs w:val="28"/>
        </w:rPr>
        <w:t>. Среди лиц, зараженных стрептококками группы А, наиболее опасным источником инфекции является больной скарлатиной. Его заразительность проявляется уже с появлением признаков заболевания и с наибольшей отчетливостью выражена в первые дни болезни, когда возбудители выделяются с секретом слизистых оболочек из носа, зева, с отделяемым гнойных очагов при отитах, синуситах, гнойных лимфаденитах. Наибольшую эпидемиологическую опасность представляют больные стертыми и атипичными формами болезни, скарлатиной без сыпи, скарлатинозной ангиной. Инкубационный период при скарлатине продолжается от нескольких часов до семи суток (иногда до 12). Чаще он колеблется между 1-3 днями. За это время происходит размножение возбудителя скарлатины в организме, после чего он в массовом количестве выделяется в окружающую среду. Заразный период у реконвалесцентов при отсутствии у них осложнений сохраняется 12 дней. Опасность реконвалесцентов возрастает при реинфекции другими типами стрептококков. Определенную эпидемиологическую значимость как источники инфекции имеют носители гемолитического стрептококка, их опасность возрастает при работе в дошкольных детских коллективах и на предприятиях по заготовке и изготовлению молочных и сладких продуктов.</w: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b/>
          <w:bCs/>
          <w:sz w:val="28"/>
          <w:szCs w:val="28"/>
        </w:rPr>
        <w:t>Механизм передачи</w:t>
      </w:r>
      <w:r w:rsidRPr="00EC6624">
        <w:rPr>
          <w:sz w:val="28"/>
          <w:szCs w:val="28"/>
        </w:rPr>
        <w:t xml:space="preserve"> возбудителей реализуется главным образом воздушно-капельным путем при выделении их с капельками слизи. При этом распространение стрептококков происходит на относительно небольшое расстояние в пределах одной комнаты.</w: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Воздушно-пылевой путь и заражение через предметы бытового пользования возможны, поскольку стрептококки сохраняются в высушенном состоянии, и попадание их на слизистые рта (посуда, полотенце, игрушки) приводит к заболеванию.</w: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Пищевой путь передачи относительно редок, он реализуется при заражении носителями молока, мороженого, кремов и проявляется большими внезапными вспышками.</w: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b/>
          <w:bCs/>
          <w:sz w:val="28"/>
          <w:szCs w:val="28"/>
        </w:rPr>
        <w:t>Восприимчивость</w:t>
      </w:r>
      <w:r w:rsidRPr="00EC6624">
        <w:rPr>
          <w:sz w:val="28"/>
          <w:szCs w:val="28"/>
        </w:rPr>
        <w:t xml:space="preserve"> к скарлатине неодинакова в младших и старших возрастных группах. Очень редко проявляются заболевания у детей до 3мес жизни; наибольшая заболеваемость отмечена до 6—7-летнего возраста; в старшем возрасте и у взрослых она невысока. При этом надо иметь в виду, что восприимчивость не всегда реализуется в виде болезни, некоторое число восприимчивых лиц переносит инфекцию в виде носительства. К группе риска относятся лица, у которых удалена или врождённо отсутствует селезёнка. Особенностью современной скарлатины являются повторные заболевания у детей и взрослых, видимо, возникающие вследствие недостаточно напряженного иммунитета, сформировавшегося при антибиотикотерапии первого по счету заболевания.</w: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b/>
          <w:bCs/>
          <w:sz w:val="28"/>
          <w:szCs w:val="28"/>
        </w:rPr>
        <w:t>Эпидемический процесс</w:t>
      </w:r>
      <w:r w:rsidRPr="00EC6624">
        <w:rPr>
          <w:sz w:val="28"/>
          <w:szCs w:val="28"/>
        </w:rPr>
        <w:t xml:space="preserve"> скарлатины характеризуется отчетливо выраженной периодичностью подъемов заболеваемости с интервалом в 4—7 лет, возрастанием числа больных в осенне-зимний период, наличием вспышек в коллективах детей и подростков.</w: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b/>
          <w:bCs/>
          <w:sz w:val="28"/>
          <w:szCs w:val="28"/>
        </w:rPr>
        <w:t>Профилактическая и противоэпидемическая работа.</w:t>
      </w:r>
      <w:r w:rsidRPr="00EC6624">
        <w:rPr>
          <w:sz w:val="28"/>
          <w:szCs w:val="28"/>
        </w:rPr>
        <w:t xml:space="preserve"> Средства специфической профилактики скарлатины отсутствуют, поэтому действенны общие подходы к профилактике инфекционных болезней в виде таких мер, как закаливание детей, соблюдение санитарно-гигиенического режима в детских учреждениях, раннее выявление и изоляция больных ангиной и другими заболеваниями, подозрительными на скарлатину. Сроки изоляции больного и разобщения реконвалесцента с коллективом детей определяются характером и выраженностью клинических проявлений. Они могут удлиняться при наличии отитов, тонзиллитов, лимфаденитов и других осложнений. Текущая дезинфекция в квартире больного выполняется членами его семьи. Она включает обработку посуды, носовых платков, полотенец (кипячение), постельного белья (кипячение, стирка), игрушек (погружение в растворы дезинфектантов, например 0,5% раствор хлорамина). Регулярное выполнение текущей дезинфекции делает ненужной заключительную обработку. В число контактных лиц включают и ранее переболевших скарлатиной. Медицинское наблюдение их признано необходимым из-за опасности повторных заболеваний. При этом обозначаются два срока наблюдения — при госпитализации больного (максимальный инкубационный период скарлатины — 7 дней), а при появлении повторных случаев заболевания в очаге наблюдение удлиняется до 12 дней. Второй срок (при оставлении больного дома) — 17 дней, который состоит из 10-дневного заразного периода у больного и 7 дней инкубации. Среди ранее не болевших скарлатиной наибольшего внимания требуют дети в возрасте до 8 лет. В некоторых случаях по клиническим показаниям для защиты восприимчивых детей вводят иммуноглобулин.</w:t>
      </w:r>
    </w:p>
    <w:p w:rsidR="00EC6624" w:rsidRDefault="00EC6624" w:rsidP="00EC6624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  <w:sectPr w:rsidR="00EC6624" w:rsidSect="00EC6624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30F25" w:rsidRDefault="00E30F25" w:rsidP="0009709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C6624">
        <w:rPr>
          <w:b/>
          <w:bCs/>
          <w:sz w:val="28"/>
          <w:szCs w:val="28"/>
        </w:rPr>
        <w:t>РАЗДЕЛ №1:</w:t>
      </w:r>
    </w:p>
    <w:p w:rsidR="00EC6624" w:rsidRPr="00EC6624" w:rsidRDefault="00EC6624" w:rsidP="00EC662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30F25" w:rsidRDefault="00E30F25" w:rsidP="00EC6624">
      <w:pPr>
        <w:spacing w:line="360" w:lineRule="auto"/>
        <w:ind w:left="708" w:firstLine="1"/>
        <w:jc w:val="both"/>
        <w:rPr>
          <w:b/>
          <w:bCs/>
          <w:sz w:val="28"/>
          <w:szCs w:val="28"/>
        </w:rPr>
      </w:pPr>
      <w:r w:rsidRPr="00EC6624">
        <w:rPr>
          <w:b/>
          <w:bCs/>
          <w:sz w:val="28"/>
          <w:szCs w:val="28"/>
        </w:rPr>
        <w:t xml:space="preserve">Анализ многолетней динамики заболеваемости скарлатиной за период с 1996 по 2006г. включительно в населённом пункте </w:t>
      </w:r>
      <w:r w:rsidR="00505947" w:rsidRPr="00EC6624">
        <w:rPr>
          <w:b/>
          <w:bCs/>
          <w:sz w:val="28"/>
          <w:szCs w:val="28"/>
        </w:rPr>
        <w:t>“</w:t>
      </w:r>
      <w:r w:rsidRPr="00EC6624">
        <w:rPr>
          <w:b/>
          <w:bCs/>
          <w:sz w:val="28"/>
          <w:szCs w:val="28"/>
          <w:lang w:val="en-US"/>
        </w:rPr>
        <w:t>L</w:t>
      </w:r>
      <w:r w:rsidR="00505947" w:rsidRPr="00EC6624">
        <w:rPr>
          <w:b/>
          <w:bCs/>
          <w:sz w:val="28"/>
          <w:szCs w:val="28"/>
        </w:rPr>
        <w:t>”</w:t>
      </w:r>
    </w:p>
    <w:p w:rsidR="00EC6624" w:rsidRPr="00EC6624" w:rsidRDefault="00EC6624" w:rsidP="00EC662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04299" w:rsidRPr="00EC6624" w:rsidRDefault="00904299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Изучение многолетней динамики заболеваемости позволяет выявить ведущие факторы риска, действующие в течение длительного времени (постоянно) и определяющие основы закономерности развития процесса.</w: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C6624">
        <w:rPr>
          <w:b/>
          <w:bCs/>
          <w:sz w:val="28"/>
          <w:szCs w:val="28"/>
        </w:rPr>
        <w:t>1.Первичный материал исследования:</w:t>
      </w:r>
    </w:p>
    <w:p w:rsidR="00E866D9" w:rsidRPr="00EC6624" w:rsidRDefault="00E866D9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Многим заболеваниям (особенно инфекционным) свойственна периодичность многолетней динамики.</w:t>
      </w:r>
      <w:r w:rsidR="00C3539F" w:rsidRPr="00EC6624">
        <w:rPr>
          <w:sz w:val="28"/>
          <w:szCs w:val="28"/>
        </w:rPr>
        <w:t xml:space="preserve"> Для скарлатины и остальных воздушно-капельных инфекций более всего свойственны подъёмы с интервалом 3-5 лет.</w:t>
      </w:r>
    </w:p>
    <w:p w:rsidR="00641CC3" w:rsidRPr="00EC6624" w:rsidRDefault="00641CC3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E30F25" w:rsidRPr="00EC6624" w:rsidRDefault="00E30F25" w:rsidP="00EC6624">
      <w:pPr>
        <w:spacing w:line="360" w:lineRule="auto"/>
        <w:ind w:left="708" w:firstLine="1"/>
        <w:jc w:val="both"/>
        <w:rPr>
          <w:sz w:val="28"/>
          <w:szCs w:val="28"/>
        </w:rPr>
      </w:pPr>
      <w:r w:rsidRPr="00EC6624">
        <w:rPr>
          <w:b/>
          <w:bCs/>
          <w:sz w:val="28"/>
          <w:szCs w:val="28"/>
        </w:rPr>
        <w:t>Таблица 1</w:t>
      </w:r>
      <w:r w:rsidRPr="00EC6624">
        <w:rPr>
          <w:sz w:val="28"/>
          <w:szCs w:val="28"/>
        </w:rPr>
        <w:t xml:space="preserve"> – Периодичность заболеваемости скарлатиной в населённом пункте </w:t>
      </w:r>
      <w:r w:rsidR="00505947" w:rsidRPr="00EC6624">
        <w:rPr>
          <w:sz w:val="28"/>
          <w:szCs w:val="28"/>
        </w:rPr>
        <w:t>“</w:t>
      </w:r>
      <w:r w:rsidRPr="00EC6624">
        <w:rPr>
          <w:sz w:val="28"/>
          <w:szCs w:val="28"/>
          <w:lang w:val="en-US"/>
        </w:rPr>
        <w:t>L</w:t>
      </w:r>
      <w:r w:rsidR="00505947" w:rsidRPr="00EC6624">
        <w:rPr>
          <w:sz w:val="28"/>
          <w:szCs w:val="28"/>
        </w:rPr>
        <w:t>”</w:t>
      </w:r>
      <w:r w:rsidRPr="00EC6624">
        <w:rPr>
          <w:sz w:val="28"/>
          <w:szCs w:val="28"/>
        </w:rPr>
        <w:t xml:space="preserve"> за каждый год:</w:t>
      </w:r>
    </w:p>
    <w:tbl>
      <w:tblPr>
        <w:tblW w:w="8720" w:type="dxa"/>
        <w:jc w:val="center"/>
        <w:tblLook w:val="0000" w:firstRow="0" w:lastRow="0" w:firstColumn="0" w:lastColumn="0" w:noHBand="0" w:noVBand="0"/>
      </w:tblPr>
      <w:tblGrid>
        <w:gridCol w:w="2180"/>
        <w:gridCol w:w="2180"/>
        <w:gridCol w:w="2180"/>
        <w:gridCol w:w="2180"/>
      </w:tblGrid>
      <w:tr w:rsidR="00E30F25" w:rsidRPr="00EC6624">
        <w:trPr>
          <w:trHeight w:val="34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C6624">
              <w:rPr>
                <w:b/>
                <w:bCs/>
                <w:sz w:val="20"/>
                <w:szCs w:val="20"/>
              </w:rPr>
              <w:t>Годы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C6624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C6624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C6624">
              <w:rPr>
                <w:b/>
                <w:bCs/>
                <w:sz w:val="20"/>
                <w:szCs w:val="20"/>
              </w:rPr>
              <w:t>Z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1996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26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26418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98,4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1997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79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26727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295,6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1998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198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26611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744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1999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108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27039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399,4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2000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18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26856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67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2001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64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26748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239,3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2002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162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27104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597,7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2003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82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27002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303,7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2004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27352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87,7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2005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27115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177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2006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93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27621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336,7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624">
              <w:rPr>
                <w:sz w:val="20"/>
                <w:szCs w:val="20"/>
              </w:rPr>
              <w:t>∑А=902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EC6624" w:rsidRDefault="00E30F25" w:rsidP="00EC662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641CC3" w:rsidRPr="00EC6624" w:rsidRDefault="00641CC3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Где А – абсолютное число заболеваний,</w: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N</w:t>
      </w:r>
      <w:r w:rsidRPr="00EC6624">
        <w:rPr>
          <w:sz w:val="28"/>
          <w:szCs w:val="28"/>
        </w:rPr>
        <w:t xml:space="preserve"> – численность населения,</w: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</w:rPr>
        <w:t xml:space="preserve"> – показатель заболеваемости.</w: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</w:rPr>
        <w:t>=(</w:t>
      </w:r>
      <w:r w:rsidRPr="00EC6624">
        <w:rPr>
          <w:sz w:val="28"/>
          <w:szCs w:val="28"/>
          <w:lang w:val="en-US"/>
        </w:rPr>
        <w:t>A</w:t>
      </w:r>
      <w:r w:rsidRPr="00EC6624">
        <w:rPr>
          <w:sz w:val="28"/>
          <w:szCs w:val="28"/>
        </w:rPr>
        <w:t>/</w:t>
      </w:r>
      <w:r w:rsidRPr="00EC6624">
        <w:rPr>
          <w:sz w:val="28"/>
          <w:szCs w:val="28"/>
          <w:lang w:val="en-US"/>
        </w:rPr>
        <w:t>N</w:t>
      </w:r>
      <w:r w:rsidRPr="00EC6624">
        <w:rPr>
          <w:sz w:val="28"/>
          <w:szCs w:val="28"/>
        </w:rPr>
        <w:t>)*10</w:t>
      </w:r>
      <w:r w:rsidRPr="00EC6624">
        <w:rPr>
          <w:sz w:val="28"/>
          <w:szCs w:val="28"/>
          <w:vertAlign w:val="superscript"/>
        </w:rPr>
        <w:t>5</w:t>
      </w:r>
    </w:p>
    <w:p w:rsidR="00641CC3" w:rsidRPr="00EC6624" w:rsidRDefault="00641CC3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b/>
          <w:bCs/>
          <w:sz w:val="28"/>
          <w:szCs w:val="28"/>
        </w:rPr>
        <w:t>График 1</w:t>
      </w:r>
      <w:r w:rsidRPr="00EC6624">
        <w:rPr>
          <w:sz w:val="28"/>
          <w:szCs w:val="28"/>
        </w:rPr>
        <w:t xml:space="preserve"> – График многолетней динамики заболеваемости скарлатиной в населённом пункте </w:t>
      </w:r>
      <w:r w:rsidR="00505947" w:rsidRPr="00EC6624">
        <w:rPr>
          <w:sz w:val="28"/>
          <w:szCs w:val="28"/>
        </w:rPr>
        <w:t>“</w:t>
      </w:r>
      <w:r w:rsidRPr="00EC6624">
        <w:rPr>
          <w:sz w:val="28"/>
          <w:szCs w:val="28"/>
          <w:lang w:val="en-US"/>
        </w:rPr>
        <w:t>L</w:t>
      </w:r>
      <w:r w:rsidR="00505947" w:rsidRPr="00EC6624">
        <w:rPr>
          <w:sz w:val="28"/>
          <w:szCs w:val="28"/>
        </w:rPr>
        <w:t>”</w:t>
      </w:r>
      <w:r w:rsidRPr="00EC6624">
        <w:rPr>
          <w:sz w:val="28"/>
          <w:szCs w:val="28"/>
        </w:rPr>
        <w:t>:</w:t>
      </w:r>
    </w:p>
    <w:p w:rsidR="00E30F25" w:rsidRPr="00EC6624" w:rsidRDefault="00B80D66" w:rsidP="00EC66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6.5pt;height:284.25pt">
            <v:imagedata r:id="rId8" o:title=""/>
          </v:shape>
        </w:pic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E30F25" w:rsidRDefault="00E30F25" w:rsidP="00EC6624">
      <w:pPr>
        <w:spacing w:line="360" w:lineRule="auto"/>
        <w:ind w:left="708" w:firstLine="1"/>
        <w:jc w:val="both"/>
        <w:rPr>
          <w:b/>
          <w:bCs/>
          <w:sz w:val="28"/>
          <w:szCs w:val="28"/>
        </w:rPr>
      </w:pPr>
      <w:r w:rsidRPr="00EC6624">
        <w:rPr>
          <w:b/>
          <w:bCs/>
          <w:sz w:val="28"/>
          <w:szCs w:val="28"/>
        </w:rPr>
        <w:t xml:space="preserve">2.Подраздел 1 – Анализ тенденции заболеваемости скарлатиной за период с 1996 по 2006г. включительно в населённом пункте </w:t>
      </w:r>
      <w:r w:rsidR="00505947" w:rsidRPr="00EC6624">
        <w:rPr>
          <w:b/>
          <w:bCs/>
          <w:sz w:val="28"/>
          <w:szCs w:val="28"/>
        </w:rPr>
        <w:t>“</w:t>
      </w:r>
      <w:r w:rsidRPr="00EC6624">
        <w:rPr>
          <w:b/>
          <w:bCs/>
          <w:sz w:val="28"/>
          <w:szCs w:val="28"/>
          <w:lang w:val="en-US"/>
        </w:rPr>
        <w:t>L</w:t>
      </w:r>
      <w:r w:rsidR="00505947" w:rsidRPr="00EC6624">
        <w:rPr>
          <w:b/>
          <w:bCs/>
          <w:sz w:val="28"/>
          <w:szCs w:val="28"/>
        </w:rPr>
        <w:t>”</w:t>
      </w:r>
      <w:r w:rsidRPr="00EC6624">
        <w:rPr>
          <w:b/>
          <w:bCs/>
          <w:sz w:val="28"/>
          <w:szCs w:val="28"/>
        </w:rPr>
        <w:t>.</w:t>
      </w:r>
    </w:p>
    <w:p w:rsidR="00EC6624" w:rsidRPr="00EC6624" w:rsidRDefault="00EC6624" w:rsidP="00EC6624">
      <w:pPr>
        <w:spacing w:line="360" w:lineRule="auto"/>
        <w:ind w:left="708" w:firstLine="1"/>
        <w:jc w:val="both"/>
        <w:rPr>
          <w:b/>
          <w:bCs/>
          <w:sz w:val="28"/>
          <w:szCs w:val="28"/>
        </w:rPr>
      </w:pPr>
    </w:p>
    <w:p w:rsidR="00034E8B" w:rsidRPr="00EC6624" w:rsidRDefault="003D6BBF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Тенденция (тренд, однонаправленное изменение) – наиболее общие закономерности динамики процесса.</w:t>
      </w:r>
    </w:p>
    <w:p w:rsidR="00973D43" w:rsidRPr="00EC6624" w:rsidRDefault="00973D43" w:rsidP="00EC6624">
      <w:pPr>
        <w:pStyle w:val="a6"/>
        <w:spacing w:line="360" w:lineRule="auto"/>
        <w:ind w:firstLine="709"/>
        <w:jc w:val="both"/>
      </w:pPr>
      <w:r w:rsidRPr="00EC6624">
        <w:t>Расчет тенденции используется для получения перспективных данных о заболеваемости и составления трендовых прогнозов, а также для общей оценки динамики эпидемического процесса.</w:t>
      </w:r>
    </w:p>
    <w:p w:rsidR="00973D43" w:rsidRPr="00EC6624" w:rsidRDefault="00973D43" w:rsidP="00EC6624">
      <w:pPr>
        <w:pStyle w:val="a6"/>
        <w:spacing w:line="360" w:lineRule="auto"/>
        <w:ind w:firstLine="709"/>
        <w:jc w:val="both"/>
      </w:pPr>
      <w:r w:rsidRPr="00EC6624">
        <w:t>Для определения прямолинейной тенденции эпидемического процесса нужно рассчитать ее показатели методом скользящей средней арифметической величины.</w:t>
      </w:r>
    </w:p>
    <w:p w:rsidR="00C00B9B" w:rsidRPr="00EC6624" w:rsidRDefault="00C00B9B" w:rsidP="00EC6624">
      <w:pPr>
        <w:pStyle w:val="a6"/>
        <w:spacing w:line="360" w:lineRule="auto"/>
        <w:ind w:firstLine="709"/>
        <w:jc w:val="both"/>
      </w:pPr>
    </w:p>
    <w:p w:rsidR="00E30F25" w:rsidRPr="00EC6624" w:rsidRDefault="00E30F25" w:rsidP="00EC6624">
      <w:pPr>
        <w:spacing w:line="360" w:lineRule="auto"/>
        <w:ind w:left="708" w:firstLine="1"/>
        <w:jc w:val="both"/>
        <w:rPr>
          <w:sz w:val="28"/>
          <w:szCs w:val="28"/>
        </w:rPr>
      </w:pPr>
      <w:r w:rsidRPr="00EC6624">
        <w:rPr>
          <w:b/>
          <w:bCs/>
          <w:sz w:val="28"/>
          <w:szCs w:val="28"/>
        </w:rPr>
        <w:t>Таблица 2</w:t>
      </w:r>
      <w:r w:rsidRPr="00EC6624">
        <w:rPr>
          <w:sz w:val="28"/>
          <w:szCs w:val="28"/>
        </w:rPr>
        <w:t xml:space="preserve"> – Вычисление прямолинейной тенденции заболеваемости скарлатиной за период с 1996 по 2006г. включительно в населённом пункте </w:t>
      </w:r>
      <w:r w:rsidR="00505947" w:rsidRPr="00EC6624">
        <w:rPr>
          <w:sz w:val="28"/>
          <w:szCs w:val="28"/>
        </w:rPr>
        <w:t>“</w:t>
      </w:r>
      <w:r w:rsidRPr="00EC6624">
        <w:rPr>
          <w:sz w:val="28"/>
          <w:szCs w:val="28"/>
          <w:lang w:val="en-US"/>
        </w:rPr>
        <w:t>L</w:t>
      </w:r>
      <w:r w:rsidR="00505947" w:rsidRPr="00EC6624">
        <w:rPr>
          <w:sz w:val="28"/>
          <w:szCs w:val="28"/>
        </w:rPr>
        <w:t>”</w:t>
      </w:r>
      <w:r w:rsidRPr="00EC6624">
        <w:rPr>
          <w:sz w:val="28"/>
          <w:szCs w:val="28"/>
        </w:rPr>
        <w:t>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35"/>
        <w:gridCol w:w="1735"/>
        <w:gridCol w:w="1736"/>
        <w:gridCol w:w="1735"/>
        <w:gridCol w:w="1735"/>
      </w:tblGrid>
      <w:tr w:rsidR="00E30F25" w:rsidRPr="00EC6624">
        <w:trPr>
          <w:trHeight w:val="340"/>
          <w:jc w:val="center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C6624">
              <w:rPr>
                <w:b/>
                <w:bCs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C6624">
              <w:rPr>
                <w:b/>
                <w:bCs/>
                <w:color w:val="000000"/>
                <w:sz w:val="20"/>
                <w:szCs w:val="20"/>
              </w:rPr>
              <w:t>Z0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C6624">
              <w:rPr>
                <w:b/>
                <w:bCs/>
                <w:color w:val="000000"/>
                <w:sz w:val="20"/>
                <w:szCs w:val="20"/>
              </w:rPr>
              <w:t>I сглаживание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C6624">
              <w:rPr>
                <w:b/>
                <w:bCs/>
                <w:color w:val="000000"/>
                <w:sz w:val="20"/>
                <w:szCs w:val="20"/>
              </w:rPr>
              <w:t>II сглаживание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C6624">
              <w:rPr>
                <w:b/>
                <w:bCs/>
                <w:color w:val="000000"/>
                <w:sz w:val="20"/>
                <w:szCs w:val="20"/>
              </w:rPr>
              <w:t>III сглаживание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1996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98,4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30F25" w:rsidRPr="00EC6624">
        <w:trPr>
          <w:trHeight w:val="340"/>
          <w:jc w:val="center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1997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295,6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30F25" w:rsidRPr="00EC6624">
        <w:trPr>
          <w:trHeight w:val="340"/>
          <w:jc w:val="center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1998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320,9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30F25" w:rsidRPr="00EC6624">
        <w:trPr>
          <w:trHeight w:val="340"/>
          <w:jc w:val="center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1999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399,4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394,1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30F25" w:rsidRPr="00EC6624">
        <w:trPr>
          <w:trHeight w:val="340"/>
          <w:jc w:val="center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409,5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341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30F25" w:rsidRPr="00EC6624">
        <w:trPr>
          <w:trHeight w:val="340"/>
          <w:jc w:val="center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2001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239,3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321,4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333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337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597,7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259,1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314,3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314,3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303,7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281,1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30F25" w:rsidRPr="00EC6624">
        <w:trPr>
          <w:trHeight w:val="340"/>
          <w:jc w:val="center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87,7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300,6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30F25" w:rsidRPr="00EC6624">
        <w:trPr>
          <w:trHeight w:val="340"/>
          <w:jc w:val="center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177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30F25" w:rsidRPr="00EC6624">
        <w:trPr>
          <w:trHeight w:val="340"/>
          <w:jc w:val="center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624">
              <w:rPr>
                <w:color w:val="000000"/>
                <w:sz w:val="20"/>
                <w:szCs w:val="20"/>
              </w:rPr>
              <w:t>336,7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F25" w:rsidRPr="00EC6624" w:rsidRDefault="00E30F25" w:rsidP="00EC66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736E39" w:rsidRPr="00EC6624" w:rsidRDefault="00736E39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b/>
          <w:bCs/>
          <w:sz w:val="28"/>
          <w:szCs w:val="28"/>
        </w:rPr>
        <w:t>График 2</w:t>
      </w:r>
      <w:r w:rsidRPr="00EC6624">
        <w:rPr>
          <w:sz w:val="28"/>
          <w:szCs w:val="28"/>
        </w:rPr>
        <w:t xml:space="preserve"> – Определение общей тенденции заболеваемости скарлатиной за период с 1996 по 2006г. включительно в населённом пункте </w:t>
      </w:r>
      <w:r w:rsidR="00505947" w:rsidRPr="00EC6624">
        <w:rPr>
          <w:sz w:val="28"/>
          <w:szCs w:val="28"/>
        </w:rPr>
        <w:t>“</w:t>
      </w:r>
      <w:r w:rsidRPr="00EC6624">
        <w:rPr>
          <w:sz w:val="28"/>
          <w:szCs w:val="28"/>
          <w:lang w:val="en-US"/>
        </w:rPr>
        <w:t>L</w:t>
      </w:r>
      <w:r w:rsidR="00505947" w:rsidRPr="00EC6624">
        <w:rPr>
          <w:sz w:val="28"/>
          <w:szCs w:val="28"/>
        </w:rPr>
        <w:t>”</w:t>
      </w:r>
      <w:r w:rsidRPr="00EC6624">
        <w:rPr>
          <w:sz w:val="28"/>
          <w:szCs w:val="28"/>
        </w:rPr>
        <w:t>:</w:t>
      </w:r>
    </w:p>
    <w:p w:rsidR="00E30F25" w:rsidRPr="00EC6624" w:rsidRDefault="00B80D66" w:rsidP="00EC66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36.75pt;height:332.25pt">
            <v:imagedata r:id="rId9" o:title=""/>
          </v:shape>
        </w:pic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α=</w:t>
      </w:r>
      <w:r w:rsidR="00627784" w:rsidRPr="00EC6624">
        <w:rPr>
          <w:sz w:val="28"/>
          <w:szCs w:val="28"/>
        </w:rPr>
        <w:t>9</w:t>
      </w:r>
      <w:r w:rsidRPr="00EC6624">
        <w:rPr>
          <w:sz w:val="28"/>
          <w:szCs w:val="28"/>
        </w:rPr>
        <w:t>°</w: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b/>
          <w:bCs/>
          <w:sz w:val="28"/>
          <w:szCs w:val="28"/>
        </w:rPr>
        <w:t>Вывод:</w:t>
      </w:r>
      <w:r w:rsidRPr="00EC6624">
        <w:rPr>
          <w:sz w:val="28"/>
          <w:szCs w:val="28"/>
        </w:rPr>
        <w:t xml:space="preserve"> Исходя из угла наклона тенденциозной прямой, который равен </w:t>
      </w:r>
      <w:r w:rsidR="00641CC3" w:rsidRPr="00EC6624">
        <w:rPr>
          <w:sz w:val="28"/>
          <w:szCs w:val="28"/>
        </w:rPr>
        <w:t>9</w:t>
      </w:r>
      <w:r w:rsidRPr="00EC6624">
        <w:rPr>
          <w:sz w:val="28"/>
          <w:szCs w:val="28"/>
        </w:rPr>
        <w:t xml:space="preserve">°, можно сделать вывод о том, что данный процесс (заболеваемость скарлатиной в населённом пункте </w:t>
      </w:r>
      <w:r w:rsidR="00505947" w:rsidRPr="00EC6624">
        <w:rPr>
          <w:sz w:val="28"/>
          <w:szCs w:val="28"/>
        </w:rPr>
        <w:t>“</w:t>
      </w:r>
      <w:r w:rsidRPr="00EC6624">
        <w:rPr>
          <w:sz w:val="28"/>
          <w:szCs w:val="28"/>
          <w:lang w:val="en-US"/>
        </w:rPr>
        <w:t>L</w:t>
      </w:r>
      <w:r w:rsidR="00505947" w:rsidRPr="00EC6624">
        <w:rPr>
          <w:sz w:val="28"/>
          <w:szCs w:val="28"/>
        </w:rPr>
        <w:t>”</w:t>
      </w:r>
      <w:r w:rsidRPr="00EC6624">
        <w:rPr>
          <w:sz w:val="28"/>
          <w:szCs w:val="28"/>
        </w:rPr>
        <w:t>) является стабильным</w:t>
      </w:r>
      <w:r w:rsidR="007125B0" w:rsidRPr="00EC6624">
        <w:rPr>
          <w:sz w:val="28"/>
          <w:szCs w:val="28"/>
        </w:rPr>
        <w:t>, стремящимся к снижению</w:t>
      </w:r>
      <w:r w:rsidRPr="00EC6624">
        <w:rPr>
          <w:sz w:val="28"/>
          <w:szCs w:val="28"/>
        </w:rPr>
        <w:t>. Вследствие этого можно спрогнозировать показатель заболеваемости (</w:t>
      </w: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</w:rPr>
        <w:t>) на будущий, 2007г., который составит приблизительно 206.</w:t>
      </w:r>
    </w:p>
    <w:p w:rsidR="0013081F" w:rsidRPr="00EC6624" w:rsidRDefault="0013081F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E30F25" w:rsidRDefault="00E30F25" w:rsidP="00EC6624">
      <w:pPr>
        <w:spacing w:line="360" w:lineRule="auto"/>
        <w:ind w:left="708" w:firstLine="1"/>
        <w:jc w:val="both"/>
        <w:rPr>
          <w:b/>
          <w:bCs/>
          <w:sz w:val="28"/>
          <w:szCs w:val="28"/>
        </w:rPr>
      </w:pPr>
      <w:r w:rsidRPr="00EC6624">
        <w:rPr>
          <w:b/>
          <w:bCs/>
          <w:sz w:val="28"/>
          <w:szCs w:val="28"/>
        </w:rPr>
        <w:t xml:space="preserve">3.Подраздел 2 – Анализ периодической составляющей заболеваемости скарлатиной за период с 1996 по 2006г. включительно в населённом пункте </w:t>
      </w:r>
      <w:r w:rsidR="00505947" w:rsidRPr="00EC6624">
        <w:rPr>
          <w:b/>
          <w:bCs/>
          <w:sz w:val="28"/>
          <w:szCs w:val="28"/>
        </w:rPr>
        <w:t>“</w:t>
      </w:r>
      <w:r w:rsidRPr="00EC6624">
        <w:rPr>
          <w:b/>
          <w:bCs/>
          <w:sz w:val="28"/>
          <w:szCs w:val="28"/>
          <w:lang w:val="en-US"/>
        </w:rPr>
        <w:t>L</w:t>
      </w:r>
      <w:r w:rsidR="00505947" w:rsidRPr="00EC6624">
        <w:rPr>
          <w:b/>
          <w:bCs/>
          <w:sz w:val="28"/>
          <w:szCs w:val="28"/>
        </w:rPr>
        <w:t>”</w:t>
      </w:r>
      <w:r w:rsidRPr="00EC6624">
        <w:rPr>
          <w:b/>
          <w:bCs/>
          <w:sz w:val="28"/>
          <w:szCs w:val="28"/>
        </w:rPr>
        <w:t>.</w:t>
      </w:r>
    </w:p>
    <w:p w:rsidR="00EC6624" w:rsidRPr="00EC6624" w:rsidRDefault="00EC6624" w:rsidP="00EC6624">
      <w:pPr>
        <w:spacing w:line="360" w:lineRule="auto"/>
        <w:ind w:left="708" w:firstLine="1"/>
        <w:jc w:val="both"/>
        <w:rPr>
          <w:b/>
          <w:bCs/>
          <w:sz w:val="28"/>
          <w:szCs w:val="28"/>
        </w:rPr>
      </w:pPr>
    </w:p>
    <w:p w:rsidR="00857119" w:rsidRPr="00EC6624" w:rsidRDefault="00857119" w:rsidP="00EC6624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Цикличность – это закономерное повышение и снижение эпидемического процесса за фиксированный период времени. При заболеваемости скарлатиной наблюдается пятилетняя цикличность.</w:t>
      </w:r>
    </w:p>
    <w:p w:rsidR="00857119" w:rsidRPr="00EC6624" w:rsidRDefault="00857119" w:rsidP="00EC6624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Для анализа периодической составляющей используется корреляционный анализ, направленный на выявление взаимосвязи между явлениями и признаками по принципу их сходства с течением времени.</w:t>
      </w:r>
    </w:p>
    <w:p w:rsidR="00857119" w:rsidRPr="00EC6624" w:rsidRDefault="00857119" w:rsidP="00EC6624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С помощью метода автокорреляции (парной корреляции) можно доказать факт наличия цикличности и выявить строго определенный период в динамике заболеваемости.</w: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r</w:t>
      </w:r>
      <w:r w:rsidRPr="00EC6624">
        <w:rPr>
          <w:sz w:val="28"/>
          <w:szCs w:val="28"/>
        </w:rPr>
        <w:t>= ∑ (∆</w:t>
      </w: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</w:rPr>
        <w:t>0*∆</w:t>
      </w: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</w:rPr>
        <w:t>1) ⁄ √ ∑ (∆</w:t>
      </w: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</w:rPr>
        <w:t>0</w:t>
      </w:r>
      <w:r w:rsidRPr="00EC6624">
        <w:rPr>
          <w:sz w:val="28"/>
          <w:szCs w:val="28"/>
          <w:vertAlign w:val="superscript"/>
        </w:rPr>
        <w:t>2</w:t>
      </w:r>
      <w:r w:rsidRPr="00EC6624">
        <w:rPr>
          <w:sz w:val="28"/>
          <w:szCs w:val="28"/>
        </w:rPr>
        <w:t>*∑∆</w:t>
      </w: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</w:rPr>
        <w:t>1</w:t>
      </w:r>
      <w:r w:rsidRPr="00EC6624">
        <w:rPr>
          <w:sz w:val="28"/>
          <w:szCs w:val="28"/>
          <w:vertAlign w:val="superscript"/>
        </w:rPr>
        <w:t>2</w:t>
      </w:r>
      <w:r w:rsidRPr="00EC6624">
        <w:rPr>
          <w:sz w:val="28"/>
          <w:szCs w:val="28"/>
        </w:rPr>
        <w:t>)</w: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r</w:t>
      </w:r>
      <w:r w:rsidRPr="00EC6624">
        <w:rPr>
          <w:sz w:val="28"/>
          <w:szCs w:val="28"/>
        </w:rPr>
        <w:t xml:space="preserve"> = 261831,8 ⁄ √ (377626,5* 196070,8) = 261831,8) ⁄ 27210,7 ≈ 1.</w: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Т.</w:t>
      </w:r>
      <w:r w:rsidR="00201870" w:rsidRPr="00EC6624">
        <w:rPr>
          <w:sz w:val="28"/>
          <w:szCs w:val="28"/>
        </w:rPr>
        <w:t>о</w:t>
      </w:r>
      <w:r w:rsidRPr="00EC6624">
        <w:rPr>
          <w:sz w:val="28"/>
          <w:szCs w:val="28"/>
        </w:rPr>
        <w:t xml:space="preserve">. </w:t>
      </w:r>
      <w:r w:rsidR="00201870" w:rsidRPr="00EC6624">
        <w:rPr>
          <w:sz w:val="28"/>
          <w:szCs w:val="28"/>
        </w:rPr>
        <w:t xml:space="preserve">имеется </w:t>
      </w:r>
      <w:r w:rsidRPr="00EC6624">
        <w:rPr>
          <w:sz w:val="28"/>
          <w:szCs w:val="28"/>
        </w:rPr>
        <w:t>полная корреляционная связь</w:t>
      </w:r>
      <w:r w:rsidR="00201870" w:rsidRPr="00EC6624">
        <w:rPr>
          <w:sz w:val="28"/>
          <w:szCs w:val="28"/>
        </w:rPr>
        <w:t xml:space="preserve"> (т.к. </w:t>
      </w:r>
      <w:r w:rsidR="00201870" w:rsidRPr="00EC6624">
        <w:rPr>
          <w:sz w:val="28"/>
          <w:szCs w:val="28"/>
          <w:lang w:val="en-US"/>
        </w:rPr>
        <w:t>r</w:t>
      </w:r>
      <w:r w:rsidR="00201870" w:rsidRPr="00EC6624">
        <w:rPr>
          <w:sz w:val="28"/>
          <w:szCs w:val="28"/>
        </w:rPr>
        <w:t>=1), которая является прямой, что в данном случае означает прямую взаимосвязь между подъёмами заболеваемости скарлатиной и временными интервалами от одного подъёма до другого.</w: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b/>
          <w:bCs/>
          <w:sz w:val="28"/>
          <w:szCs w:val="28"/>
        </w:rPr>
        <w:t>Вывод:</w:t>
      </w:r>
      <w:r w:rsidRPr="00EC6624">
        <w:rPr>
          <w:sz w:val="28"/>
          <w:szCs w:val="28"/>
        </w:rPr>
        <w:t xml:space="preserve"> Доказано наличие пятилетней цикличности заболеваемости скарлатиной.</w: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E30F25" w:rsidRDefault="00E30F25" w:rsidP="0009709D">
      <w:pPr>
        <w:spacing w:line="360" w:lineRule="auto"/>
        <w:ind w:left="708" w:firstLine="1"/>
        <w:jc w:val="both"/>
        <w:rPr>
          <w:b/>
          <w:bCs/>
          <w:sz w:val="28"/>
          <w:szCs w:val="28"/>
        </w:rPr>
      </w:pPr>
      <w:r w:rsidRPr="00EC6624">
        <w:rPr>
          <w:b/>
          <w:bCs/>
          <w:sz w:val="28"/>
          <w:szCs w:val="28"/>
        </w:rPr>
        <w:t xml:space="preserve">4.Подраздел 3 – Анализ нерегулярных колебаний заболеваемости скарлатиной за период с 1996 по 2006г. включительно в населённом пункте </w:t>
      </w:r>
      <w:r w:rsidR="00505947" w:rsidRPr="00EC6624">
        <w:rPr>
          <w:b/>
          <w:bCs/>
          <w:sz w:val="28"/>
          <w:szCs w:val="28"/>
        </w:rPr>
        <w:t>“</w:t>
      </w:r>
      <w:r w:rsidRPr="00EC6624">
        <w:rPr>
          <w:b/>
          <w:bCs/>
          <w:sz w:val="28"/>
          <w:szCs w:val="28"/>
          <w:lang w:val="en-US"/>
        </w:rPr>
        <w:t>L</w:t>
      </w:r>
      <w:r w:rsidR="00505947" w:rsidRPr="00EC6624">
        <w:rPr>
          <w:b/>
          <w:bCs/>
          <w:sz w:val="28"/>
          <w:szCs w:val="28"/>
        </w:rPr>
        <w:t>”</w:t>
      </w:r>
      <w:r w:rsidRPr="00EC6624">
        <w:rPr>
          <w:b/>
          <w:bCs/>
          <w:sz w:val="28"/>
          <w:szCs w:val="28"/>
        </w:rPr>
        <w:t>.</w:t>
      </w:r>
    </w:p>
    <w:p w:rsidR="0009709D" w:rsidRDefault="0009709D" w:rsidP="0009709D">
      <w:pPr>
        <w:spacing w:line="360" w:lineRule="auto"/>
        <w:ind w:left="708" w:firstLine="1"/>
        <w:jc w:val="both"/>
        <w:rPr>
          <w:b/>
          <w:bCs/>
          <w:sz w:val="28"/>
          <w:szCs w:val="28"/>
        </w:rPr>
      </w:pPr>
    </w:p>
    <w:p w:rsidR="00516DF5" w:rsidRPr="00EC6624" w:rsidRDefault="00516DF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 xml:space="preserve">Для определения нерегулярных колебаний заболеваемости скарлатиной необходимо </w:t>
      </w:r>
      <w:r w:rsidR="00271DF6" w:rsidRPr="00EC6624">
        <w:rPr>
          <w:sz w:val="28"/>
          <w:szCs w:val="28"/>
        </w:rPr>
        <w:t>вычислить</w:t>
      </w:r>
      <w:r w:rsidRPr="00EC6624">
        <w:rPr>
          <w:sz w:val="28"/>
          <w:szCs w:val="28"/>
        </w:rPr>
        <w:t xml:space="preserve"> эпидемический порог заболеваемости, т.е. верхнюю границу норм</w:t>
      </w:r>
      <w:r w:rsidR="00271DF6" w:rsidRPr="00EC6624">
        <w:rPr>
          <w:sz w:val="28"/>
          <w:szCs w:val="28"/>
        </w:rPr>
        <w:t>альных колебаний заболеваемости, выхождение за пределы которой и будет отражать так называемые “выскакивающие величины”</w:t>
      </w:r>
      <w:r w:rsidR="003C0B5A" w:rsidRPr="00EC6624">
        <w:rPr>
          <w:sz w:val="28"/>
          <w:szCs w:val="28"/>
        </w:rPr>
        <w:t xml:space="preserve"> (</w:t>
      </w:r>
      <w:r w:rsidR="003C0B5A" w:rsidRPr="00EC6624">
        <w:rPr>
          <w:sz w:val="28"/>
          <w:szCs w:val="28"/>
          <w:lang w:val="en-US"/>
        </w:rPr>
        <w:t>extremum</w:t>
      </w:r>
      <w:r w:rsidR="003C0B5A" w:rsidRPr="00EC6624">
        <w:rPr>
          <w:sz w:val="28"/>
          <w:szCs w:val="28"/>
        </w:rPr>
        <w:t xml:space="preserve"> </w:t>
      </w:r>
      <w:r w:rsidR="003C0B5A" w:rsidRPr="00EC6624">
        <w:rPr>
          <w:sz w:val="28"/>
          <w:szCs w:val="28"/>
          <w:lang w:val="en-US"/>
        </w:rPr>
        <w:t>maximum</w:t>
      </w:r>
      <w:r w:rsidR="003C0B5A" w:rsidRPr="00EC6624">
        <w:rPr>
          <w:sz w:val="28"/>
          <w:szCs w:val="28"/>
        </w:rPr>
        <w:t>)</w:t>
      </w:r>
      <w:r w:rsidR="00271DF6" w:rsidRPr="00EC6624">
        <w:rPr>
          <w:sz w:val="28"/>
          <w:szCs w:val="28"/>
        </w:rPr>
        <w:t>.</w:t>
      </w:r>
    </w:p>
    <w:p w:rsidR="00CE57E6" w:rsidRPr="00EC6624" w:rsidRDefault="00CE57E6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E30F25" w:rsidRDefault="00E30F25" w:rsidP="0009709D">
      <w:pPr>
        <w:spacing w:line="360" w:lineRule="auto"/>
        <w:ind w:left="708" w:firstLine="1"/>
        <w:jc w:val="both"/>
        <w:rPr>
          <w:sz w:val="28"/>
          <w:szCs w:val="28"/>
        </w:rPr>
      </w:pPr>
      <w:r w:rsidRPr="00EC6624">
        <w:rPr>
          <w:b/>
          <w:bCs/>
          <w:sz w:val="28"/>
          <w:szCs w:val="28"/>
        </w:rPr>
        <w:t>Таблица 4</w:t>
      </w:r>
      <w:r w:rsidRPr="00EC6624">
        <w:rPr>
          <w:sz w:val="28"/>
          <w:szCs w:val="28"/>
        </w:rPr>
        <w:t xml:space="preserve"> </w:t>
      </w:r>
      <w:r w:rsidR="00E23103" w:rsidRPr="00EC6624">
        <w:rPr>
          <w:sz w:val="28"/>
          <w:szCs w:val="28"/>
        </w:rPr>
        <w:t>–</w:t>
      </w:r>
      <w:r w:rsidRPr="00EC6624">
        <w:rPr>
          <w:sz w:val="28"/>
          <w:szCs w:val="28"/>
        </w:rPr>
        <w:t xml:space="preserve"> </w:t>
      </w:r>
      <w:r w:rsidR="00E23103" w:rsidRPr="00EC6624">
        <w:rPr>
          <w:sz w:val="28"/>
          <w:szCs w:val="28"/>
        </w:rPr>
        <w:t>Расчёт данных, необходимых для определения границ нормального колебания заболеваемости:</w:t>
      </w:r>
    </w:p>
    <w:p w:rsidR="0009709D" w:rsidRPr="00EC6624" w:rsidRDefault="0009709D" w:rsidP="0009709D">
      <w:pPr>
        <w:spacing w:line="360" w:lineRule="auto"/>
        <w:ind w:left="708" w:firstLine="1"/>
        <w:jc w:val="both"/>
        <w:rPr>
          <w:sz w:val="28"/>
          <w:szCs w:val="28"/>
        </w:rPr>
      </w:pPr>
    </w:p>
    <w:tbl>
      <w:tblPr>
        <w:tblW w:w="7660" w:type="dxa"/>
        <w:jc w:val="center"/>
        <w:tblLook w:val="0000" w:firstRow="0" w:lastRow="0" w:firstColumn="0" w:lastColumn="0" w:noHBand="0" w:noVBand="0"/>
      </w:tblPr>
      <w:tblGrid>
        <w:gridCol w:w="1120"/>
        <w:gridCol w:w="2180"/>
        <w:gridCol w:w="2180"/>
        <w:gridCol w:w="2180"/>
      </w:tblGrid>
      <w:tr w:rsidR="00E30F25" w:rsidRPr="00EC6624">
        <w:trPr>
          <w:trHeight w:val="340"/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09709D">
              <w:rPr>
                <w:b/>
                <w:bCs/>
                <w:sz w:val="20"/>
                <w:szCs w:val="20"/>
              </w:rPr>
              <w:t>Годы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09709D">
              <w:rPr>
                <w:b/>
                <w:bCs/>
                <w:sz w:val="20"/>
                <w:szCs w:val="20"/>
              </w:rPr>
              <w:t>Zгода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09709D">
              <w:rPr>
                <w:b/>
                <w:bCs/>
                <w:sz w:val="20"/>
                <w:szCs w:val="20"/>
              </w:rPr>
              <w:t>∆Z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09709D">
              <w:rPr>
                <w:b/>
                <w:bCs/>
                <w:sz w:val="20"/>
                <w:szCs w:val="20"/>
              </w:rPr>
              <w:t>∆Z</w:t>
            </w:r>
            <w:r w:rsidRPr="0009709D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1996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98,4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-205,8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42353,6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1997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295,6 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-8,6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74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1998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744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439,8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193424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1999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399,4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95,2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9063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67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-237,2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56263,8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2001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239,3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-64,9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4212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2002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597,7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293,5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86142,3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2003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303,7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-0,5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0,3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2004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87,7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-216,5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46872,3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2005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177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-127,2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16179,8</w:t>
            </w:r>
          </w:p>
        </w:tc>
      </w:tr>
      <w:tr w:rsidR="00E30F25" w:rsidRPr="00EC6624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2006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336,7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32,5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1056,3</w:t>
            </w:r>
          </w:p>
        </w:tc>
      </w:tr>
      <w:tr w:rsidR="00E30F25" w:rsidRPr="0009709D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ср.</w:t>
            </w:r>
            <w:r w:rsidRPr="0009709D">
              <w:rPr>
                <w:sz w:val="20"/>
                <w:szCs w:val="20"/>
                <w:lang w:val="en-US"/>
              </w:rPr>
              <w:t>Z</w:t>
            </w:r>
            <w:r w:rsidRPr="0009709D">
              <w:rPr>
                <w:sz w:val="20"/>
                <w:szCs w:val="20"/>
              </w:rPr>
              <w:t>=304,2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F25" w:rsidRPr="0009709D" w:rsidRDefault="00E30F25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∑∆</w:t>
            </w:r>
            <w:r w:rsidRPr="0009709D">
              <w:rPr>
                <w:sz w:val="20"/>
                <w:szCs w:val="20"/>
                <w:lang w:val="en-US"/>
              </w:rPr>
              <w:t>Z</w:t>
            </w:r>
            <w:r w:rsidRPr="0009709D">
              <w:rPr>
                <w:sz w:val="20"/>
                <w:szCs w:val="20"/>
                <w:vertAlign w:val="superscript"/>
              </w:rPr>
              <w:t>2</w:t>
            </w:r>
            <w:r w:rsidRPr="0009709D">
              <w:rPr>
                <w:sz w:val="20"/>
                <w:szCs w:val="20"/>
              </w:rPr>
              <w:t>=455641,4</w:t>
            </w:r>
          </w:p>
        </w:tc>
      </w:tr>
    </w:tbl>
    <w:p w:rsidR="00CE57E6" w:rsidRPr="00EC6624" w:rsidRDefault="00CE57E6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E23103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 xml:space="preserve">Исходя из вышеуказанных данных, рассчитаем среднее квадратичное отклонение </w:t>
      </w:r>
      <w:r w:rsidR="00E23103" w:rsidRPr="00EC6624">
        <w:rPr>
          <w:sz w:val="28"/>
          <w:szCs w:val="28"/>
        </w:rPr>
        <w:t>от медианного показателя заболеваемости:</w: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σ = √ (∑∆</w:t>
      </w: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perscript"/>
        </w:rPr>
        <w:t>2</w:t>
      </w:r>
      <w:r w:rsidRPr="00EC6624">
        <w:rPr>
          <w:sz w:val="28"/>
          <w:szCs w:val="28"/>
        </w:rPr>
        <w:t xml:space="preserve"> ⁄ (</w:t>
      </w:r>
      <w:r w:rsidRPr="00EC6624">
        <w:rPr>
          <w:sz w:val="28"/>
          <w:szCs w:val="28"/>
          <w:lang w:val="en-US"/>
        </w:rPr>
        <w:t>n</w:t>
      </w:r>
      <w:r w:rsidRPr="00EC6624">
        <w:rPr>
          <w:sz w:val="28"/>
          <w:szCs w:val="28"/>
        </w:rPr>
        <w:t xml:space="preserve">-1)), т.к. </w:t>
      </w:r>
      <w:r w:rsidRPr="00EC6624">
        <w:rPr>
          <w:sz w:val="28"/>
          <w:szCs w:val="28"/>
          <w:lang w:val="en-US"/>
        </w:rPr>
        <w:t>n</w:t>
      </w:r>
      <w:r w:rsidRPr="00EC6624">
        <w:rPr>
          <w:sz w:val="28"/>
          <w:szCs w:val="28"/>
        </w:rPr>
        <w:t>&lt;30</w:t>
      </w:r>
      <w:r w:rsidR="00516DF5" w:rsidRPr="00EC6624">
        <w:rPr>
          <w:sz w:val="28"/>
          <w:szCs w:val="28"/>
        </w:rPr>
        <w:t xml:space="preserve"> (</w:t>
      </w:r>
      <w:r w:rsidR="00516DF5" w:rsidRPr="00EC6624">
        <w:rPr>
          <w:sz w:val="28"/>
          <w:szCs w:val="28"/>
          <w:lang w:val="en-US"/>
        </w:rPr>
        <w:t>n</w:t>
      </w:r>
      <w:r w:rsidR="00516DF5" w:rsidRPr="00EC6624">
        <w:rPr>
          <w:sz w:val="28"/>
          <w:szCs w:val="28"/>
        </w:rPr>
        <w:t xml:space="preserve"> – количество членов ряда).</w: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σ = √ (455641,4 ⁄10) ≈ 213,5</w:t>
      </w:r>
      <w:r w:rsidR="007D50B8" w:rsidRPr="00EC6624">
        <w:rPr>
          <w:sz w:val="28"/>
          <w:szCs w:val="28"/>
        </w:rPr>
        <w:t>.</w:t>
      </w:r>
    </w:p>
    <w:p w:rsidR="007D50B8" w:rsidRPr="00EC6624" w:rsidRDefault="007D50B8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 xml:space="preserve">Границы нормы колебаний заболеваемости можно найти методом сигмальных отклонений по формуле: </w:t>
      </w: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</w:rPr>
        <w:t>ср.± 1,5σ.</w:t>
      </w:r>
    </w:p>
    <w:p w:rsidR="007D50B8" w:rsidRPr="00EC6624" w:rsidRDefault="007D50B8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 xml:space="preserve">Верхняя граница нормы (эпидемический порог) = </w:t>
      </w: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</w:rPr>
        <w:t>ср.+1,5σ= 304,2+320,3=624,5.</w:t>
      </w:r>
    </w:p>
    <w:p w:rsidR="007D50B8" w:rsidRPr="00EC6624" w:rsidRDefault="007D50B8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 xml:space="preserve">Нижняя граница нормы = </w:t>
      </w: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</w:rPr>
        <w:t>ср.- 1,5σ= 304,2-320,3=-16,1.</w:t>
      </w:r>
    </w:p>
    <w:p w:rsidR="007D50B8" w:rsidRPr="00EC6624" w:rsidRDefault="007D50B8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b/>
          <w:bCs/>
          <w:sz w:val="28"/>
          <w:szCs w:val="28"/>
        </w:rPr>
        <w:t>График 3</w:t>
      </w:r>
      <w:r w:rsidRPr="00EC6624">
        <w:rPr>
          <w:sz w:val="28"/>
          <w:szCs w:val="28"/>
        </w:rPr>
        <w:t xml:space="preserve"> – </w:t>
      </w:r>
      <w:r w:rsidR="005E66DF" w:rsidRPr="00EC6624">
        <w:rPr>
          <w:sz w:val="28"/>
          <w:szCs w:val="28"/>
        </w:rPr>
        <w:t>Границы нормального колебания заболеваемости:</w:t>
      </w:r>
    </w:p>
    <w:p w:rsidR="00E30F25" w:rsidRPr="00EC6624" w:rsidRDefault="00B80D66" w:rsidP="00EC66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69.75pt;height:309pt">
            <v:imagedata r:id="rId10" o:title=""/>
          </v:shape>
        </w:pic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b/>
          <w:bCs/>
          <w:sz w:val="28"/>
          <w:szCs w:val="28"/>
        </w:rPr>
        <w:t>Вывод</w:t>
      </w:r>
      <w:r w:rsidRPr="00EC6624">
        <w:rPr>
          <w:sz w:val="28"/>
          <w:szCs w:val="28"/>
        </w:rPr>
        <w:t xml:space="preserve">: </w:t>
      </w:r>
      <w:r w:rsidR="00790BB3" w:rsidRPr="00EC6624">
        <w:rPr>
          <w:sz w:val="28"/>
          <w:szCs w:val="28"/>
        </w:rPr>
        <w:t xml:space="preserve">При анализе многолетней динамики заболеваемости скарлатиной (за период с 1996 по 2006г. включительно) в населённом пункте </w:t>
      </w:r>
      <w:r w:rsidR="00790BB3" w:rsidRPr="00EC6624">
        <w:rPr>
          <w:sz w:val="28"/>
          <w:szCs w:val="28"/>
          <w:lang w:val="en-US"/>
        </w:rPr>
        <w:t>L</w:t>
      </w:r>
      <w:r w:rsidR="00790BB3" w:rsidRPr="00EC6624">
        <w:rPr>
          <w:sz w:val="28"/>
          <w:szCs w:val="28"/>
        </w:rPr>
        <w:t xml:space="preserve"> было определено, что за исследованные 11лет заболеваемость колебалась в </w:t>
      </w:r>
      <w:r w:rsidR="00036993" w:rsidRPr="00EC6624">
        <w:rPr>
          <w:sz w:val="28"/>
          <w:szCs w:val="28"/>
        </w:rPr>
        <w:t xml:space="preserve">пределах </w:t>
      </w:r>
      <w:r w:rsidR="00790BB3" w:rsidRPr="00EC6624">
        <w:rPr>
          <w:sz w:val="28"/>
          <w:szCs w:val="28"/>
        </w:rPr>
        <w:t xml:space="preserve">определённых </w:t>
      </w:r>
      <w:r w:rsidR="00036993" w:rsidRPr="00EC6624">
        <w:rPr>
          <w:sz w:val="28"/>
          <w:szCs w:val="28"/>
        </w:rPr>
        <w:t>показателей</w:t>
      </w:r>
      <w:r w:rsidR="00790BB3" w:rsidRPr="00EC6624">
        <w:rPr>
          <w:sz w:val="28"/>
          <w:szCs w:val="28"/>
        </w:rPr>
        <w:t xml:space="preserve">, </w:t>
      </w:r>
      <w:r w:rsidR="00036993" w:rsidRPr="00EC6624">
        <w:rPr>
          <w:sz w:val="28"/>
          <w:szCs w:val="28"/>
        </w:rPr>
        <w:t>верхней границей которых является так называемый эпидемический порог. Была обнаружена одна “выскакивающая величина” в 1998г. (определяющая нерегулярные колебания)</w:t>
      </w:r>
      <w:r w:rsidR="00F37428" w:rsidRPr="00EC6624">
        <w:rPr>
          <w:sz w:val="28"/>
          <w:szCs w:val="28"/>
        </w:rPr>
        <w:t>, следовательно, в этом году была эпидемия скарлатины.</w:t>
      </w:r>
    </w:p>
    <w:p w:rsidR="005C2EFE" w:rsidRPr="00EC6624" w:rsidRDefault="005C2EFE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Для построения типовой кривой заболеваемости скарлатиной в населённом пункте “</w:t>
      </w:r>
      <w:r w:rsidRPr="00EC6624">
        <w:rPr>
          <w:sz w:val="28"/>
          <w:szCs w:val="28"/>
          <w:lang w:val="en-US"/>
        </w:rPr>
        <w:t>L</w:t>
      </w:r>
      <w:r w:rsidRPr="00EC6624">
        <w:rPr>
          <w:sz w:val="28"/>
          <w:szCs w:val="28"/>
        </w:rPr>
        <w:t xml:space="preserve">” с 1996 по 2006г. включительно необходимо рассчитать средние месячные показатели заболеваемости (т.е. </w:t>
      </w: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</w:rPr>
        <w:t xml:space="preserve">ср. каждого месяца за 11лет), которые и будут являться значениями </w:t>
      </w:r>
      <w:r w:rsidR="00FD41D3" w:rsidRPr="00EC6624">
        <w:rPr>
          <w:sz w:val="28"/>
          <w:szCs w:val="28"/>
        </w:rPr>
        <w:t xml:space="preserve">данного </w:t>
      </w:r>
      <w:r w:rsidRPr="00EC6624">
        <w:rPr>
          <w:sz w:val="28"/>
          <w:szCs w:val="28"/>
        </w:rPr>
        <w:t>графика (см. таблицу 5).</w:t>
      </w:r>
    </w:p>
    <w:p w:rsidR="00372411" w:rsidRPr="00EC6624" w:rsidRDefault="00372411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b/>
          <w:bCs/>
          <w:sz w:val="28"/>
          <w:szCs w:val="28"/>
        </w:rPr>
        <w:t>График 4 –</w:t>
      </w:r>
      <w:r w:rsidRPr="00EC6624">
        <w:rPr>
          <w:sz w:val="28"/>
          <w:szCs w:val="28"/>
        </w:rPr>
        <w:t xml:space="preserve"> Типовая кривая внутригодовой заболеваемости:</w:t>
      </w:r>
    </w:p>
    <w:p w:rsidR="006B5845" w:rsidRPr="00EC6624" w:rsidRDefault="00B80D66" w:rsidP="00EC66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401.25pt;height:330pt">
            <v:imagedata r:id="rId11" o:title=""/>
          </v:shape>
        </w:pict>
      </w:r>
    </w:p>
    <w:p w:rsidR="006B5845" w:rsidRPr="00EC6624" w:rsidRDefault="006B5845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E30F25" w:rsidRDefault="00E30F25" w:rsidP="0009709D">
      <w:pPr>
        <w:spacing w:line="360" w:lineRule="auto"/>
        <w:ind w:left="708" w:firstLine="1"/>
        <w:jc w:val="both"/>
        <w:rPr>
          <w:b/>
          <w:bCs/>
          <w:sz w:val="28"/>
          <w:szCs w:val="28"/>
        </w:rPr>
      </w:pPr>
      <w:r w:rsidRPr="00EC6624">
        <w:rPr>
          <w:b/>
          <w:bCs/>
          <w:sz w:val="28"/>
          <w:szCs w:val="28"/>
        </w:rPr>
        <w:t xml:space="preserve">2.Подраздел 1 – Анализ круглогодичной составляющей эпидемического процесса во внутригодовой динамике заболеваемости скарлатиной за период с 1996 по 2006г. включительно в населённом пункте </w:t>
      </w:r>
      <w:r w:rsidR="00505947" w:rsidRPr="00EC6624">
        <w:rPr>
          <w:b/>
          <w:bCs/>
          <w:sz w:val="28"/>
          <w:szCs w:val="28"/>
        </w:rPr>
        <w:t>“</w:t>
      </w:r>
      <w:r w:rsidRPr="00EC6624">
        <w:rPr>
          <w:b/>
          <w:bCs/>
          <w:sz w:val="28"/>
          <w:szCs w:val="28"/>
          <w:lang w:val="en-US"/>
        </w:rPr>
        <w:t>L</w:t>
      </w:r>
      <w:r w:rsidR="00505947" w:rsidRPr="00EC6624">
        <w:rPr>
          <w:b/>
          <w:bCs/>
          <w:sz w:val="28"/>
          <w:szCs w:val="28"/>
        </w:rPr>
        <w:t>”</w:t>
      </w:r>
      <w:r w:rsidRPr="00EC6624">
        <w:rPr>
          <w:b/>
          <w:bCs/>
          <w:sz w:val="28"/>
          <w:szCs w:val="28"/>
        </w:rPr>
        <w:t>.</w:t>
      </w:r>
    </w:p>
    <w:p w:rsidR="0009709D" w:rsidRPr="00EC6624" w:rsidRDefault="0009709D" w:rsidP="0009709D">
      <w:pPr>
        <w:spacing w:line="360" w:lineRule="auto"/>
        <w:ind w:left="708" w:firstLine="1"/>
        <w:jc w:val="both"/>
        <w:rPr>
          <w:b/>
          <w:bCs/>
          <w:sz w:val="28"/>
          <w:szCs w:val="28"/>
        </w:rPr>
      </w:pPr>
    </w:p>
    <w:p w:rsidR="00E032FE" w:rsidRPr="00EC6624" w:rsidRDefault="0034218A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Круглогодичная составляющая эпидемического процесса – это минимальный достаточный уровень заболеваемости, который необходим для сохранения циркуляции возбудителя во внешней среде.</w:t>
      </w:r>
      <w:r w:rsidR="00E032FE" w:rsidRPr="00EC6624">
        <w:rPr>
          <w:sz w:val="28"/>
          <w:szCs w:val="28"/>
        </w:rPr>
        <w:t xml:space="preserve"> Круглогодичная заболеваемость обусловлена воздействием постоянных факторов.</w:t>
      </w:r>
    </w:p>
    <w:p w:rsidR="00E032FE" w:rsidRPr="00EC6624" w:rsidRDefault="00E032FE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Т</w:t>
      </w:r>
      <w:r w:rsidR="00F9382B" w:rsidRPr="00EC6624">
        <w:rPr>
          <w:sz w:val="28"/>
          <w:szCs w:val="28"/>
        </w:rPr>
        <w:t>.о.</w:t>
      </w:r>
      <w:r w:rsidRPr="00EC6624">
        <w:rPr>
          <w:sz w:val="28"/>
          <w:szCs w:val="28"/>
        </w:rPr>
        <w:t xml:space="preserve"> на основании данных таблицы 5, круглогодичный уровень заболеваемости </w:t>
      </w:r>
      <w:r w:rsidR="00D02D19" w:rsidRPr="00EC6624">
        <w:rPr>
          <w:sz w:val="28"/>
          <w:szCs w:val="28"/>
        </w:rPr>
        <w:t>скарлатиной</w:t>
      </w:r>
      <w:r w:rsidRPr="00EC6624">
        <w:rPr>
          <w:sz w:val="28"/>
          <w:szCs w:val="28"/>
        </w:rPr>
        <w:t xml:space="preserve"> в населенном пункте </w:t>
      </w:r>
      <w:r w:rsidR="00D02D19" w:rsidRPr="00EC6624">
        <w:rPr>
          <w:sz w:val="28"/>
          <w:szCs w:val="28"/>
        </w:rPr>
        <w:t>“</w:t>
      </w:r>
      <w:r w:rsidR="00D02D19" w:rsidRPr="00EC6624">
        <w:rPr>
          <w:sz w:val="28"/>
          <w:szCs w:val="28"/>
          <w:lang w:val="en-US"/>
        </w:rPr>
        <w:t>L</w:t>
      </w:r>
      <w:r w:rsidR="00D02D19" w:rsidRPr="00EC6624">
        <w:rPr>
          <w:sz w:val="28"/>
          <w:szCs w:val="28"/>
        </w:rPr>
        <w:t>”</w:t>
      </w:r>
      <w:r w:rsidRPr="00EC6624">
        <w:rPr>
          <w:sz w:val="28"/>
          <w:szCs w:val="28"/>
        </w:rPr>
        <w:t xml:space="preserve"> с 1996 по 2006г</w:t>
      </w:r>
      <w:r w:rsidR="00D02D19" w:rsidRPr="00EC6624">
        <w:rPr>
          <w:sz w:val="28"/>
          <w:szCs w:val="28"/>
        </w:rPr>
        <w:t>.</w:t>
      </w:r>
      <w:r w:rsidRPr="00EC6624">
        <w:rPr>
          <w:sz w:val="28"/>
          <w:szCs w:val="28"/>
        </w:rPr>
        <w:t xml:space="preserve"> составляет </w:t>
      </w:r>
      <w:r w:rsidR="00D02D19" w:rsidRPr="00EC6624">
        <w:rPr>
          <w:sz w:val="28"/>
          <w:szCs w:val="28"/>
        </w:rPr>
        <w:t>5,2</w:t>
      </w:r>
      <w:r w:rsidRPr="00EC6624">
        <w:rPr>
          <w:sz w:val="28"/>
          <w:szCs w:val="28"/>
        </w:rPr>
        <w:t>.</w:t>
      </w:r>
    </w:p>
    <w:p w:rsidR="0009709D" w:rsidRDefault="0009709D" w:rsidP="00EC6624">
      <w:pPr>
        <w:spacing w:line="360" w:lineRule="auto"/>
        <w:ind w:firstLine="709"/>
        <w:jc w:val="both"/>
        <w:rPr>
          <w:sz w:val="28"/>
          <w:szCs w:val="28"/>
        </w:rPr>
        <w:sectPr w:rsidR="0009709D" w:rsidSect="00EC6624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30F25" w:rsidRDefault="00E30F25" w:rsidP="0009709D">
      <w:pPr>
        <w:spacing w:line="360" w:lineRule="auto"/>
        <w:ind w:left="708" w:firstLine="1"/>
        <w:jc w:val="both"/>
        <w:rPr>
          <w:b/>
          <w:bCs/>
          <w:sz w:val="28"/>
          <w:szCs w:val="28"/>
        </w:rPr>
      </w:pPr>
      <w:r w:rsidRPr="00EC6624">
        <w:rPr>
          <w:b/>
          <w:bCs/>
          <w:sz w:val="28"/>
          <w:szCs w:val="28"/>
        </w:rPr>
        <w:t>3.</w:t>
      </w:r>
      <w:r w:rsidR="0009709D">
        <w:rPr>
          <w:b/>
          <w:bCs/>
          <w:sz w:val="28"/>
          <w:szCs w:val="28"/>
        </w:rPr>
        <w:t xml:space="preserve"> </w:t>
      </w:r>
      <w:r w:rsidRPr="00EC6624">
        <w:rPr>
          <w:b/>
          <w:bCs/>
          <w:sz w:val="28"/>
          <w:szCs w:val="28"/>
        </w:rPr>
        <w:t xml:space="preserve">Подраздел 2 – Анализ вспышечной составляющей эпидемического процесса во внутригодовой динамике заболеваемости скарлатиной за период с 1996 по 2006г. включительно в населённом пункте </w:t>
      </w:r>
      <w:r w:rsidR="00505947" w:rsidRPr="00EC6624">
        <w:rPr>
          <w:b/>
          <w:bCs/>
          <w:sz w:val="28"/>
          <w:szCs w:val="28"/>
        </w:rPr>
        <w:t>“</w:t>
      </w:r>
      <w:r w:rsidRPr="00EC6624">
        <w:rPr>
          <w:b/>
          <w:bCs/>
          <w:sz w:val="28"/>
          <w:szCs w:val="28"/>
          <w:lang w:val="en-US"/>
        </w:rPr>
        <w:t>L</w:t>
      </w:r>
      <w:r w:rsidR="00505947" w:rsidRPr="00EC6624">
        <w:rPr>
          <w:b/>
          <w:bCs/>
          <w:sz w:val="28"/>
          <w:szCs w:val="28"/>
        </w:rPr>
        <w:t>”</w:t>
      </w:r>
      <w:r w:rsidRPr="00EC6624">
        <w:rPr>
          <w:b/>
          <w:bCs/>
          <w:sz w:val="28"/>
          <w:szCs w:val="28"/>
        </w:rPr>
        <w:t>.</w:t>
      </w:r>
    </w:p>
    <w:p w:rsidR="0009709D" w:rsidRPr="00EC6624" w:rsidRDefault="0009709D" w:rsidP="0009709D">
      <w:pPr>
        <w:spacing w:line="360" w:lineRule="auto"/>
        <w:ind w:left="708" w:firstLine="1"/>
        <w:jc w:val="both"/>
        <w:rPr>
          <w:b/>
          <w:bCs/>
          <w:sz w:val="28"/>
          <w:szCs w:val="28"/>
        </w:rPr>
      </w:pPr>
    </w:p>
    <w:p w:rsidR="001A7F9F" w:rsidRPr="00EC6624" w:rsidRDefault="00902BE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Вспышечная составляющая – это составляющая эпидемического процесса, которая определяется как выскакивающие показатели заболеваемости за верхнюю границу нормальных колебаний заболеваемости.</w:t>
      </w:r>
      <w:r w:rsidR="001A7F9F" w:rsidRPr="00EC6624">
        <w:rPr>
          <w:sz w:val="28"/>
          <w:szCs w:val="28"/>
        </w:rPr>
        <w:t xml:space="preserve"> Вспышечная составляющая обусловлена нерегулярно воздействующими факторами как во время сезонного подъема, так и в межсезонный период.</w:t>
      </w:r>
    </w:p>
    <w:p w:rsidR="001A7F9F" w:rsidRPr="00EC6624" w:rsidRDefault="001A7F9F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Чтобы рассчитать вспышечную незарегистрированную заболеваемость, нужно сравнить верхнюю границу нормы колебаний заболеваемости с каждым показателем (помесячно). Показатели заболеваемости, превышающие верхнюю границу нормы, определяются как незарегистрированные вспышки.</w:t>
      </w:r>
    </w:p>
    <w:p w:rsidR="00B61F27" w:rsidRPr="00EC6624" w:rsidRDefault="00B61F27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B323CD" w:rsidRPr="00EC6624" w:rsidRDefault="00B323CD" w:rsidP="0009709D">
      <w:pPr>
        <w:spacing w:line="360" w:lineRule="auto"/>
        <w:ind w:left="708" w:firstLine="1"/>
        <w:jc w:val="both"/>
        <w:rPr>
          <w:sz w:val="28"/>
          <w:szCs w:val="28"/>
        </w:rPr>
      </w:pPr>
      <w:r w:rsidRPr="00EC6624">
        <w:rPr>
          <w:b/>
          <w:bCs/>
          <w:sz w:val="28"/>
          <w:szCs w:val="28"/>
        </w:rPr>
        <w:t xml:space="preserve">Таблица 6 - </w:t>
      </w:r>
      <w:r w:rsidRPr="00EC6624">
        <w:rPr>
          <w:sz w:val="28"/>
          <w:szCs w:val="28"/>
        </w:rPr>
        <w:t xml:space="preserve">Определение верхней границы нормальных показателей </w:t>
      </w:r>
      <w:r w:rsidR="007A3802" w:rsidRPr="00EC6624">
        <w:rPr>
          <w:sz w:val="28"/>
          <w:szCs w:val="28"/>
        </w:rPr>
        <w:t xml:space="preserve">многолетней </w:t>
      </w:r>
      <w:r w:rsidRPr="00EC6624">
        <w:rPr>
          <w:sz w:val="28"/>
          <w:szCs w:val="28"/>
        </w:rPr>
        <w:t>заболеваемости</w:t>
      </w:r>
      <w:r w:rsidR="00BF06A3" w:rsidRPr="00EC6624">
        <w:rPr>
          <w:sz w:val="28"/>
          <w:szCs w:val="28"/>
        </w:rPr>
        <w:t xml:space="preserve"> (за январь)</w:t>
      </w:r>
      <w:r w:rsidRPr="00EC6624">
        <w:rPr>
          <w:sz w:val="28"/>
          <w:szCs w:val="28"/>
        </w:rPr>
        <w:t>:</w:t>
      </w:r>
    </w:p>
    <w:tbl>
      <w:tblPr>
        <w:tblW w:w="7660" w:type="dxa"/>
        <w:jc w:val="center"/>
        <w:tblLook w:val="0000" w:firstRow="0" w:lastRow="0" w:firstColumn="0" w:lastColumn="0" w:noHBand="0" w:noVBand="0"/>
      </w:tblPr>
      <w:tblGrid>
        <w:gridCol w:w="1120"/>
        <w:gridCol w:w="2180"/>
        <w:gridCol w:w="2180"/>
        <w:gridCol w:w="2180"/>
      </w:tblGrid>
      <w:tr w:rsidR="00B323CD" w:rsidRPr="0009709D">
        <w:trPr>
          <w:trHeight w:val="340"/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09709D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09709D">
              <w:rPr>
                <w:b/>
                <w:bCs/>
                <w:sz w:val="20"/>
                <w:szCs w:val="20"/>
              </w:rPr>
              <w:t>Z</w:t>
            </w:r>
            <w:r w:rsidRPr="0009709D">
              <w:rPr>
                <w:b/>
                <w:bCs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09709D">
              <w:rPr>
                <w:b/>
                <w:bCs/>
                <w:sz w:val="20"/>
                <w:szCs w:val="20"/>
              </w:rPr>
              <w:t>∆Z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09709D">
              <w:rPr>
                <w:b/>
                <w:bCs/>
                <w:sz w:val="20"/>
                <w:szCs w:val="20"/>
              </w:rPr>
              <w:t>∆Z</w:t>
            </w:r>
            <w:r w:rsidRPr="0009709D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B323CD" w:rsidRPr="0009709D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1996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7,6 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-19,7 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388,1 </w:t>
            </w:r>
          </w:p>
        </w:tc>
      </w:tr>
      <w:tr w:rsidR="00B323CD" w:rsidRPr="0009709D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1997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26,2 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-1,1 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1,2 </w:t>
            </w:r>
          </w:p>
        </w:tc>
      </w:tr>
      <w:tr w:rsidR="00B323CD" w:rsidRPr="0009709D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1998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71,4 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44,1 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1944,8 </w:t>
            </w:r>
          </w:p>
        </w:tc>
      </w:tr>
      <w:tr w:rsidR="00B323CD" w:rsidRPr="0009709D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1999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33,3 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6 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36 </w:t>
            </w:r>
          </w:p>
        </w:tc>
      </w:tr>
      <w:tr w:rsidR="00B323CD" w:rsidRPr="0009709D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3,7 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-23,6 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557 </w:t>
            </w:r>
          </w:p>
        </w:tc>
      </w:tr>
      <w:tr w:rsidR="00B323CD" w:rsidRPr="0009709D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2001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22,4 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-4,9 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24 </w:t>
            </w:r>
          </w:p>
        </w:tc>
      </w:tr>
      <w:tr w:rsidR="00B323CD" w:rsidRPr="0009709D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2002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55,3 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28 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784 </w:t>
            </w:r>
          </w:p>
        </w:tc>
      </w:tr>
      <w:tr w:rsidR="00B323CD" w:rsidRPr="0009709D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2003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33,3 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6 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36 </w:t>
            </w:r>
          </w:p>
        </w:tc>
      </w:tr>
      <w:tr w:rsidR="00B323CD" w:rsidRPr="0009709D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2004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7,3 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-20 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400 </w:t>
            </w:r>
          </w:p>
        </w:tc>
      </w:tr>
      <w:tr w:rsidR="00B323CD" w:rsidRPr="0009709D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2005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11 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-16,4 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265,7 </w:t>
            </w:r>
          </w:p>
        </w:tc>
      </w:tr>
      <w:tr w:rsidR="00B323CD" w:rsidRPr="0009709D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2006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28,9 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1,6 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2,6 </w:t>
            </w:r>
          </w:p>
        </w:tc>
      </w:tr>
      <w:tr w:rsidR="00B323CD" w:rsidRPr="0009709D">
        <w:trPr>
          <w:trHeight w:val="34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ср.</w:t>
            </w:r>
            <w:r w:rsidRPr="0009709D">
              <w:rPr>
                <w:sz w:val="20"/>
                <w:szCs w:val="20"/>
                <w:lang w:val="en-US"/>
              </w:rPr>
              <w:t>Z</w:t>
            </w:r>
            <w:r w:rsidRPr="0009709D">
              <w:rPr>
                <w:sz w:val="20"/>
                <w:szCs w:val="20"/>
              </w:rPr>
              <w:t>=27,3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3CD" w:rsidRPr="0009709D" w:rsidRDefault="00B323CD" w:rsidP="0009709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709D">
              <w:rPr>
                <w:sz w:val="20"/>
                <w:szCs w:val="20"/>
              </w:rPr>
              <w:t>∑∆</w:t>
            </w:r>
            <w:r w:rsidRPr="0009709D">
              <w:rPr>
                <w:sz w:val="20"/>
                <w:szCs w:val="20"/>
                <w:lang w:val="en-US"/>
              </w:rPr>
              <w:t>Z</w:t>
            </w:r>
            <w:r w:rsidRPr="0009709D">
              <w:rPr>
                <w:sz w:val="20"/>
                <w:szCs w:val="20"/>
                <w:vertAlign w:val="superscript"/>
              </w:rPr>
              <w:t>2</w:t>
            </w:r>
            <w:r w:rsidRPr="0009709D">
              <w:rPr>
                <w:sz w:val="20"/>
                <w:szCs w:val="20"/>
              </w:rPr>
              <w:t>=4439,4 </w:t>
            </w:r>
          </w:p>
        </w:tc>
      </w:tr>
    </w:tbl>
    <w:p w:rsidR="00B61F27" w:rsidRPr="0009709D" w:rsidRDefault="00B61F27" w:rsidP="0009709D">
      <w:pPr>
        <w:spacing w:line="360" w:lineRule="auto"/>
        <w:jc w:val="both"/>
        <w:rPr>
          <w:sz w:val="20"/>
          <w:szCs w:val="20"/>
        </w:rPr>
      </w:pP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σ</w:t>
      </w:r>
      <w:r w:rsidRPr="00EC6624">
        <w:rPr>
          <w:sz w:val="28"/>
          <w:szCs w:val="28"/>
          <w:vertAlign w:val="subscript"/>
          <w:lang w:val="en-US"/>
        </w:rPr>
        <w:t>I</w:t>
      </w:r>
      <w:r w:rsidRPr="00EC6624">
        <w:rPr>
          <w:sz w:val="28"/>
          <w:szCs w:val="28"/>
        </w:rPr>
        <w:t xml:space="preserve"> = √ (4439,4/10) ≈ 21,1</w:t>
      </w: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  <w:lang w:val="en-US"/>
        </w:rPr>
        <w:t>I</w:t>
      </w:r>
      <w:r w:rsidRPr="00EC6624">
        <w:rPr>
          <w:sz w:val="28"/>
          <w:szCs w:val="28"/>
        </w:rPr>
        <w:t>+1,5σ</w:t>
      </w:r>
      <w:r w:rsidRPr="00EC6624">
        <w:rPr>
          <w:sz w:val="28"/>
          <w:szCs w:val="28"/>
          <w:vertAlign w:val="subscript"/>
          <w:lang w:val="en-US"/>
        </w:rPr>
        <w:t>I</w:t>
      </w:r>
      <w:r w:rsidRPr="00EC6624">
        <w:rPr>
          <w:sz w:val="28"/>
          <w:szCs w:val="28"/>
        </w:rPr>
        <w:t>=27,3+1,5*21,1 ≈ 59</w:t>
      </w:r>
    </w:p>
    <w:p w:rsidR="008B13C0" w:rsidRPr="00EC6624" w:rsidRDefault="008B13C0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Для определения вспышечной составляющей необходимо из максимального показателя заболеваемости за данный месяц вычесть верхнюю границу колебаний заболеваемости:</w:t>
      </w:r>
    </w:p>
    <w:p w:rsidR="008B13C0" w:rsidRPr="00EC6624" w:rsidRDefault="008B13C0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</w:rPr>
        <w:t>вспыш.</w:t>
      </w:r>
      <w:r w:rsidR="00C749D5" w:rsidRPr="00EC6624">
        <w:rPr>
          <w:sz w:val="28"/>
          <w:szCs w:val="28"/>
          <w:vertAlign w:val="subscript"/>
        </w:rPr>
        <w:t xml:space="preserve"> </w:t>
      </w:r>
      <w:r w:rsidRPr="00EC6624">
        <w:rPr>
          <w:sz w:val="28"/>
          <w:szCs w:val="28"/>
        </w:rPr>
        <w:t>=</w:t>
      </w:r>
      <w:r w:rsidR="00C749D5" w:rsidRPr="00EC6624">
        <w:rPr>
          <w:sz w:val="28"/>
          <w:szCs w:val="28"/>
        </w:rPr>
        <w:t xml:space="preserve"> </w:t>
      </w: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  <w:lang w:val="en-US"/>
        </w:rPr>
        <w:t>max</w:t>
      </w:r>
      <w:r w:rsidRPr="00EC6624">
        <w:rPr>
          <w:sz w:val="28"/>
          <w:szCs w:val="28"/>
        </w:rPr>
        <w:t>-(</w:t>
      </w:r>
      <w:r w:rsidRPr="00EC6624">
        <w:rPr>
          <w:sz w:val="28"/>
          <w:szCs w:val="28"/>
          <w:lang w:val="en-US"/>
        </w:rPr>
        <w:t>ZI</w:t>
      </w:r>
      <w:r w:rsidRPr="00EC6624">
        <w:rPr>
          <w:sz w:val="28"/>
          <w:szCs w:val="28"/>
        </w:rPr>
        <w:t>+1,5</w:t>
      </w:r>
      <w:r w:rsidRPr="00EC6624">
        <w:rPr>
          <w:sz w:val="28"/>
          <w:szCs w:val="28"/>
          <w:lang w:val="en-US"/>
        </w:rPr>
        <w:t>σ</w:t>
      </w:r>
      <w:r w:rsidRPr="00EC6624">
        <w:rPr>
          <w:sz w:val="28"/>
          <w:szCs w:val="28"/>
        </w:rPr>
        <w:t>)</w:t>
      </w:r>
    </w:p>
    <w:p w:rsidR="008B13C0" w:rsidRPr="00EC6624" w:rsidRDefault="00C749D5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</w:rPr>
        <w:t>вспыш.</w:t>
      </w:r>
      <w:r w:rsidR="000239D8" w:rsidRPr="00EC6624">
        <w:rPr>
          <w:sz w:val="28"/>
          <w:szCs w:val="28"/>
          <w:vertAlign w:val="subscript"/>
          <w:lang w:val="en-US"/>
        </w:rPr>
        <w:t>I</w:t>
      </w:r>
      <w:r w:rsidRPr="00EC6624">
        <w:rPr>
          <w:sz w:val="28"/>
          <w:szCs w:val="28"/>
          <w:vertAlign w:val="subscript"/>
        </w:rPr>
        <w:t xml:space="preserve"> </w:t>
      </w:r>
      <w:r w:rsidRPr="00EC6624">
        <w:rPr>
          <w:sz w:val="28"/>
          <w:szCs w:val="28"/>
        </w:rPr>
        <w:t>= 71,4-59 = 12,4</w:t>
      </w: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σ</w:t>
      </w:r>
      <w:r w:rsidRPr="00EC6624">
        <w:rPr>
          <w:sz w:val="28"/>
          <w:szCs w:val="28"/>
          <w:vertAlign w:val="subscript"/>
          <w:lang w:val="en-US"/>
        </w:rPr>
        <w:t>II</w:t>
      </w:r>
      <w:r w:rsidRPr="00EC6624">
        <w:rPr>
          <w:sz w:val="28"/>
          <w:szCs w:val="28"/>
        </w:rPr>
        <w:t xml:space="preserve"> = √ (4487,3/10) ≈ 21,2</w:t>
      </w: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  <w:lang w:val="en-US"/>
        </w:rPr>
        <w:t>II</w:t>
      </w:r>
      <w:r w:rsidRPr="00EC6624">
        <w:rPr>
          <w:sz w:val="28"/>
          <w:szCs w:val="28"/>
        </w:rPr>
        <w:t>+1,5*</w:t>
      </w:r>
      <w:r w:rsidRPr="00EC6624">
        <w:rPr>
          <w:sz w:val="28"/>
          <w:szCs w:val="28"/>
          <w:lang w:val="en-US"/>
        </w:rPr>
        <w:t>σ</w:t>
      </w:r>
      <w:r w:rsidRPr="00EC6624">
        <w:rPr>
          <w:sz w:val="28"/>
          <w:szCs w:val="28"/>
          <w:vertAlign w:val="subscript"/>
          <w:lang w:val="en-US"/>
        </w:rPr>
        <w:t>II</w:t>
      </w:r>
      <w:r w:rsidRPr="00EC6624">
        <w:rPr>
          <w:sz w:val="28"/>
          <w:szCs w:val="28"/>
        </w:rPr>
        <w:t xml:space="preserve"> = 22,6+1,5*21,2 = 54,4</w:t>
      </w:r>
    </w:p>
    <w:p w:rsidR="000239D8" w:rsidRPr="00EC6624" w:rsidRDefault="000239D8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</w:rPr>
        <w:t>вспыш</w:t>
      </w:r>
      <w:r w:rsidRPr="00EC6624">
        <w:rPr>
          <w:sz w:val="28"/>
          <w:szCs w:val="28"/>
          <w:vertAlign w:val="subscript"/>
          <w:lang w:val="en-US"/>
        </w:rPr>
        <w:t>II</w:t>
      </w:r>
      <w:r w:rsidRPr="00EC6624">
        <w:rPr>
          <w:sz w:val="28"/>
          <w:szCs w:val="28"/>
          <w:vertAlign w:val="subscript"/>
        </w:rPr>
        <w:t xml:space="preserve">. </w:t>
      </w:r>
      <w:r w:rsidRPr="00EC6624">
        <w:rPr>
          <w:sz w:val="28"/>
          <w:szCs w:val="28"/>
        </w:rPr>
        <w:t>= 17</w:t>
      </w: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σ</w:t>
      </w:r>
      <w:r w:rsidRPr="00EC6624">
        <w:rPr>
          <w:sz w:val="28"/>
          <w:szCs w:val="28"/>
          <w:vertAlign w:val="subscript"/>
          <w:lang w:val="en-US"/>
        </w:rPr>
        <w:t>III</w:t>
      </w:r>
      <w:r w:rsidRPr="00EC6624">
        <w:rPr>
          <w:sz w:val="28"/>
          <w:szCs w:val="28"/>
        </w:rPr>
        <w:t xml:space="preserve"> = √ (2385/10) ≈ 15,4</w:t>
      </w: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  <w:lang w:val="en-US"/>
        </w:rPr>
        <w:t>III</w:t>
      </w:r>
      <w:r w:rsidRPr="00EC6624">
        <w:rPr>
          <w:sz w:val="28"/>
          <w:szCs w:val="28"/>
        </w:rPr>
        <w:t>+1,5*</w:t>
      </w:r>
      <w:r w:rsidRPr="00EC6624">
        <w:rPr>
          <w:sz w:val="28"/>
          <w:szCs w:val="28"/>
          <w:lang w:val="en-US"/>
        </w:rPr>
        <w:t>σ</w:t>
      </w:r>
      <w:r w:rsidRPr="00EC6624">
        <w:rPr>
          <w:sz w:val="28"/>
          <w:szCs w:val="28"/>
          <w:vertAlign w:val="subscript"/>
          <w:lang w:val="en-US"/>
        </w:rPr>
        <w:t>III</w:t>
      </w:r>
      <w:r w:rsidRPr="00EC6624">
        <w:rPr>
          <w:sz w:val="28"/>
          <w:szCs w:val="28"/>
        </w:rPr>
        <w:t xml:space="preserve"> = 16,6+1,5*15,4 = 39,3</w:t>
      </w:r>
    </w:p>
    <w:p w:rsidR="000239D8" w:rsidRPr="00EC6624" w:rsidRDefault="000239D8" w:rsidP="00EC662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</w:rPr>
        <w:t>вспыш.</w:t>
      </w:r>
      <w:r w:rsidRPr="00EC6624">
        <w:rPr>
          <w:sz w:val="28"/>
          <w:szCs w:val="28"/>
          <w:vertAlign w:val="subscript"/>
          <w:lang w:val="en-US"/>
        </w:rPr>
        <w:t>III</w:t>
      </w:r>
      <w:r w:rsidRPr="00EC6624">
        <w:rPr>
          <w:sz w:val="28"/>
          <w:szCs w:val="28"/>
          <w:vertAlign w:val="subscript"/>
        </w:rPr>
        <w:t xml:space="preserve"> </w:t>
      </w:r>
      <w:r w:rsidRPr="00EC6624">
        <w:rPr>
          <w:sz w:val="28"/>
          <w:szCs w:val="28"/>
        </w:rPr>
        <w:t>=</w:t>
      </w:r>
      <w:r w:rsidRPr="00EC6624">
        <w:rPr>
          <w:sz w:val="28"/>
          <w:szCs w:val="28"/>
          <w:lang w:val="en-US"/>
        </w:rPr>
        <w:t xml:space="preserve"> 13,3</w:t>
      </w: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σ</w:t>
      </w:r>
      <w:r w:rsidRPr="00EC6624">
        <w:rPr>
          <w:sz w:val="28"/>
          <w:szCs w:val="28"/>
          <w:vertAlign w:val="subscript"/>
          <w:lang w:val="en-US"/>
        </w:rPr>
        <w:t>IV</w:t>
      </w:r>
      <w:r w:rsidRPr="00EC6624">
        <w:rPr>
          <w:sz w:val="28"/>
          <w:szCs w:val="28"/>
        </w:rPr>
        <w:t xml:space="preserve"> = √ (841,2/10) ≈ 9,2</w:t>
      </w: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  <w:lang w:val="en-US"/>
        </w:rPr>
        <w:t>IV</w:t>
      </w:r>
      <w:r w:rsidRPr="00EC6624">
        <w:rPr>
          <w:sz w:val="28"/>
          <w:szCs w:val="28"/>
        </w:rPr>
        <w:t>+1,5*</w:t>
      </w:r>
      <w:r w:rsidRPr="00EC6624">
        <w:rPr>
          <w:sz w:val="28"/>
          <w:szCs w:val="28"/>
          <w:lang w:val="en-US"/>
        </w:rPr>
        <w:t>σ</w:t>
      </w:r>
      <w:r w:rsidRPr="00EC6624">
        <w:rPr>
          <w:sz w:val="28"/>
          <w:szCs w:val="28"/>
          <w:vertAlign w:val="subscript"/>
          <w:lang w:val="en-US"/>
        </w:rPr>
        <w:t>IV</w:t>
      </w:r>
      <w:r w:rsidRPr="00EC6624">
        <w:rPr>
          <w:sz w:val="28"/>
          <w:szCs w:val="28"/>
        </w:rPr>
        <w:t xml:space="preserve"> = 11,5+1,5*9,2 = 25,3</w:t>
      </w:r>
    </w:p>
    <w:p w:rsidR="00B323CD" w:rsidRPr="00EC6624" w:rsidRDefault="000239D8" w:rsidP="00EC662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</w:rPr>
        <w:t>вспыш.</w:t>
      </w:r>
      <w:r w:rsidRPr="00EC6624">
        <w:rPr>
          <w:sz w:val="28"/>
          <w:szCs w:val="28"/>
          <w:vertAlign w:val="subscript"/>
          <w:lang w:val="en-US"/>
        </w:rPr>
        <w:t>IV</w:t>
      </w:r>
      <w:r w:rsidRPr="00EC6624">
        <w:rPr>
          <w:sz w:val="28"/>
          <w:szCs w:val="28"/>
          <w:vertAlign w:val="subscript"/>
        </w:rPr>
        <w:t xml:space="preserve"> </w:t>
      </w:r>
      <w:r w:rsidRPr="00EC6624">
        <w:rPr>
          <w:sz w:val="28"/>
          <w:szCs w:val="28"/>
        </w:rPr>
        <w:t>=</w:t>
      </w:r>
      <w:r w:rsidRPr="00EC6624">
        <w:rPr>
          <w:sz w:val="28"/>
          <w:szCs w:val="28"/>
          <w:lang w:val="en-US"/>
        </w:rPr>
        <w:t xml:space="preserve"> 4,7</w:t>
      </w:r>
    </w:p>
    <w:p w:rsidR="000239D8" w:rsidRPr="00EC6624" w:rsidRDefault="000239D8" w:rsidP="00EC662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σ</w:t>
      </w:r>
      <w:r w:rsidRPr="00EC6624">
        <w:rPr>
          <w:sz w:val="28"/>
          <w:szCs w:val="28"/>
          <w:vertAlign w:val="subscript"/>
          <w:lang w:val="en-US"/>
        </w:rPr>
        <w:t>V</w:t>
      </w:r>
      <w:r w:rsidRPr="00EC6624">
        <w:rPr>
          <w:sz w:val="28"/>
          <w:szCs w:val="28"/>
        </w:rPr>
        <w:t xml:space="preserve"> = √ (532,5/10) ≈ 7,3</w:t>
      </w: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  <w:lang w:val="en-US"/>
        </w:rPr>
        <w:t>V</w:t>
      </w:r>
      <w:r w:rsidRPr="00EC6624">
        <w:rPr>
          <w:sz w:val="28"/>
          <w:szCs w:val="28"/>
        </w:rPr>
        <w:t>+1,5*</w:t>
      </w:r>
      <w:r w:rsidRPr="00EC6624">
        <w:rPr>
          <w:sz w:val="28"/>
          <w:szCs w:val="28"/>
          <w:lang w:val="en-US"/>
        </w:rPr>
        <w:t>σ</w:t>
      </w:r>
      <w:r w:rsidRPr="00EC6624">
        <w:rPr>
          <w:sz w:val="28"/>
          <w:szCs w:val="28"/>
          <w:vertAlign w:val="subscript"/>
          <w:lang w:val="en-US"/>
        </w:rPr>
        <w:t>V</w:t>
      </w:r>
      <w:r w:rsidRPr="00EC6624">
        <w:rPr>
          <w:sz w:val="28"/>
          <w:szCs w:val="28"/>
        </w:rPr>
        <w:t xml:space="preserve"> = 9,1+1,5*7,3 ≈ 20,1</w:t>
      </w:r>
    </w:p>
    <w:p w:rsidR="000239D8" w:rsidRPr="00EC6624" w:rsidRDefault="000239D8" w:rsidP="00EC662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</w:rPr>
        <w:t>вспыш.</w:t>
      </w:r>
      <w:r w:rsidRPr="00EC6624">
        <w:rPr>
          <w:sz w:val="28"/>
          <w:szCs w:val="28"/>
          <w:vertAlign w:val="subscript"/>
          <w:lang w:val="en-US"/>
        </w:rPr>
        <w:t>V</w:t>
      </w:r>
      <w:r w:rsidRPr="00EC6624">
        <w:rPr>
          <w:sz w:val="28"/>
          <w:szCs w:val="28"/>
          <w:vertAlign w:val="subscript"/>
        </w:rPr>
        <w:t xml:space="preserve"> </w:t>
      </w:r>
      <w:r w:rsidRPr="00EC6624">
        <w:rPr>
          <w:sz w:val="28"/>
          <w:szCs w:val="28"/>
        </w:rPr>
        <w:t>=</w:t>
      </w:r>
      <w:r w:rsidRPr="00EC6624">
        <w:rPr>
          <w:sz w:val="28"/>
          <w:szCs w:val="28"/>
          <w:lang w:val="en-US"/>
        </w:rPr>
        <w:t xml:space="preserve"> 5,7</w:t>
      </w:r>
    </w:p>
    <w:p w:rsidR="000239D8" w:rsidRPr="00EC6624" w:rsidRDefault="000239D8" w:rsidP="00EC662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σ</w:t>
      </w:r>
      <w:r w:rsidRPr="00EC6624">
        <w:rPr>
          <w:sz w:val="28"/>
          <w:szCs w:val="28"/>
          <w:vertAlign w:val="subscript"/>
          <w:lang w:val="en-US"/>
        </w:rPr>
        <w:t>VI</w:t>
      </w:r>
      <w:r w:rsidRPr="00EC6624">
        <w:rPr>
          <w:sz w:val="28"/>
          <w:szCs w:val="28"/>
        </w:rPr>
        <w:t xml:space="preserve"> = √ (578,7/10) ≈ 7,6</w:t>
      </w: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  <w:lang w:val="en-US"/>
        </w:rPr>
        <w:t>VI</w:t>
      </w:r>
      <w:r w:rsidRPr="00EC6624">
        <w:rPr>
          <w:sz w:val="28"/>
          <w:szCs w:val="28"/>
        </w:rPr>
        <w:t>+1,5*</w:t>
      </w:r>
      <w:r w:rsidRPr="00EC6624">
        <w:rPr>
          <w:sz w:val="28"/>
          <w:szCs w:val="28"/>
          <w:lang w:val="en-US"/>
        </w:rPr>
        <w:t>σ</w:t>
      </w:r>
      <w:r w:rsidRPr="00EC6624">
        <w:rPr>
          <w:sz w:val="28"/>
          <w:szCs w:val="28"/>
          <w:vertAlign w:val="subscript"/>
          <w:lang w:val="en-US"/>
        </w:rPr>
        <w:t>VI</w:t>
      </w:r>
      <w:r w:rsidRPr="00EC6624">
        <w:rPr>
          <w:sz w:val="28"/>
          <w:szCs w:val="28"/>
        </w:rPr>
        <w:t xml:space="preserve"> = 9,8+1,5*7,6 = 21,2</w:t>
      </w:r>
    </w:p>
    <w:p w:rsidR="000239D8" w:rsidRPr="00EC6624" w:rsidRDefault="000239D8" w:rsidP="00EC662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</w:rPr>
        <w:t>вспыш.</w:t>
      </w:r>
      <w:r w:rsidRPr="00EC6624">
        <w:rPr>
          <w:sz w:val="28"/>
          <w:szCs w:val="28"/>
          <w:vertAlign w:val="subscript"/>
          <w:lang w:val="en-US"/>
        </w:rPr>
        <w:t>VI</w:t>
      </w:r>
      <w:r w:rsidRPr="00EC6624">
        <w:rPr>
          <w:sz w:val="28"/>
          <w:szCs w:val="28"/>
          <w:vertAlign w:val="subscript"/>
        </w:rPr>
        <w:t xml:space="preserve"> </w:t>
      </w:r>
      <w:r w:rsidRPr="00EC6624">
        <w:rPr>
          <w:sz w:val="28"/>
          <w:szCs w:val="28"/>
        </w:rPr>
        <w:t>=</w:t>
      </w:r>
      <w:r w:rsidRPr="00EC6624">
        <w:rPr>
          <w:sz w:val="28"/>
          <w:szCs w:val="28"/>
          <w:lang w:val="en-US"/>
        </w:rPr>
        <w:t xml:space="preserve"> 8,3</w:t>
      </w:r>
    </w:p>
    <w:p w:rsidR="000239D8" w:rsidRPr="00EC6624" w:rsidRDefault="000239D8" w:rsidP="00EC662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σ</w:t>
      </w:r>
      <w:r w:rsidRPr="00EC6624">
        <w:rPr>
          <w:sz w:val="28"/>
          <w:szCs w:val="28"/>
          <w:vertAlign w:val="subscript"/>
          <w:lang w:val="en-US"/>
        </w:rPr>
        <w:t>VII</w:t>
      </w:r>
      <w:r w:rsidRPr="00EC6624">
        <w:rPr>
          <w:sz w:val="28"/>
          <w:szCs w:val="28"/>
        </w:rPr>
        <w:t xml:space="preserve"> = √ (923,1/10) ≈ 9,6</w:t>
      </w: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  <w:lang w:val="en-US"/>
        </w:rPr>
        <w:t>VII</w:t>
      </w:r>
      <w:r w:rsidRPr="00EC6624">
        <w:rPr>
          <w:sz w:val="28"/>
          <w:szCs w:val="28"/>
        </w:rPr>
        <w:t>+1,5*</w:t>
      </w:r>
      <w:r w:rsidRPr="00EC6624">
        <w:rPr>
          <w:sz w:val="28"/>
          <w:szCs w:val="28"/>
          <w:lang w:val="en-US"/>
        </w:rPr>
        <w:t>σ</w:t>
      </w:r>
      <w:r w:rsidRPr="00EC6624">
        <w:rPr>
          <w:sz w:val="28"/>
          <w:szCs w:val="28"/>
          <w:vertAlign w:val="subscript"/>
          <w:lang w:val="en-US"/>
        </w:rPr>
        <w:t>VII</w:t>
      </w:r>
      <w:r w:rsidRPr="00EC6624">
        <w:rPr>
          <w:sz w:val="28"/>
          <w:szCs w:val="28"/>
        </w:rPr>
        <w:t xml:space="preserve"> = 13,7+1,5*9,6 = 28,1</w:t>
      </w:r>
    </w:p>
    <w:p w:rsidR="000239D8" w:rsidRPr="00EC6624" w:rsidRDefault="000239D8" w:rsidP="00EC662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</w:rPr>
        <w:t>вспыш.</w:t>
      </w:r>
      <w:r w:rsidRPr="00EC6624">
        <w:rPr>
          <w:sz w:val="28"/>
          <w:szCs w:val="28"/>
          <w:vertAlign w:val="subscript"/>
          <w:lang w:val="en-US"/>
        </w:rPr>
        <w:t>VII</w:t>
      </w:r>
      <w:r w:rsidRPr="00EC6624">
        <w:rPr>
          <w:sz w:val="28"/>
          <w:szCs w:val="28"/>
          <w:vertAlign w:val="subscript"/>
        </w:rPr>
        <w:t xml:space="preserve"> </w:t>
      </w:r>
      <w:r w:rsidRPr="00EC6624">
        <w:rPr>
          <w:sz w:val="28"/>
          <w:szCs w:val="28"/>
        </w:rPr>
        <w:t>=</w:t>
      </w:r>
      <w:r w:rsidRPr="00EC6624">
        <w:rPr>
          <w:sz w:val="28"/>
          <w:szCs w:val="28"/>
          <w:lang w:val="en-US"/>
        </w:rPr>
        <w:t xml:space="preserve"> 7,9</w:t>
      </w: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σ</w:t>
      </w:r>
      <w:r w:rsidRPr="00EC6624">
        <w:rPr>
          <w:sz w:val="28"/>
          <w:szCs w:val="28"/>
          <w:vertAlign w:val="subscript"/>
          <w:lang w:val="en-US"/>
        </w:rPr>
        <w:t>VIII</w:t>
      </w:r>
      <w:r w:rsidRPr="00EC6624">
        <w:rPr>
          <w:sz w:val="28"/>
          <w:szCs w:val="28"/>
        </w:rPr>
        <w:t xml:space="preserve"> = √ (4131,5/10) ≈ 20,3</w:t>
      </w: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  <w:lang w:val="en-US"/>
        </w:rPr>
        <w:t>VIII</w:t>
      </w:r>
      <w:r w:rsidRPr="00EC6624">
        <w:rPr>
          <w:sz w:val="28"/>
          <w:szCs w:val="28"/>
        </w:rPr>
        <w:t>+1,5*</w:t>
      </w:r>
      <w:r w:rsidRPr="00EC6624">
        <w:rPr>
          <w:sz w:val="28"/>
          <w:szCs w:val="28"/>
          <w:lang w:val="en-US"/>
        </w:rPr>
        <w:t>σ</w:t>
      </w:r>
      <w:r w:rsidRPr="00EC6624">
        <w:rPr>
          <w:sz w:val="28"/>
          <w:szCs w:val="28"/>
          <w:vertAlign w:val="subscript"/>
          <w:lang w:val="en-US"/>
        </w:rPr>
        <w:t>VIII</w:t>
      </w:r>
      <w:r w:rsidRPr="00EC6624">
        <w:rPr>
          <w:sz w:val="28"/>
          <w:szCs w:val="28"/>
        </w:rPr>
        <w:t xml:space="preserve"> = 24,2+1,5*20,3 ≈ </w:t>
      </w:r>
      <w:r w:rsidR="009F57E8" w:rsidRPr="00EC6624">
        <w:rPr>
          <w:sz w:val="28"/>
          <w:szCs w:val="28"/>
          <w:lang w:val="en-US"/>
        </w:rPr>
        <w:t>54,7</w:t>
      </w:r>
    </w:p>
    <w:p w:rsidR="009F57E8" w:rsidRPr="00EC6624" w:rsidRDefault="009F57E8" w:rsidP="00EC6624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EC6624">
        <w:rPr>
          <w:b/>
          <w:bCs/>
          <w:sz w:val="28"/>
          <w:szCs w:val="28"/>
          <w:lang w:val="en-US"/>
        </w:rPr>
        <w:t>Z</w:t>
      </w:r>
      <w:r w:rsidRPr="00EC6624">
        <w:rPr>
          <w:b/>
          <w:bCs/>
          <w:sz w:val="28"/>
          <w:szCs w:val="28"/>
          <w:vertAlign w:val="subscript"/>
        </w:rPr>
        <w:t>вспыш.</w:t>
      </w:r>
      <w:r w:rsidRPr="00EC6624">
        <w:rPr>
          <w:b/>
          <w:bCs/>
          <w:sz w:val="28"/>
          <w:szCs w:val="28"/>
          <w:vertAlign w:val="subscript"/>
          <w:lang w:val="en-US"/>
        </w:rPr>
        <w:t>VIII</w:t>
      </w:r>
      <w:r w:rsidRPr="00EC6624">
        <w:rPr>
          <w:b/>
          <w:bCs/>
          <w:sz w:val="28"/>
          <w:szCs w:val="28"/>
          <w:vertAlign w:val="subscript"/>
        </w:rPr>
        <w:t xml:space="preserve"> </w:t>
      </w:r>
      <w:r w:rsidRPr="00EC6624">
        <w:rPr>
          <w:b/>
          <w:bCs/>
          <w:sz w:val="28"/>
          <w:szCs w:val="28"/>
        </w:rPr>
        <w:t>=</w:t>
      </w:r>
      <w:r w:rsidRPr="00EC6624">
        <w:rPr>
          <w:b/>
          <w:bCs/>
          <w:sz w:val="28"/>
          <w:szCs w:val="28"/>
          <w:lang w:val="en-US"/>
        </w:rPr>
        <w:t xml:space="preserve"> 19,1</w:t>
      </w: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σ</w:t>
      </w:r>
      <w:r w:rsidRPr="00EC6624">
        <w:rPr>
          <w:sz w:val="28"/>
          <w:szCs w:val="28"/>
          <w:vertAlign w:val="subscript"/>
          <w:lang w:val="en-US"/>
        </w:rPr>
        <w:t>IX</w:t>
      </w:r>
      <w:r w:rsidRPr="00EC6624">
        <w:rPr>
          <w:sz w:val="28"/>
          <w:szCs w:val="28"/>
        </w:rPr>
        <w:t xml:space="preserve"> = √ (12955,4/10) ≈ 36</w:t>
      </w: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  <w:lang w:val="en-US"/>
        </w:rPr>
        <w:t>IX</w:t>
      </w:r>
      <w:r w:rsidRPr="00EC6624">
        <w:rPr>
          <w:sz w:val="28"/>
          <w:szCs w:val="28"/>
        </w:rPr>
        <w:t>+1,5*</w:t>
      </w:r>
      <w:r w:rsidRPr="00EC6624">
        <w:rPr>
          <w:sz w:val="28"/>
          <w:szCs w:val="28"/>
          <w:lang w:val="en-US"/>
        </w:rPr>
        <w:t>σ</w:t>
      </w:r>
      <w:r w:rsidRPr="00EC6624">
        <w:rPr>
          <w:sz w:val="28"/>
          <w:szCs w:val="28"/>
          <w:vertAlign w:val="subscript"/>
          <w:lang w:val="en-US"/>
        </w:rPr>
        <w:t>IX</w:t>
      </w:r>
      <w:r w:rsidRPr="00EC6624">
        <w:rPr>
          <w:sz w:val="28"/>
          <w:szCs w:val="28"/>
        </w:rPr>
        <w:t xml:space="preserve"> = 43,5+1,5*36 = 97,5</w:t>
      </w:r>
    </w:p>
    <w:p w:rsidR="009F57E8" w:rsidRPr="00EC6624" w:rsidRDefault="009F57E8" w:rsidP="00EC662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</w:rPr>
        <w:t>вспыш.</w:t>
      </w:r>
      <w:r w:rsidRPr="00EC6624">
        <w:rPr>
          <w:sz w:val="28"/>
          <w:szCs w:val="28"/>
          <w:vertAlign w:val="subscript"/>
          <w:lang w:val="en-US"/>
        </w:rPr>
        <w:t>IX</w:t>
      </w:r>
      <w:r w:rsidRPr="00EC6624">
        <w:rPr>
          <w:sz w:val="28"/>
          <w:szCs w:val="28"/>
          <w:vertAlign w:val="subscript"/>
        </w:rPr>
        <w:t xml:space="preserve"> </w:t>
      </w:r>
      <w:r w:rsidRPr="00EC6624">
        <w:rPr>
          <w:sz w:val="28"/>
          <w:szCs w:val="28"/>
        </w:rPr>
        <w:t>=</w:t>
      </w:r>
      <w:r w:rsidRPr="00EC6624">
        <w:rPr>
          <w:sz w:val="28"/>
          <w:szCs w:val="28"/>
          <w:lang w:val="en-US"/>
        </w:rPr>
        <w:t xml:space="preserve"> 9,8</w:t>
      </w: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σ</w:t>
      </w:r>
      <w:r w:rsidRPr="00EC6624">
        <w:rPr>
          <w:sz w:val="28"/>
          <w:szCs w:val="28"/>
          <w:vertAlign w:val="subscript"/>
          <w:lang w:val="en-US"/>
        </w:rPr>
        <w:t>X</w:t>
      </w:r>
      <w:r w:rsidRPr="00EC6624">
        <w:rPr>
          <w:sz w:val="28"/>
          <w:szCs w:val="28"/>
        </w:rPr>
        <w:t xml:space="preserve"> = √ (10640,7/10) ≈ 32,6</w:t>
      </w: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  <w:lang w:val="en-US"/>
        </w:rPr>
        <w:t>X</w:t>
      </w:r>
      <w:r w:rsidRPr="00EC6624">
        <w:rPr>
          <w:sz w:val="28"/>
          <w:szCs w:val="28"/>
        </w:rPr>
        <w:t>+1,5*</w:t>
      </w:r>
      <w:r w:rsidRPr="00EC6624">
        <w:rPr>
          <w:sz w:val="28"/>
          <w:szCs w:val="28"/>
          <w:lang w:val="en-US"/>
        </w:rPr>
        <w:t>σ</w:t>
      </w:r>
      <w:r w:rsidRPr="00EC6624">
        <w:rPr>
          <w:sz w:val="28"/>
          <w:szCs w:val="28"/>
          <w:vertAlign w:val="subscript"/>
          <w:lang w:val="en-US"/>
        </w:rPr>
        <w:t>X</w:t>
      </w:r>
      <w:r w:rsidRPr="00EC6624">
        <w:rPr>
          <w:sz w:val="28"/>
          <w:szCs w:val="28"/>
        </w:rPr>
        <w:t xml:space="preserve"> = 53,9+1,5*32,6 = 102,8</w:t>
      </w:r>
    </w:p>
    <w:p w:rsidR="009F57E8" w:rsidRPr="00EC6624" w:rsidRDefault="009F57E8" w:rsidP="00EC662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</w:rPr>
        <w:t>вспыш.</w:t>
      </w:r>
      <w:r w:rsidRPr="00EC6624">
        <w:rPr>
          <w:sz w:val="28"/>
          <w:szCs w:val="28"/>
          <w:vertAlign w:val="subscript"/>
          <w:lang w:val="en-US"/>
        </w:rPr>
        <w:t>X</w:t>
      </w:r>
      <w:r w:rsidRPr="00EC6624">
        <w:rPr>
          <w:sz w:val="28"/>
          <w:szCs w:val="28"/>
          <w:vertAlign w:val="subscript"/>
        </w:rPr>
        <w:t xml:space="preserve"> </w:t>
      </w:r>
      <w:r w:rsidRPr="00EC6624">
        <w:rPr>
          <w:sz w:val="28"/>
          <w:szCs w:val="28"/>
        </w:rPr>
        <w:t>=</w:t>
      </w:r>
      <w:r w:rsidRPr="00EC6624">
        <w:rPr>
          <w:sz w:val="28"/>
          <w:szCs w:val="28"/>
          <w:lang w:val="en-US"/>
        </w:rPr>
        <w:t xml:space="preserve"> 9,9</w:t>
      </w: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σ</w:t>
      </w:r>
      <w:r w:rsidRPr="00EC6624">
        <w:rPr>
          <w:sz w:val="28"/>
          <w:szCs w:val="28"/>
          <w:vertAlign w:val="subscript"/>
          <w:lang w:val="en-US"/>
        </w:rPr>
        <w:t>XI</w:t>
      </w:r>
      <w:r w:rsidRPr="00EC6624">
        <w:rPr>
          <w:sz w:val="28"/>
          <w:szCs w:val="28"/>
        </w:rPr>
        <w:t xml:space="preserve"> = √ (8047,4/10) ≈ 28,4</w:t>
      </w: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  <w:lang w:val="en-US"/>
        </w:rPr>
        <w:t>XI</w:t>
      </w:r>
      <w:r w:rsidRPr="00EC6624">
        <w:rPr>
          <w:sz w:val="28"/>
          <w:szCs w:val="28"/>
        </w:rPr>
        <w:t>+1,5*</w:t>
      </w:r>
      <w:r w:rsidRPr="00EC6624">
        <w:rPr>
          <w:sz w:val="28"/>
          <w:szCs w:val="28"/>
          <w:lang w:val="en-US"/>
        </w:rPr>
        <w:t>σ</w:t>
      </w:r>
      <w:r w:rsidRPr="00EC6624">
        <w:rPr>
          <w:sz w:val="28"/>
          <w:szCs w:val="28"/>
          <w:vertAlign w:val="subscript"/>
          <w:lang w:val="en-US"/>
        </w:rPr>
        <w:t>XI</w:t>
      </w:r>
      <w:r w:rsidRPr="00EC6624">
        <w:rPr>
          <w:sz w:val="28"/>
          <w:szCs w:val="28"/>
        </w:rPr>
        <w:t xml:space="preserve"> = 39,1+1,5*28,4 = 81,7</w:t>
      </w:r>
    </w:p>
    <w:p w:rsidR="009F57E8" w:rsidRPr="00EC6624" w:rsidRDefault="009F57E8" w:rsidP="00EC6624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EC6624">
        <w:rPr>
          <w:b/>
          <w:bCs/>
          <w:sz w:val="28"/>
          <w:szCs w:val="28"/>
          <w:lang w:val="en-US"/>
        </w:rPr>
        <w:t>Z</w:t>
      </w:r>
      <w:r w:rsidRPr="00EC6624">
        <w:rPr>
          <w:b/>
          <w:bCs/>
          <w:sz w:val="28"/>
          <w:szCs w:val="28"/>
          <w:vertAlign w:val="subscript"/>
        </w:rPr>
        <w:t>вспыш.</w:t>
      </w:r>
      <w:r w:rsidRPr="00EC6624">
        <w:rPr>
          <w:b/>
          <w:bCs/>
          <w:sz w:val="28"/>
          <w:szCs w:val="28"/>
          <w:vertAlign w:val="subscript"/>
          <w:lang w:val="en-US"/>
        </w:rPr>
        <w:t>XI</w:t>
      </w:r>
      <w:r w:rsidRPr="00EC6624">
        <w:rPr>
          <w:b/>
          <w:bCs/>
          <w:sz w:val="28"/>
          <w:szCs w:val="28"/>
          <w:vertAlign w:val="subscript"/>
        </w:rPr>
        <w:t xml:space="preserve"> </w:t>
      </w:r>
      <w:r w:rsidRPr="00EC6624">
        <w:rPr>
          <w:b/>
          <w:bCs/>
          <w:sz w:val="28"/>
          <w:szCs w:val="28"/>
        </w:rPr>
        <w:t>=</w:t>
      </w:r>
      <w:r w:rsidRPr="00EC6624">
        <w:rPr>
          <w:b/>
          <w:bCs/>
          <w:sz w:val="28"/>
          <w:szCs w:val="28"/>
          <w:lang w:val="en-US"/>
        </w:rPr>
        <w:t xml:space="preserve"> 19,8</w:t>
      </w: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σ</w:t>
      </w:r>
      <w:r w:rsidRPr="00EC6624">
        <w:rPr>
          <w:sz w:val="28"/>
          <w:szCs w:val="28"/>
          <w:vertAlign w:val="subscript"/>
          <w:lang w:val="en-US"/>
        </w:rPr>
        <w:t>XII</w:t>
      </w:r>
      <w:r w:rsidRPr="00EC6624">
        <w:rPr>
          <w:sz w:val="28"/>
          <w:szCs w:val="28"/>
        </w:rPr>
        <w:t xml:space="preserve"> = √ (14650,4/10) ≈ 38,3</w:t>
      </w:r>
    </w:p>
    <w:p w:rsidR="00B323CD" w:rsidRPr="00EC6624" w:rsidRDefault="00B323CD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  <w:lang w:val="en-US"/>
        </w:rPr>
        <w:t>XII</w:t>
      </w:r>
      <w:r w:rsidRPr="00EC6624">
        <w:rPr>
          <w:sz w:val="28"/>
          <w:szCs w:val="28"/>
        </w:rPr>
        <w:t>+1,5*</w:t>
      </w:r>
      <w:r w:rsidRPr="00EC6624">
        <w:rPr>
          <w:sz w:val="28"/>
          <w:szCs w:val="28"/>
          <w:lang w:val="en-US"/>
        </w:rPr>
        <w:t>σ</w:t>
      </w:r>
      <w:r w:rsidRPr="00EC6624">
        <w:rPr>
          <w:sz w:val="28"/>
          <w:szCs w:val="28"/>
          <w:vertAlign w:val="subscript"/>
          <w:lang w:val="en-US"/>
        </w:rPr>
        <w:t>XII</w:t>
      </w:r>
      <w:r w:rsidRPr="00EC6624">
        <w:rPr>
          <w:sz w:val="28"/>
          <w:szCs w:val="28"/>
        </w:rPr>
        <w:t xml:space="preserve"> = 33,1+1,5*38,3 ≈ 90,6</w:t>
      </w:r>
    </w:p>
    <w:p w:rsidR="009F57E8" w:rsidRPr="00EC6624" w:rsidRDefault="009F57E8" w:rsidP="00EC662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C6624">
        <w:rPr>
          <w:b/>
          <w:bCs/>
          <w:sz w:val="28"/>
          <w:szCs w:val="28"/>
          <w:lang w:val="en-US"/>
        </w:rPr>
        <w:t>Z</w:t>
      </w:r>
      <w:r w:rsidRPr="00EC6624">
        <w:rPr>
          <w:b/>
          <w:bCs/>
          <w:sz w:val="28"/>
          <w:szCs w:val="28"/>
          <w:vertAlign w:val="subscript"/>
        </w:rPr>
        <w:t>вспыш.</w:t>
      </w:r>
      <w:r w:rsidRPr="00EC6624">
        <w:rPr>
          <w:b/>
          <w:bCs/>
          <w:sz w:val="28"/>
          <w:szCs w:val="28"/>
          <w:vertAlign w:val="subscript"/>
          <w:lang w:val="en-US"/>
        </w:rPr>
        <w:t>XII</w:t>
      </w:r>
      <w:r w:rsidRPr="00EC6624">
        <w:rPr>
          <w:b/>
          <w:bCs/>
          <w:sz w:val="28"/>
          <w:szCs w:val="28"/>
          <w:vertAlign w:val="subscript"/>
        </w:rPr>
        <w:t xml:space="preserve"> </w:t>
      </w:r>
      <w:r w:rsidRPr="00EC6624">
        <w:rPr>
          <w:b/>
          <w:bCs/>
          <w:sz w:val="28"/>
          <w:szCs w:val="28"/>
        </w:rPr>
        <w:t>= 40,9</w:t>
      </w:r>
    </w:p>
    <w:p w:rsidR="00B25305" w:rsidRPr="00EC6624" w:rsidRDefault="00B25305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EB58BB" w:rsidRPr="00EC6624" w:rsidRDefault="00D02541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Т.о.</w:t>
      </w:r>
      <w:r w:rsidR="00B25305" w:rsidRPr="00EC6624">
        <w:rPr>
          <w:sz w:val="28"/>
          <w:szCs w:val="28"/>
        </w:rPr>
        <w:t xml:space="preserve"> с 1996 по 2006 год в населенном пункте “</w:t>
      </w:r>
      <w:r w:rsidR="00B25305" w:rsidRPr="00EC6624">
        <w:rPr>
          <w:sz w:val="28"/>
          <w:szCs w:val="28"/>
          <w:lang w:val="en-US"/>
        </w:rPr>
        <w:t>L</w:t>
      </w:r>
      <w:r w:rsidR="00B25305" w:rsidRPr="00EC6624">
        <w:rPr>
          <w:sz w:val="28"/>
          <w:szCs w:val="28"/>
        </w:rPr>
        <w:t>” наблюдалось 11 вспышек, из которых максимальн</w:t>
      </w:r>
      <w:r w:rsidR="005377C9" w:rsidRPr="00EC6624">
        <w:rPr>
          <w:sz w:val="28"/>
          <w:szCs w:val="28"/>
        </w:rPr>
        <w:t xml:space="preserve">ое превышение границы нормы колебаний заболеваемости </w:t>
      </w:r>
      <w:r w:rsidR="00B25305" w:rsidRPr="00EC6624">
        <w:rPr>
          <w:sz w:val="28"/>
          <w:szCs w:val="28"/>
        </w:rPr>
        <w:t>при</w:t>
      </w:r>
      <w:r w:rsidR="005377C9" w:rsidRPr="00EC6624">
        <w:rPr>
          <w:sz w:val="28"/>
          <w:szCs w:val="28"/>
        </w:rPr>
        <w:t>шлось</w:t>
      </w:r>
      <w:r w:rsidR="00B25305" w:rsidRPr="00EC6624">
        <w:rPr>
          <w:sz w:val="28"/>
          <w:szCs w:val="28"/>
        </w:rPr>
        <w:t xml:space="preserve"> на </w:t>
      </w:r>
      <w:r w:rsidR="007A6887" w:rsidRPr="00EC6624">
        <w:rPr>
          <w:sz w:val="28"/>
          <w:szCs w:val="28"/>
        </w:rPr>
        <w:t>ноябрь 1998</w:t>
      </w:r>
      <w:r w:rsidR="00B25305" w:rsidRPr="00EC6624">
        <w:rPr>
          <w:sz w:val="28"/>
          <w:szCs w:val="28"/>
        </w:rPr>
        <w:t>г</w:t>
      </w:r>
      <w:r w:rsidR="007A6887" w:rsidRPr="00EC6624">
        <w:rPr>
          <w:sz w:val="28"/>
          <w:szCs w:val="28"/>
        </w:rPr>
        <w:t>.</w:t>
      </w:r>
      <w:r w:rsidR="00B25305" w:rsidRPr="00EC6624">
        <w:rPr>
          <w:sz w:val="28"/>
          <w:szCs w:val="28"/>
        </w:rPr>
        <w:t xml:space="preserve"> (</w:t>
      </w:r>
      <w:r w:rsidR="00B25305" w:rsidRPr="00EC6624">
        <w:rPr>
          <w:sz w:val="28"/>
          <w:szCs w:val="28"/>
          <w:lang w:val="en-US"/>
        </w:rPr>
        <w:t>Z</w:t>
      </w:r>
      <w:r w:rsidR="00B25305" w:rsidRPr="00EC6624">
        <w:rPr>
          <w:sz w:val="28"/>
          <w:szCs w:val="28"/>
        </w:rPr>
        <w:t>=</w:t>
      </w:r>
      <w:r w:rsidR="007A6887" w:rsidRPr="00EC6624">
        <w:rPr>
          <w:sz w:val="28"/>
          <w:szCs w:val="28"/>
        </w:rPr>
        <w:t>101,5</w:t>
      </w:r>
      <w:r w:rsidR="00B25305" w:rsidRPr="00EC6624">
        <w:rPr>
          <w:sz w:val="28"/>
          <w:szCs w:val="28"/>
        </w:rPr>
        <w:t xml:space="preserve">), </w:t>
      </w:r>
      <w:r w:rsidR="007A6887" w:rsidRPr="00EC6624">
        <w:rPr>
          <w:sz w:val="28"/>
          <w:szCs w:val="28"/>
        </w:rPr>
        <w:t>декабрь</w:t>
      </w:r>
      <w:r w:rsidR="00B25305" w:rsidRPr="00EC6624">
        <w:rPr>
          <w:sz w:val="28"/>
          <w:szCs w:val="28"/>
        </w:rPr>
        <w:t xml:space="preserve"> 1998г</w:t>
      </w:r>
      <w:r w:rsidR="007A6887" w:rsidRPr="00EC6624">
        <w:rPr>
          <w:sz w:val="28"/>
          <w:szCs w:val="28"/>
        </w:rPr>
        <w:t xml:space="preserve">. </w:t>
      </w:r>
      <w:r w:rsidR="00B25305" w:rsidRPr="00EC6624">
        <w:rPr>
          <w:sz w:val="28"/>
          <w:szCs w:val="28"/>
        </w:rPr>
        <w:t>(</w:t>
      </w:r>
      <w:r w:rsidR="00B25305" w:rsidRPr="00EC6624">
        <w:rPr>
          <w:sz w:val="28"/>
          <w:szCs w:val="28"/>
          <w:lang w:val="en-US"/>
        </w:rPr>
        <w:t>Z</w:t>
      </w:r>
      <w:r w:rsidR="00B25305" w:rsidRPr="00EC6624">
        <w:rPr>
          <w:sz w:val="28"/>
          <w:szCs w:val="28"/>
        </w:rPr>
        <w:t>=</w:t>
      </w:r>
      <w:r w:rsidR="007A6887" w:rsidRPr="00EC6624">
        <w:rPr>
          <w:sz w:val="28"/>
          <w:szCs w:val="28"/>
        </w:rPr>
        <w:t>131,5</w:t>
      </w:r>
      <w:r w:rsidR="00B25305" w:rsidRPr="00EC6624">
        <w:rPr>
          <w:sz w:val="28"/>
          <w:szCs w:val="28"/>
        </w:rPr>
        <w:t xml:space="preserve">) и </w:t>
      </w:r>
      <w:r w:rsidR="007A6887" w:rsidRPr="00EC6624">
        <w:rPr>
          <w:sz w:val="28"/>
          <w:szCs w:val="28"/>
        </w:rPr>
        <w:t>август 2002г.</w:t>
      </w:r>
      <w:r w:rsidR="00B25305" w:rsidRPr="00EC6624">
        <w:rPr>
          <w:sz w:val="28"/>
          <w:szCs w:val="28"/>
        </w:rPr>
        <w:t xml:space="preserve"> (</w:t>
      </w:r>
      <w:r w:rsidR="00B25305" w:rsidRPr="00EC6624">
        <w:rPr>
          <w:sz w:val="28"/>
          <w:szCs w:val="28"/>
          <w:lang w:val="en-US"/>
        </w:rPr>
        <w:t>Z</w:t>
      </w:r>
      <w:r w:rsidR="00B25305" w:rsidRPr="00EC6624">
        <w:rPr>
          <w:sz w:val="28"/>
          <w:szCs w:val="28"/>
        </w:rPr>
        <w:t>=</w:t>
      </w:r>
      <w:r w:rsidR="007A6887" w:rsidRPr="00EC6624">
        <w:rPr>
          <w:sz w:val="28"/>
          <w:szCs w:val="28"/>
        </w:rPr>
        <w:t>73,8</w:t>
      </w:r>
      <w:r w:rsidR="00EB58BB" w:rsidRPr="00EC6624">
        <w:rPr>
          <w:sz w:val="28"/>
          <w:szCs w:val="28"/>
        </w:rPr>
        <w:t>).</w:t>
      </w:r>
    </w:p>
    <w:p w:rsidR="00B25305" w:rsidRPr="00EC6624" w:rsidRDefault="00B25305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Сделав обратный перерасчет по формуле:</w:t>
      </w:r>
    </w:p>
    <w:p w:rsidR="00B25305" w:rsidRPr="00EC6624" w:rsidRDefault="00B25305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 xml:space="preserve">А= </w:t>
      </w:r>
      <w:r w:rsidRPr="00EC6624">
        <w:rPr>
          <w:sz w:val="28"/>
          <w:szCs w:val="28"/>
          <w:lang w:val="en-US"/>
        </w:rPr>
        <w:t>Z</w:t>
      </w:r>
      <w:r w:rsidRPr="00EC6624">
        <w:rPr>
          <w:sz w:val="28"/>
          <w:szCs w:val="28"/>
          <w:vertAlign w:val="subscript"/>
        </w:rPr>
        <w:t>вспыш.</w:t>
      </w:r>
      <w:r w:rsidR="00EB58BB" w:rsidRPr="00EC6624">
        <w:rPr>
          <w:sz w:val="28"/>
          <w:szCs w:val="28"/>
        </w:rPr>
        <w:t>*</w:t>
      </w:r>
      <w:r w:rsidRPr="00EC6624">
        <w:rPr>
          <w:sz w:val="28"/>
          <w:szCs w:val="28"/>
          <w:lang w:val="en-US"/>
        </w:rPr>
        <w:t>N</w:t>
      </w:r>
      <w:r w:rsidRPr="00EC6624">
        <w:rPr>
          <w:sz w:val="28"/>
          <w:szCs w:val="28"/>
        </w:rPr>
        <w:t>/10</w:t>
      </w:r>
      <w:r w:rsidR="007435E4" w:rsidRPr="00EC6624">
        <w:rPr>
          <w:sz w:val="28"/>
          <w:szCs w:val="28"/>
          <w:vertAlign w:val="superscript"/>
        </w:rPr>
        <w:t>5</w:t>
      </w:r>
      <w:r w:rsidRPr="00EC6624">
        <w:rPr>
          <w:sz w:val="28"/>
          <w:szCs w:val="28"/>
        </w:rPr>
        <w:t>,</w:t>
      </w:r>
    </w:p>
    <w:p w:rsidR="00B25305" w:rsidRPr="00EC6624" w:rsidRDefault="00B25305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можно определить число заболеваний, участвовавших во вспышке.</w:t>
      </w:r>
    </w:p>
    <w:p w:rsidR="00536B81" w:rsidRPr="00EC6624" w:rsidRDefault="00536B81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 xml:space="preserve">1998г. – </w:t>
      </w:r>
      <w:r w:rsidRPr="00EC6624">
        <w:rPr>
          <w:sz w:val="28"/>
          <w:szCs w:val="28"/>
          <w:lang w:val="en-US"/>
        </w:rPr>
        <w:t>XI</w:t>
      </w:r>
      <w:r w:rsidRPr="00EC6624">
        <w:rPr>
          <w:sz w:val="28"/>
          <w:szCs w:val="28"/>
        </w:rPr>
        <w:t>:</w:t>
      </w:r>
      <w:r w:rsidR="007435E4" w:rsidRPr="00EC6624">
        <w:rPr>
          <w:sz w:val="28"/>
          <w:szCs w:val="28"/>
        </w:rPr>
        <w:t xml:space="preserve"> А </w:t>
      </w:r>
      <w:r w:rsidR="00CF7716" w:rsidRPr="00EC6624">
        <w:rPr>
          <w:sz w:val="28"/>
          <w:szCs w:val="28"/>
        </w:rPr>
        <w:t>≈</w:t>
      </w:r>
      <w:r w:rsidR="007435E4" w:rsidRPr="00EC6624">
        <w:rPr>
          <w:sz w:val="28"/>
          <w:szCs w:val="28"/>
        </w:rPr>
        <w:t xml:space="preserve"> </w:t>
      </w:r>
      <w:r w:rsidR="00CF7716" w:rsidRPr="00EC6624">
        <w:rPr>
          <w:sz w:val="28"/>
          <w:szCs w:val="28"/>
        </w:rPr>
        <w:t>5</w:t>
      </w:r>
    </w:p>
    <w:p w:rsidR="00536B81" w:rsidRPr="00EC6624" w:rsidRDefault="00536B81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 xml:space="preserve">1998гю – </w:t>
      </w:r>
      <w:r w:rsidRPr="00EC6624">
        <w:rPr>
          <w:sz w:val="28"/>
          <w:szCs w:val="28"/>
          <w:lang w:val="en-US"/>
        </w:rPr>
        <w:t>XII</w:t>
      </w:r>
      <w:r w:rsidRPr="00EC6624">
        <w:rPr>
          <w:sz w:val="28"/>
          <w:szCs w:val="28"/>
        </w:rPr>
        <w:t>:</w:t>
      </w:r>
      <w:r w:rsidR="00CF7716" w:rsidRPr="00EC6624">
        <w:rPr>
          <w:sz w:val="28"/>
          <w:szCs w:val="28"/>
        </w:rPr>
        <w:t xml:space="preserve"> А ≈ 5</w:t>
      </w:r>
    </w:p>
    <w:p w:rsidR="00536B81" w:rsidRPr="00EC6624" w:rsidRDefault="00536B81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 xml:space="preserve">2002г. – </w:t>
      </w:r>
      <w:r w:rsidRPr="00EC6624">
        <w:rPr>
          <w:sz w:val="28"/>
          <w:szCs w:val="28"/>
          <w:lang w:val="en-US"/>
        </w:rPr>
        <w:t>VIII</w:t>
      </w:r>
      <w:r w:rsidRPr="00EC6624">
        <w:rPr>
          <w:sz w:val="28"/>
          <w:szCs w:val="28"/>
        </w:rPr>
        <w:t>:</w:t>
      </w:r>
      <w:r w:rsidR="00CF7716" w:rsidRPr="00EC6624">
        <w:rPr>
          <w:sz w:val="28"/>
          <w:szCs w:val="28"/>
        </w:rPr>
        <w:t xml:space="preserve"> А ≈ 11</w:t>
      </w:r>
    </w:p>
    <w:p w:rsidR="00B25305" w:rsidRPr="00EC6624" w:rsidRDefault="00B25305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Т</w:t>
      </w:r>
      <w:r w:rsidR="004A0E20" w:rsidRPr="00EC6624">
        <w:rPr>
          <w:sz w:val="28"/>
          <w:szCs w:val="28"/>
        </w:rPr>
        <w:t>.о.</w:t>
      </w:r>
      <w:r w:rsidR="00125904" w:rsidRPr="00EC6624">
        <w:rPr>
          <w:sz w:val="28"/>
          <w:szCs w:val="28"/>
        </w:rPr>
        <w:t>:</w:t>
      </w:r>
      <w:r w:rsidRPr="00EC6624">
        <w:rPr>
          <w:sz w:val="28"/>
          <w:szCs w:val="28"/>
        </w:rPr>
        <w:t xml:space="preserve"> в </w:t>
      </w:r>
      <w:r w:rsidR="009C6EEF" w:rsidRPr="00EC6624">
        <w:rPr>
          <w:sz w:val="28"/>
          <w:szCs w:val="28"/>
        </w:rPr>
        <w:t>ноябре</w:t>
      </w:r>
      <w:r w:rsidRPr="00EC6624">
        <w:rPr>
          <w:sz w:val="28"/>
          <w:szCs w:val="28"/>
        </w:rPr>
        <w:t xml:space="preserve"> 1998г</w:t>
      </w:r>
      <w:r w:rsidR="009C6EEF" w:rsidRPr="00EC6624">
        <w:rPr>
          <w:sz w:val="28"/>
          <w:szCs w:val="28"/>
        </w:rPr>
        <w:t>.</w:t>
      </w:r>
      <w:r w:rsidRPr="00EC6624">
        <w:rPr>
          <w:sz w:val="28"/>
          <w:szCs w:val="28"/>
        </w:rPr>
        <w:t xml:space="preserve"> во вспышке участвовало 5 заболеваний, в </w:t>
      </w:r>
      <w:r w:rsidR="009C6EEF" w:rsidRPr="00EC6624">
        <w:rPr>
          <w:sz w:val="28"/>
          <w:szCs w:val="28"/>
        </w:rPr>
        <w:t>декабре</w:t>
      </w:r>
      <w:r w:rsidRPr="00EC6624">
        <w:rPr>
          <w:sz w:val="28"/>
          <w:szCs w:val="28"/>
        </w:rPr>
        <w:t xml:space="preserve"> 1998г</w:t>
      </w:r>
      <w:r w:rsidR="009C6EEF" w:rsidRPr="00EC6624">
        <w:rPr>
          <w:sz w:val="28"/>
          <w:szCs w:val="28"/>
        </w:rPr>
        <w:t>.</w:t>
      </w:r>
      <w:r w:rsidRPr="00EC6624">
        <w:rPr>
          <w:sz w:val="28"/>
          <w:szCs w:val="28"/>
        </w:rPr>
        <w:t xml:space="preserve"> – </w:t>
      </w:r>
      <w:r w:rsidR="009C6EEF" w:rsidRPr="00EC6624">
        <w:rPr>
          <w:sz w:val="28"/>
          <w:szCs w:val="28"/>
        </w:rPr>
        <w:t>5</w:t>
      </w:r>
      <w:r w:rsidRPr="00EC6624">
        <w:rPr>
          <w:sz w:val="28"/>
          <w:szCs w:val="28"/>
        </w:rPr>
        <w:t xml:space="preserve"> заболеваний, в </w:t>
      </w:r>
      <w:r w:rsidR="009C6EEF" w:rsidRPr="00EC6624">
        <w:rPr>
          <w:sz w:val="28"/>
          <w:szCs w:val="28"/>
        </w:rPr>
        <w:t>августе 2002</w:t>
      </w:r>
      <w:r w:rsidRPr="00EC6624">
        <w:rPr>
          <w:sz w:val="28"/>
          <w:szCs w:val="28"/>
        </w:rPr>
        <w:t>г</w:t>
      </w:r>
      <w:r w:rsidR="009C6EEF" w:rsidRPr="00EC6624">
        <w:rPr>
          <w:sz w:val="28"/>
          <w:szCs w:val="28"/>
        </w:rPr>
        <w:t>.</w:t>
      </w:r>
      <w:r w:rsidRPr="00EC6624">
        <w:rPr>
          <w:sz w:val="28"/>
          <w:szCs w:val="28"/>
        </w:rPr>
        <w:t xml:space="preserve"> – </w:t>
      </w:r>
      <w:r w:rsidR="001D026D" w:rsidRPr="00EC6624">
        <w:rPr>
          <w:sz w:val="28"/>
          <w:szCs w:val="28"/>
        </w:rPr>
        <w:t>11</w:t>
      </w:r>
      <w:r w:rsidRPr="00EC6624">
        <w:rPr>
          <w:sz w:val="28"/>
          <w:szCs w:val="28"/>
        </w:rPr>
        <w:t xml:space="preserve"> заболеваний.</w:t>
      </w:r>
    </w:p>
    <w:p w:rsidR="00E30F25" w:rsidRPr="00EC6624" w:rsidRDefault="00E30F25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F23473" w:rsidRPr="00EC6624" w:rsidRDefault="00101BD6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b/>
          <w:bCs/>
          <w:sz w:val="28"/>
          <w:szCs w:val="28"/>
        </w:rPr>
        <w:t>График 5</w:t>
      </w:r>
      <w:r w:rsidRPr="00EC6624">
        <w:rPr>
          <w:sz w:val="28"/>
          <w:szCs w:val="28"/>
        </w:rPr>
        <w:t xml:space="preserve"> – </w:t>
      </w:r>
      <w:r w:rsidR="00110678" w:rsidRPr="00EC6624">
        <w:rPr>
          <w:sz w:val="28"/>
          <w:szCs w:val="28"/>
        </w:rPr>
        <w:t>Пространственное соотношение</w:t>
      </w:r>
      <w:r w:rsidR="002F4E51" w:rsidRPr="00EC6624">
        <w:rPr>
          <w:sz w:val="28"/>
          <w:szCs w:val="28"/>
        </w:rPr>
        <w:t xml:space="preserve"> к</w:t>
      </w:r>
      <w:r w:rsidRPr="00EC6624">
        <w:rPr>
          <w:sz w:val="28"/>
          <w:szCs w:val="28"/>
        </w:rPr>
        <w:t>руглогодичн</w:t>
      </w:r>
      <w:r w:rsidR="002F4E51" w:rsidRPr="00EC6624">
        <w:rPr>
          <w:sz w:val="28"/>
          <w:szCs w:val="28"/>
        </w:rPr>
        <w:t>ой</w:t>
      </w:r>
      <w:r w:rsidRPr="00EC6624">
        <w:rPr>
          <w:sz w:val="28"/>
          <w:szCs w:val="28"/>
        </w:rPr>
        <w:t>, сезонн</w:t>
      </w:r>
      <w:r w:rsidR="002F4E51" w:rsidRPr="00EC6624">
        <w:rPr>
          <w:sz w:val="28"/>
          <w:szCs w:val="28"/>
        </w:rPr>
        <w:t>ой</w:t>
      </w:r>
      <w:r w:rsidRPr="00EC6624">
        <w:rPr>
          <w:sz w:val="28"/>
          <w:szCs w:val="28"/>
        </w:rPr>
        <w:t xml:space="preserve"> и вспышечн</w:t>
      </w:r>
      <w:r w:rsidR="002F4E51" w:rsidRPr="00EC6624">
        <w:rPr>
          <w:sz w:val="28"/>
          <w:szCs w:val="28"/>
        </w:rPr>
        <w:t>ой</w:t>
      </w:r>
      <w:r w:rsidRPr="00EC6624">
        <w:rPr>
          <w:sz w:val="28"/>
          <w:szCs w:val="28"/>
        </w:rPr>
        <w:t xml:space="preserve"> составляющи</w:t>
      </w:r>
      <w:r w:rsidR="002F4E51" w:rsidRPr="00EC6624">
        <w:rPr>
          <w:sz w:val="28"/>
          <w:szCs w:val="28"/>
        </w:rPr>
        <w:t>х</w:t>
      </w:r>
      <w:r w:rsidRPr="00EC6624">
        <w:rPr>
          <w:sz w:val="28"/>
          <w:szCs w:val="28"/>
        </w:rPr>
        <w:t xml:space="preserve"> заболеваемости:</w:t>
      </w:r>
    </w:p>
    <w:p w:rsidR="00ED4F83" w:rsidRPr="00EC6624" w:rsidRDefault="00B80D66" w:rsidP="00EC66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311.25pt;height:221.25pt">
            <v:imagedata r:id="rId12" o:title=""/>
          </v:shape>
        </w:pict>
      </w:r>
    </w:p>
    <w:p w:rsidR="007A2AB2" w:rsidRPr="00EC6624" w:rsidRDefault="007A2AB2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7A2AB2" w:rsidRPr="00EC6624" w:rsidRDefault="007A2AB2" w:rsidP="00EC6624">
      <w:pPr>
        <w:spacing w:line="360" w:lineRule="auto"/>
        <w:ind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Объёмный вариант:</w:t>
      </w:r>
    </w:p>
    <w:p w:rsidR="00F23473" w:rsidRPr="00EC6624" w:rsidRDefault="00B80D66" w:rsidP="00EC66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438pt;height:287.25pt">
            <v:imagedata r:id="rId13" o:title=""/>
          </v:shape>
        </w:pict>
      </w:r>
    </w:p>
    <w:p w:rsidR="00F23473" w:rsidRPr="00EC6624" w:rsidRDefault="00F23473" w:rsidP="00EC6624">
      <w:pPr>
        <w:spacing w:line="360" w:lineRule="auto"/>
        <w:ind w:firstLine="709"/>
        <w:jc w:val="both"/>
        <w:rPr>
          <w:sz w:val="28"/>
          <w:szCs w:val="28"/>
        </w:rPr>
      </w:pPr>
    </w:p>
    <w:p w:rsidR="00E30F25" w:rsidRDefault="00E30F25" w:rsidP="0009709D">
      <w:pPr>
        <w:spacing w:line="360" w:lineRule="auto"/>
        <w:ind w:left="708" w:firstLine="1"/>
        <w:jc w:val="both"/>
        <w:rPr>
          <w:b/>
          <w:bCs/>
          <w:sz w:val="28"/>
          <w:szCs w:val="28"/>
        </w:rPr>
      </w:pPr>
      <w:r w:rsidRPr="00EC6624">
        <w:rPr>
          <w:b/>
          <w:bCs/>
          <w:sz w:val="28"/>
          <w:szCs w:val="28"/>
        </w:rPr>
        <w:t xml:space="preserve">4.Подраздел 3 – Оценка сезонной составляющей эпидемического процесса во внутригодовой динамике заболеваемости скарлатиной за период с 1996 по 2006г. включительно в населённом пункте </w:t>
      </w:r>
      <w:r w:rsidR="00505947" w:rsidRPr="00EC6624">
        <w:rPr>
          <w:b/>
          <w:bCs/>
          <w:sz w:val="28"/>
          <w:szCs w:val="28"/>
        </w:rPr>
        <w:t>“</w:t>
      </w:r>
      <w:r w:rsidRPr="00EC6624">
        <w:rPr>
          <w:b/>
          <w:bCs/>
          <w:sz w:val="28"/>
          <w:szCs w:val="28"/>
          <w:lang w:val="en-US"/>
        </w:rPr>
        <w:t>L</w:t>
      </w:r>
      <w:r w:rsidR="00505947" w:rsidRPr="00EC6624">
        <w:rPr>
          <w:b/>
          <w:bCs/>
          <w:sz w:val="28"/>
          <w:szCs w:val="28"/>
        </w:rPr>
        <w:t>”</w:t>
      </w:r>
      <w:r w:rsidRPr="00EC6624">
        <w:rPr>
          <w:b/>
          <w:bCs/>
          <w:sz w:val="28"/>
          <w:szCs w:val="28"/>
        </w:rPr>
        <w:t>.</w:t>
      </w:r>
    </w:p>
    <w:p w:rsidR="0009709D" w:rsidRPr="00EC6624" w:rsidRDefault="0009709D" w:rsidP="0009709D">
      <w:pPr>
        <w:spacing w:line="360" w:lineRule="auto"/>
        <w:ind w:left="708" w:firstLine="1"/>
        <w:jc w:val="both"/>
        <w:rPr>
          <w:b/>
          <w:bCs/>
          <w:sz w:val="28"/>
          <w:szCs w:val="28"/>
        </w:rPr>
      </w:pPr>
    </w:p>
    <w:p w:rsidR="00A153E6" w:rsidRPr="00EC6624" w:rsidRDefault="00A153E6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Показатель сезонности показывает ту часть заболеваемости, которая приходится на месяцы сезонного подъема от общей суммы всех заболеваний, зарегистрированных за 11 лет.</w:t>
      </w:r>
      <w:r w:rsidR="00567B46" w:rsidRPr="00EC6624">
        <w:rPr>
          <w:sz w:val="28"/>
          <w:szCs w:val="28"/>
        </w:rPr>
        <w:t xml:space="preserve"> Чтобы определить месяцы сезонного подъёма, необходимо найти отношение каждого из показателей типовой кривой к предыдущему месяцу.</w:t>
      </w:r>
    </w:p>
    <w:p w:rsidR="003A0689" w:rsidRPr="00EC6624" w:rsidRDefault="003A0689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Т.о., исходя из данных графика 4 (типовая кривая внутригодовой заболеваемости), можно сделать вывод, что месяцами сезонного подъёма заболеваемости скарлатиной в населённом пункте “</w:t>
      </w:r>
      <w:r w:rsidRPr="00EC6624">
        <w:rPr>
          <w:sz w:val="28"/>
          <w:szCs w:val="28"/>
          <w:lang w:val="en-US"/>
        </w:rPr>
        <w:t>L</w:t>
      </w:r>
      <w:r w:rsidRPr="00EC6624">
        <w:rPr>
          <w:sz w:val="28"/>
          <w:szCs w:val="28"/>
        </w:rPr>
        <w:t>” являются июль, август, сентябрь и октябрь.</w:t>
      </w:r>
    </w:p>
    <w:p w:rsidR="003D7373" w:rsidRPr="00EC6624" w:rsidRDefault="003D7373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 xml:space="preserve">Для определения сезонной составляющей эпидемического процесса </w:t>
      </w:r>
      <w:r w:rsidR="008A0B37" w:rsidRPr="00EC6624">
        <w:rPr>
          <w:sz w:val="28"/>
          <w:szCs w:val="28"/>
        </w:rPr>
        <w:t>необходимо</w:t>
      </w:r>
      <w:r w:rsidRPr="00EC6624">
        <w:rPr>
          <w:sz w:val="28"/>
          <w:szCs w:val="28"/>
        </w:rPr>
        <w:t xml:space="preserve"> рассчитать по</w:t>
      </w:r>
      <w:r w:rsidR="008A0B37" w:rsidRPr="00EC6624">
        <w:rPr>
          <w:sz w:val="28"/>
          <w:szCs w:val="28"/>
        </w:rPr>
        <w:t>казатель сезонности:</w:t>
      </w:r>
    </w:p>
    <w:p w:rsidR="003D7373" w:rsidRPr="00EC6624" w:rsidRDefault="003D7373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К</w:t>
      </w:r>
      <w:r w:rsidRPr="00EC6624">
        <w:rPr>
          <w:sz w:val="28"/>
          <w:szCs w:val="28"/>
          <w:vertAlign w:val="subscript"/>
        </w:rPr>
        <w:t xml:space="preserve">с </w:t>
      </w:r>
      <w:r w:rsidRPr="00EC6624">
        <w:rPr>
          <w:sz w:val="28"/>
          <w:szCs w:val="28"/>
        </w:rPr>
        <w:t xml:space="preserve">= </w:t>
      </w:r>
      <w:r w:rsidR="008A0B37" w:rsidRPr="00EC6624">
        <w:rPr>
          <w:sz w:val="28"/>
          <w:szCs w:val="28"/>
        </w:rPr>
        <w:t>(</w:t>
      </w:r>
      <w:r w:rsidRPr="00EC6624">
        <w:rPr>
          <w:sz w:val="28"/>
          <w:szCs w:val="28"/>
          <w:lang w:val="en-US"/>
        </w:rPr>
        <w:t>Σ</w:t>
      </w:r>
      <w:r w:rsidRPr="00EC6624">
        <w:rPr>
          <w:sz w:val="28"/>
          <w:szCs w:val="28"/>
        </w:rPr>
        <w:t>А</w:t>
      </w:r>
      <w:r w:rsidRPr="00EC6624">
        <w:rPr>
          <w:sz w:val="28"/>
          <w:szCs w:val="28"/>
          <w:vertAlign w:val="subscript"/>
        </w:rPr>
        <w:t>в месяцы сезонного подъема</w:t>
      </w:r>
      <w:r w:rsidRPr="00EC6624">
        <w:rPr>
          <w:sz w:val="28"/>
          <w:szCs w:val="28"/>
        </w:rPr>
        <w:t xml:space="preserve">/ </w:t>
      </w:r>
      <w:r w:rsidRPr="00EC6624">
        <w:rPr>
          <w:sz w:val="28"/>
          <w:szCs w:val="28"/>
          <w:lang w:val="en-US"/>
        </w:rPr>
        <w:t>Σ</w:t>
      </w:r>
      <w:r w:rsidRPr="00EC6624">
        <w:rPr>
          <w:sz w:val="28"/>
          <w:szCs w:val="28"/>
        </w:rPr>
        <w:t>А</w:t>
      </w:r>
      <w:r w:rsidRPr="00EC6624">
        <w:rPr>
          <w:sz w:val="28"/>
          <w:szCs w:val="28"/>
          <w:vertAlign w:val="subscript"/>
        </w:rPr>
        <w:t>за 11 лет</w:t>
      </w:r>
      <w:r w:rsidR="008A0B37" w:rsidRPr="00EC6624">
        <w:rPr>
          <w:sz w:val="28"/>
          <w:szCs w:val="28"/>
        </w:rPr>
        <w:t>)*</w:t>
      </w:r>
      <w:r w:rsidRPr="00EC6624">
        <w:rPr>
          <w:sz w:val="28"/>
          <w:szCs w:val="28"/>
        </w:rPr>
        <w:t>100%</w:t>
      </w:r>
    </w:p>
    <w:p w:rsidR="003D7373" w:rsidRPr="00EC6624" w:rsidRDefault="003D7373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Σ</w:t>
      </w:r>
      <w:r w:rsidRPr="00EC6624">
        <w:rPr>
          <w:sz w:val="28"/>
          <w:szCs w:val="28"/>
        </w:rPr>
        <w:t>А</w:t>
      </w:r>
      <w:r w:rsidRPr="00EC6624">
        <w:rPr>
          <w:sz w:val="28"/>
          <w:szCs w:val="28"/>
          <w:vertAlign w:val="subscript"/>
        </w:rPr>
        <w:t>в месяцы сезонного подъема</w:t>
      </w:r>
      <w:r w:rsidR="00543AB7" w:rsidRPr="00EC6624">
        <w:rPr>
          <w:sz w:val="28"/>
          <w:szCs w:val="28"/>
          <w:vertAlign w:val="subscript"/>
        </w:rPr>
        <w:t xml:space="preserve"> </w:t>
      </w:r>
      <w:r w:rsidRPr="00EC6624">
        <w:rPr>
          <w:sz w:val="28"/>
          <w:szCs w:val="28"/>
        </w:rPr>
        <w:t>=</w:t>
      </w:r>
      <w:r w:rsidR="00543AB7" w:rsidRPr="00EC6624">
        <w:rPr>
          <w:sz w:val="28"/>
          <w:szCs w:val="28"/>
        </w:rPr>
        <w:t xml:space="preserve"> А</w:t>
      </w:r>
      <w:r w:rsidR="00543AB7" w:rsidRPr="00EC6624">
        <w:rPr>
          <w:sz w:val="28"/>
          <w:szCs w:val="28"/>
          <w:vertAlign w:val="subscript"/>
          <w:lang w:val="en-US"/>
        </w:rPr>
        <w:t>VII</w:t>
      </w:r>
      <w:r w:rsidR="00543AB7" w:rsidRPr="00EC6624">
        <w:rPr>
          <w:sz w:val="28"/>
          <w:szCs w:val="28"/>
        </w:rPr>
        <w:t>+</w:t>
      </w:r>
      <w:r w:rsidR="00543AB7" w:rsidRPr="00EC6624">
        <w:rPr>
          <w:sz w:val="28"/>
          <w:szCs w:val="28"/>
          <w:lang w:val="en-US"/>
        </w:rPr>
        <w:t>A</w:t>
      </w:r>
      <w:r w:rsidR="00543AB7" w:rsidRPr="00EC6624">
        <w:rPr>
          <w:sz w:val="28"/>
          <w:szCs w:val="28"/>
          <w:vertAlign w:val="subscript"/>
          <w:lang w:val="en-US"/>
        </w:rPr>
        <w:t>VIII</w:t>
      </w:r>
      <w:r w:rsidR="00543AB7" w:rsidRPr="00EC6624">
        <w:rPr>
          <w:sz w:val="28"/>
          <w:szCs w:val="28"/>
        </w:rPr>
        <w:t>+</w:t>
      </w:r>
      <w:r w:rsidR="00543AB7" w:rsidRPr="00EC6624">
        <w:rPr>
          <w:sz w:val="28"/>
          <w:szCs w:val="28"/>
          <w:lang w:val="en-US"/>
        </w:rPr>
        <w:t>A</w:t>
      </w:r>
      <w:r w:rsidR="00543AB7" w:rsidRPr="00EC6624">
        <w:rPr>
          <w:sz w:val="28"/>
          <w:szCs w:val="28"/>
          <w:vertAlign w:val="subscript"/>
          <w:lang w:val="en-US"/>
        </w:rPr>
        <w:t>IX</w:t>
      </w:r>
      <w:r w:rsidR="00543AB7" w:rsidRPr="00EC6624">
        <w:rPr>
          <w:sz w:val="28"/>
          <w:szCs w:val="28"/>
        </w:rPr>
        <w:t>+</w:t>
      </w:r>
      <w:r w:rsidR="00543AB7" w:rsidRPr="00EC6624">
        <w:rPr>
          <w:sz w:val="28"/>
          <w:szCs w:val="28"/>
          <w:lang w:val="en-US"/>
        </w:rPr>
        <w:t>A</w:t>
      </w:r>
      <w:r w:rsidR="00543AB7" w:rsidRPr="00EC6624">
        <w:rPr>
          <w:sz w:val="28"/>
          <w:szCs w:val="28"/>
          <w:vertAlign w:val="subscript"/>
          <w:lang w:val="en-US"/>
        </w:rPr>
        <w:t>X</w:t>
      </w:r>
    </w:p>
    <w:p w:rsidR="00543AB7" w:rsidRPr="00EC6624" w:rsidRDefault="003C5BCB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Σ</w:t>
      </w:r>
      <w:r w:rsidRPr="00EC6624">
        <w:rPr>
          <w:sz w:val="28"/>
          <w:szCs w:val="28"/>
        </w:rPr>
        <w:t>А</w:t>
      </w:r>
      <w:r w:rsidRPr="00EC6624">
        <w:rPr>
          <w:sz w:val="28"/>
          <w:szCs w:val="28"/>
          <w:vertAlign w:val="subscript"/>
        </w:rPr>
        <w:t xml:space="preserve">в месяцы сезонного подъема </w:t>
      </w:r>
      <w:r w:rsidRPr="00EC6624">
        <w:rPr>
          <w:sz w:val="28"/>
          <w:szCs w:val="28"/>
        </w:rPr>
        <w:t xml:space="preserve">= </w:t>
      </w:r>
      <w:r w:rsidR="00F1486A" w:rsidRPr="00EC6624">
        <w:rPr>
          <w:sz w:val="28"/>
          <w:szCs w:val="28"/>
        </w:rPr>
        <w:t>402</w:t>
      </w:r>
    </w:p>
    <w:p w:rsidR="003D7373" w:rsidRPr="00EC6624" w:rsidRDefault="003D7373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  <w:lang w:val="en-US"/>
        </w:rPr>
        <w:t>Σ</w:t>
      </w:r>
      <w:r w:rsidRPr="00EC6624">
        <w:rPr>
          <w:sz w:val="28"/>
          <w:szCs w:val="28"/>
        </w:rPr>
        <w:t>А</w:t>
      </w:r>
      <w:r w:rsidRPr="00EC6624">
        <w:rPr>
          <w:sz w:val="28"/>
          <w:szCs w:val="28"/>
          <w:vertAlign w:val="subscript"/>
        </w:rPr>
        <w:t>за 11 лет</w:t>
      </w:r>
      <w:r w:rsidRPr="00EC6624">
        <w:rPr>
          <w:sz w:val="28"/>
          <w:szCs w:val="28"/>
        </w:rPr>
        <w:t>=</w:t>
      </w:r>
      <w:r w:rsidR="00590DBF" w:rsidRPr="00EC6624">
        <w:rPr>
          <w:sz w:val="28"/>
          <w:szCs w:val="28"/>
        </w:rPr>
        <w:t>902</w:t>
      </w:r>
    </w:p>
    <w:p w:rsidR="003D7373" w:rsidRPr="00EC6624" w:rsidRDefault="003D7373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К</w:t>
      </w:r>
      <w:r w:rsidRPr="00EC6624">
        <w:rPr>
          <w:sz w:val="28"/>
          <w:szCs w:val="28"/>
          <w:vertAlign w:val="subscript"/>
        </w:rPr>
        <w:t xml:space="preserve">с </w:t>
      </w:r>
      <w:r w:rsidRPr="00EC6624">
        <w:rPr>
          <w:sz w:val="28"/>
          <w:szCs w:val="28"/>
        </w:rPr>
        <w:t xml:space="preserve">= </w:t>
      </w:r>
      <w:r w:rsidR="00F1486A" w:rsidRPr="00EC6624">
        <w:rPr>
          <w:sz w:val="28"/>
          <w:szCs w:val="28"/>
        </w:rPr>
        <w:t>44,6</w:t>
      </w:r>
      <w:r w:rsidRPr="00EC6624">
        <w:rPr>
          <w:sz w:val="28"/>
          <w:szCs w:val="28"/>
        </w:rPr>
        <w:t>%</w:t>
      </w:r>
    </w:p>
    <w:p w:rsidR="003D7373" w:rsidRPr="00EC6624" w:rsidRDefault="003D7373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 xml:space="preserve">Таким образом, на месяцы сезонного подъема заболеваемости приходится </w:t>
      </w:r>
      <w:r w:rsidR="00F1486A" w:rsidRPr="00EC6624">
        <w:rPr>
          <w:sz w:val="28"/>
          <w:szCs w:val="28"/>
        </w:rPr>
        <w:t>44,6</w:t>
      </w:r>
      <w:r w:rsidRPr="00EC6624">
        <w:rPr>
          <w:sz w:val="28"/>
          <w:szCs w:val="28"/>
        </w:rPr>
        <w:t>% от общей суммы всех заболеваний, зарегистрированных за 11 лет.</w:t>
      </w:r>
    </w:p>
    <w:p w:rsidR="0009709D" w:rsidRDefault="0009709D" w:rsidP="00EC6624">
      <w:pPr>
        <w:spacing w:line="360" w:lineRule="auto"/>
        <w:ind w:firstLine="709"/>
        <w:jc w:val="both"/>
        <w:rPr>
          <w:sz w:val="28"/>
          <w:szCs w:val="28"/>
        </w:rPr>
        <w:sectPr w:rsidR="0009709D" w:rsidSect="00EC6624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30F25" w:rsidRDefault="0009709D" w:rsidP="0009709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ЗАКЛЮЧЕНИЕ</w:t>
      </w:r>
    </w:p>
    <w:p w:rsidR="0009709D" w:rsidRPr="00EC6624" w:rsidRDefault="0009709D" w:rsidP="00EC662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155B7" w:rsidRPr="00EC6624" w:rsidRDefault="007155B7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В данной работе произведён ретроспективный эпидемиологический анализ заболеваемости скарлатиной в населённом пункте “</w:t>
      </w:r>
      <w:r w:rsidRPr="00EC6624">
        <w:rPr>
          <w:sz w:val="28"/>
          <w:szCs w:val="28"/>
          <w:lang w:val="en-US"/>
        </w:rPr>
        <w:t>L</w:t>
      </w:r>
      <w:r w:rsidRPr="00EC6624">
        <w:rPr>
          <w:sz w:val="28"/>
          <w:szCs w:val="28"/>
        </w:rPr>
        <w:t>” с 1996 по 2006г. включительно.</w:t>
      </w:r>
    </w:p>
    <w:p w:rsidR="007155B7" w:rsidRPr="00EC6624" w:rsidRDefault="007155B7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В процессе данного анализа были изучены основные свойства эпидемического процесса заболеваемости скарлатиной с различных позиций: в многолетней и внутригодовой динамике.</w:t>
      </w:r>
    </w:p>
    <w:p w:rsidR="007125B0" w:rsidRPr="00EC6624" w:rsidRDefault="007125B0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 xml:space="preserve">На основе исходных данных </w:t>
      </w:r>
      <w:r w:rsidR="00676DFB" w:rsidRPr="00EC6624">
        <w:rPr>
          <w:sz w:val="28"/>
          <w:szCs w:val="28"/>
        </w:rPr>
        <w:t xml:space="preserve">при помощи метода скользящей средней арифметической величины </w:t>
      </w:r>
      <w:r w:rsidRPr="00EC6624">
        <w:rPr>
          <w:sz w:val="28"/>
          <w:szCs w:val="28"/>
        </w:rPr>
        <w:t xml:space="preserve">была определена </w:t>
      </w:r>
      <w:r w:rsidR="00676DFB" w:rsidRPr="00EC6624">
        <w:rPr>
          <w:sz w:val="28"/>
          <w:szCs w:val="28"/>
        </w:rPr>
        <w:t xml:space="preserve">стабильная </w:t>
      </w:r>
      <w:r w:rsidRPr="00EC6624">
        <w:rPr>
          <w:sz w:val="28"/>
          <w:szCs w:val="28"/>
        </w:rPr>
        <w:t xml:space="preserve">тенденция </w:t>
      </w:r>
      <w:r w:rsidR="00676DFB" w:rsidRPr="00EC6624">
        <w:rPr>
          <w:sz w:val="28"/>
          <w:szCs w:val="28"/>
        </w:rPr>
        <w:t>к снижению заболеваемости и сделан прогноз на 2007г.</w:t>
      </w:r>
    </w:p>
    <w:p w:rsidR="00921D0E" w:rsidRPr="00EC6624" w:rsidRDefault="00921D0E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Доказана пятилетняя цикличность заболеваемости скарлатиной.</w:t>
      </w:r>
    </w:p>
    <w:p w:rsidR="00024066" w:rsidRPr="00EC6624" w:rsidRDefault="00202C85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Определён эпидемический порог заболеваемости, т.е. верхняя граница нормальных колебаний.</w:t>
      </w:r>
      <w:r w:rsidR="00CB7E85" w:rsidRPr="00EC6624">
        <w:rPr>
          <w:sz w:val="28"/>
          <w:szCs w:val="28"/>
        </w:rPr>
        <w:t xml:space="preserve"> </w:t>
      </w:r>
      <w:r w:rsidR="005E0177" w:rsidRPr="00EC6624">
        <w:rPr>
          <w:sz w:val="28"/>
          <w:szCs w:val="28"/>
        </w:rPr>
        <w:t>Выявлено</w:t>
      </w:r>
      <w:r w:rsidR="00CB7E85" w:rsidRPr="00EC6624">
        <w:rPr>
          <w:sz w:val="28"/>
          <w:szCs w:val="28"/>
        </w:rPr>
        <w:t>, что за исследованные 11лет заболеваемость колебалась в пределах показателей</w:t>
      </w:r>
      <w:r w:rsidR="005E0177" w:rsidRPr="00EC6624">
        <w:rPr>
          <w:sz w:val="28"/>
          <w:szCs w:val="28"/>
        </w:rPr>
        <w:t xml:space="preserve"> (</w:t>
      </w:r>
      <w:r w:rsidR="00CB7E85" w:rsidRPr="00EC6624">
        <w:rPr>
          <w:sz w:val="28"/>
          <w:szCs w:val="28"/>
        </w:rPr>
        <w:t>верхней границей которых является эпидемический порог</w:t>
      </w:r>
      <w:r w:rsidR="005E0177" w:rsidRPr="00EC6624">
        <w:rPr>
          <w:sz w:val="28"/>
          <w:szCs w:val="28"/>
        </w:rPr>
        <w:t>)</w:t>
      </w:r>
      <w:r w:rsidR="00CB7E85" w:rsidRPr="00EC6624">
        <w:rPr>
          <w:sz w:val="28"/>
          <w:szCs w:val="28"/>
        </w:rPr>
        <w:t xml:space="preserve">. Был обнаружен </w:t>
      </w:r>
      <w:r w:rsidR="002E170E" w:rsidRPr="00EC6624">
        <w:rPr>
          <w:sz w:val="28"/>
          <w:szCs w:val="28"/>
        </w:rPr>
        <w:t>экстремально высокий показатель</w:t>
      </w:r>
      <w:r w:rsidR="005E0177" w:rsidRPr="00EC6624">
        <w:rPr>
          <w:sz w:val="28"/>
          <w:szCs w:val="28"/>
        </w:rPr>
        <w:t xml:space="preserve"> заболеваемости</w:t>
      </w:r>
      <w:r w:rsidR="00CB7E85" w:rsidRPr="00EC6624">
        <w:rPr>
          <w:sz w:val="28"/>
          <w:szCs w:val="28"/>
        </w:rPr>
        <w:t xml:space="preserve"> в 1998г., </w:t>
      </w:r>
      <w:r w:rsidR="005E0177" w:rsidRPr="00EC6624">
        <w:rPr>
          <w:sz w:val="28"/>
          <w:szCs w:val="28"/>
        </w:rPr>
        <w:t>что говорит об</w:t>
      </w:r>
      <w:r w:rsidR="00CB7E85" w:rsidRPr="00EC6624">
        <w:rPr>
          <w:sz w:val="28"/>
          <w:szCs w:val="28"/>
        </w:rPr>
        <w:t xml:space="preserve"> эпидеми</w:t>
      </w:r>
      <w:r w:rsidR="005E0177" w:rsidRPr="00EC6624">
        <w:rPr>
          <w:sz w:val="28"/>
          <w:szCs w:val="28"/>
        </w:rPr>
        <w:t>и</w:t>
      </w:r>
      <w:r w:rsidR="00CB7E85" w:rsidRPr="00EC6624">
        <w:rPr>
          <w:sz w:val="28"/>
          <w:szCs w:val="28"/>
        </w:rPr>
        <w:t xml:space="preserve"> скарлатины.</w:t>
      </w:r>
    </w:p>
    <w:p w:rsidR="00202C85" w:rsidRPr="00EC6624" w:rsidRDefault="00F660F0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Вычислен круглогодичный уровень заболеваемости скарлатиной.</w:t>
      </w:r>
    </w:p>
    <w:p w:rsidR="00CC6597" w:rsidRPr="00EC6624" w:rsidRDefault="00CC6597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 xml:space="preserve">Рассчитана вспышечная </w:t>
      </w:r>
      <w:r w:rsidR="007155B7" w:rsidRPr="00EC6624">
        <w:rPr>
          <w:sz w:val="28"/>
          <w:szCs w:val="28"/>
        </w:rPr>
        <w:t>незарегистрированная заболеваемость</w:t>
      </w:r>
      <w:r w:rsidR="00FC5234" w:rsidRPr="00EC6624">
        <w:rPr>
          <w:sz w:val="28"/>
          <w:szCs w:val="28"/>
        </w:rPr>
        <w:t>.</w:t>
      </w:r>
      <w:r w:rsidR="007155B7" w:rsidRPr="00EC6624">
        <w:rPr>
          <w:sz w:val="28"/>
          <w:szCs w:val="28"/>
        </w:rPr>
        <w:t xml:space="preserve"> </w:t>
      </w:r>
      <w:r w:rsidR="00FC5234" w:rsidRPr="00EC6624">
        <w:rPr>
          <w:sz w:val="28"/>
          <w:szCs w:val="28"/>
        </w:rPr>
        <w:t>Определено, что с 1996 по 2006 год в населенном пункте “</w:t>
      </w:r>
      <w:r w:rsidR="00FC5234" w:rsidRPr="00EC6624">
        <w:rPr>
          <w:sz w:val="28"/>
          <w:szCs w:val="28"/>
          <w:lang w:val="en-US"/>
        </w:rPr>
        <w:t>L</w:t>
      </w:r>
      <w:r w:rsidR="00FC5234" w:rsidRPr="00EC6624">
        <w:rPr>
          <w:sz w:val="28"/>
          <w:szCs w:val="28"/>
        </w:rPr>
        <w:t>” наблюдалось 11 вспышек, из которых максимальное превышение границы нормы колебаний заболеваемости пришлось на ноябрь 1998г.</w:t>
      </w:r>
      <w:r w:rsidR="00C25E1D" w:rsidRPr="00EC6624">
        <w:rPr>
          <w:sz w:val="28"/>
          <w:szCs w:val="28"/>
        </w:rPr>
        <w:t xml:space="preserve"> (5 заболеваний)</w:t>
      </w:r>
      <w:r w:rsidR="00FC5234" w:rsidRPr="00EC6624">
        <w:rPr>
          <w:sz w:val="28"/>
          <w:szCs w:val="28"/>
        </w:rPr>
        <w:t>, декабрь 1998г.</w:t>
      </w:r>
      <w:r w:rsidR="00C25E1D" w:rsidRPr="00EC6624">
        <w:rPr>
          <w:sz w:val="28"/>
          <w:szCs w:val="28"/>
        </w:rPr>
        <w:t xml:space="preserve"> (5 заболеваний)</w:t>
      </w:r>
      <w:r w:rsidR="00FC5234" w:rsidRPr="00EC6624">
        <w:rPr>
          <w:sz w:val="28"/>
          <w:szCs w:val="28"/>
        </w:rPr>
        <w:t xml:space="preserve"> и август 2002г.</w:t>
      </w:r>
      <w:r w:rsidR="00C25E1D" w:rsidRPr="00EC6624">
        <w:rPr>
          <w:sz w:val="28"/>
          <w:szCs w:val="28"/>
        </w:rPr>
        <w:t xml:space="preserve"> (11 заболеваний).</w:t>
      </w:r>
    </w:p>
    <w:p w:rsidR="00AC3D70" w:rsidRPr="00EC6624" w:rsidRDefault="000E303D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 xml:space="preserve">Также были </w:t>
      </w:r>
      <w:r w:rsidR="003870D2" w:rsidRPr="00EC6624">
        <w:rPr>
          <w:sz w:val="28"/>
          <w:szCs w:val="28"/>
        </w:rPr>
        <w:t>определены</w:t>
      </w:r>
      <w:r w:rsidRPr="00EC6624">
        <w:rPr>
          <w:sz w:val="28"/>
          <w:szCs w:val="28"/>
        </w:rPr>
        <w:t xml:space="preserve"> месяцы сезонного подъёма заболеваемости, исходя из данных типовой кривой внутригодовой заболеваемости: и</w:t>
      </w:r>
      <w:r w:rsidR="00AC3D70" w:rsidRPr="00EC6624">
        <w:rPr>
          <w:sz w:val="28"/>
          <w:szCs w:val="28"/>
        </w:rPr>
        <w:t>юль, август, сентябрь и октябрь, на которые приходится 44,6% от общей суммы всех заболеваний, зарегистрированных за 11 лет.</w:t>
      </w:r>
    </w:p>
    <w:p w:rsidR="00CC6597" w:rsidRPr="00EC6624" w:rsidRDefault="003870D2" w:rsidP="00EC662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C6624">
        <w:rPr>
          <w:sz w:val="28"/>
          <w:szCs w:val="28"/>
        </w:rPr>
        <w:t>Т.о.</w:t>
      </w:r>
      <w:r w:rsidR="002C7437" w:rsidRPr="00EC6624">
        <w:rPr>
          <w:sz w:val="28"/>
          <w:szCs w:val="28"/>
        </w:rPr>
        <w:t xml:space="preserve"> </w:t>
      </w:r>
      <w:r w:rsidRPr="00EC6624">
        <w:rPr>
          <w:sz w:val="28"/>
          <w:szCs w:val="28"/>
        </w:rPr>
        <w:t>выявлено множество особенностей, доказывающих специфичность эпидемического процесса заболеваемости скарлатиной в населённом пункте “</w:t>
      </w:r>
      <w:r w:rsidRPr="00EC6624">
        <w:rPr>
          <w:sz w:val="28"/>
          <w:szCs w:val="28"/>
          <w:lang w:val="en-US"/>
        </w:rPr>
        <w:t>L</w:t>
      </w:r>
      <w:r w:rsidRPr="00EC6624">
        <w:rPr>
          <w:sz w:val="28"/>
          <w:szCs w:val="28"/>
        </w:rPr>
        <w:t>” с 1996 по 2006г. включительно</w:t>
      </w:r>
      <w:r w:rsidR="002101DD" w:rsidRPr="00EC6624">
        <w:rPr>
          <w:sz w:val="28"/>
          <w:szCs w:val="28"/>
        </w:rPr>
        <w:t>, особенности его динамики (как многолетней, так и внутригодовой)</w:t>
      </w:r>
      <w:r w:rsidR="005E0177" w:rsidRPr="00EC6624">
        <w:rPr>
          <w:sz w:val="28"/>
          <w:szCs w:val="28"/>
        </w:rPr>
        <w:t>. Отражены такие важные особенности, как тенденция разви</w:t>
      </w:r>
      <w:r w:rsidR="00380A87" w:rsidRPr="00EC6624">
        <w:rPr>
          <w:sz w:val="28"/>
          <w:szCs w:val="28"/>
        </w:rPr>
        <w:t>тия процесса и прогнозирование заболеваемости.</w:t>
      </w:r>
      <w:r w:rsidR="004104CE" w:rsidRPr="00EC6624">
        <w:rPr>
          <w:sz w:val="28"/>
          <w:szCs w:val="28"/>
        </w:rPr>
        <w:t xml:space="preserve"> Определены границы, позволяющие судить об уровне заболеваемости и относить его к какой-либо категории (круглогодичной, сезонной или вспышечной составляющей).</w:t>
      </w:r>
      <w:bookmarkStart w:id="0" w:name="_GoBack"/>
      <w:bookmarkEnd w:id="0"/>
    </w:p>
    <w:sectPr w:rsidR="00CC6597" w:rsidRPr="00EC6624" w:rsidSect="00EC6624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15C" w:rsidRDefault="0004715C">
      <w:r>
        <w:separator/>
      </w:r>
    </w:p>
  </w:endnote>
  <w:endnote w:type="continuationSeparator" w:id="0">
    <w:p w:rsidR="0004715C" w:rsidRDefault="00047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4CE" w:rsidRDefault="0009709D" w:rsidP="00E30F25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19</w:t>
    </w:r>
  </w:p>
  <w:p w:rsidR="004104CE" w:rsidRDefault="004104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15C" w:rsidRDefault="0004715C">
      <w:r>
        <w:separator/>
      </w:r>
    </w:p>
  </w:footnote>
  <w:footnote w:type="continuationSeparator" w:id="0">
    <w:p w:rsidR="0004715C" w:rsidRDefault="00047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1F67F8"/>
    <w:multiLevelType w:val="singleLevel"/>
    <w:tmpl w:val="D8EEB446"/>
    <w:lvl w:ilvl="0">
      <w:start w:val="1"/>
      <w:numFmt w:val="decimal"/>
      <w:lvlText w:val="%1."/>
      <w:lvlJc w:val="left"/>
    </w:lvl>
  </w:abstractNum>
  <w:abstractNum w:abstractNumId="1">
    <w:nsid w:val="493D6906"/>
    <w:multiLevelType w:val="hybridMultilevel"/>
    <w:tmpl w:val="93C6B0E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0F25"/>
    <w:rsid w:val="000125E8"/>
    <w:rsid w:val="000239D8"/>
    <w:rsid w:val="00024066"/>
    <w:rsid w:val="00034E8B"/>
    <w:rsid w:val="00035D31"/>
    <w:rsid w:val="00036993"/>
    <w:rsid w:val="0004715C"/>
    <w:rsid w:val="000602C7"/>
    <w:rsid w:val="00094A8D"/>
    <w:rsid w:val="0009709D"/>
    <w:rsid w:val="00097552"/>
    <w:rsid w:val="000B5014"/>
    <w:rsid w:val="000C206A"/>
    <w:rsid w:val="000D4D58"/>
    <w:rsid w:val="000D50ED"/>
    <w:rsid w:val="000E303D"/>
    <w:rsid w:val="00101BD6"/>
    <w:rsid w:val="0010505F"/>
    <w:rsid w:val="00110678"/>
    <w:rsid w:val="00125904"/>
    <w:rsid w:val="0013081F"/>
    <w:rsid w:val="001438E5"/>
    <w:rsid w:val="00150733"/>
    <w:rsid w:val="00165E6F"/>
    <w:rsid w:val="001A7F9F"/>
    <w:rsid w:val="001D026D"/>
    <w:rsid w:val="001D4652"/>
    <w:rsid w:val="001E03A5"/>
    <w:rsid w:val="001E3B80"/>
    <w:rsid w:val="001F17C5"/>
    <w:rsid w:val="001F3B2A"/>
    <w:rsid w:val="00201870"/>
    <w:rsid w:val="00202C85"/>
    <w:rsid w:val="002101DD"/>
    <w:rsid w:val="0021373D"/>
    <w:rsid w:val="00220946"/>
    <w:rsid w:val="00243AD8"/>
    <w:rsid w:val="00271DF6"/>
    <w:rsid w:val="002C7437"/>
    <w:rsid w:val="002D4A29"/>
    <w:rsid w:val="002E170E"/>
    <w:rsid w:val="002E2BA5"/>
    <w:rsid w:val="002F4E51"/>
    <w:rsid w:val="00324D7F"/>
    <w:rsid w:val="00334E82"/>
    <w:rsid w:val="0034218A"/>
    <w:rsid w:val="00372411"/>
    <w:rsid w:val="00380A87"/>
    <w:rsid w:val="003870D2"/>
    <w:rsid w:val="0039713B"/>
    <w:rsid w:val="003A0689"/>
    <w:rsid w:val="003B445B"/>
    <w:rsid w:val="003B5427"/>
    <w:rsid w:val="003C0B5A"/>
    <w:rsid w:val="003C5BCB"/>
    <w:rsid w:val="003D4059"/>
    <w:rsid w:val="003D6BBF"/>
    <w:rsid w:val="003D7373"/>
    <w:rsid w:val="004104CE"/>
    <w:rsid w:val="004261FF"/>
    <w:rsid w:val="004272A3"/>
    <w:rsid w:val="00482599"/>
    <w:rsid w:val="004847E1"/>
    <w:rsid w:val="004A0E20"/>
    <w:rsid w:val="004E2060"/>
    <w:rsid w:val="00505947"/>
    <w:rsid w:val="00516DF5"/>
    <w:rsid w:val="00536B81"/>
    <w:rsid w:val="005377C9"/>
    <w:rsid w:val="00543AB7"/>
    <w:rsid w:val="005666B7"/>
    <w:rsid w:val="00567B46"/>
    <w:rsid w:val="005717FC"/>
    <w:rsid w:val="00590DBF"/>
    <w:rsid w:val="005A05AD"/>
    <w:rsid w:val="005A2359"/>
    <w:rsid w:val="005B0D75"/>
    <w:rsid w:val="005B7659"/>
    <w:rsid w:val="005C2EFE"/>
    <w:rsid w:val="005E0177"/>
    <w:rsid w:val="005E66DF"/>
    <w:rsid w:val="00605738"/>
    <w:rsid w:val="00616B70"/>
    <w:rsid w:val="00627784"/>
    <w:rsid w:val="00634323"/>
    <w:rsid w:val="00641CC3"/>
    <w:rsid w:val="00676DFB"/>
    <w:rsid w:val="00692D0F"/>
    <w:rsid w:val="006B5845"/>
    <w:rsid w:val="0070184B"/>
    <w:rsid w:val="007125B0"/>
    <w:rsid w:val="00714E8D"/>
    <w:rsid w:val="007155B7"/>
    <w:rsid w:val="007310B5"/>
    <w:rsid w:val="007363D6"/>
    <w:rsid w:val="00736E39"/>
    <w:rsid w:val="007435E4"/>
    <w:rsid w:val="00753A0A"/>
    <w:rsid w:val="0078298F"/>
    <w:rsid w:val="00790BB3"/>
    <w:rsid w:val="00791DCA"/>
    <w:rsid w:val="007A2AB2"/>
    <w:rsid w:val="007A2C41"/>
    <w:rsid w:val="007A3802"/>
    <w:rsid w:val="007A6887"/>
    <w:rsid w:val="007C19CB"/>
    <w:rsid w:val="007D50B8"/>
    <w:rsid w:val="007E2F85"/>
    <w:rsid w:val="007F0894"/>
    <w:rsid w:val="00817B27"/>
    <w:rsid w:val="00843E7D"/>
    <w:rsid w:val="00857119"/>
    <w:rsid w:val="008635F9"/>
    <w:rsid w:val="008806FC"/>
    <w:rsid w:val="00880A6E"/>
    <w:rsid w:val="008A0B37"/>
    <w:rsid w:val="008B0D4D"/>
    <w:rsid w:val="008B13C0"/>
    <w:rsid w:val="008D0F00"/>
    <w:rsid w:val="008D7E8A"/>
    <w:rsid w:val="008E1002"/>
    <w:rsid w:val="00902BE5"/>
    <w:rsid w:val="00904299"/>
    <w:rsid w:val="00904D01"/>
    <w:rsid w:val="00921374"/>
    <w:rsid w:val="00921D0E"/>
    <w:rsid w:val="00943D88"/>
    <w:rsid w:val="00973D43"/>
    <w:rsid w:val="00984D48"/>
    <w:rsid w:val="00996EA7"/>
    <w:rsid w:val="009B152A"/>
    <w:rsid w:val="009C6203"/>
    <w:rsid w:val="009C6EEF"/>
    <w:rsid w:val="009F57E8"/>
    <w:rsid w:val="00A153E6"/>
    <w:rsid w:val="00A55531"/>
    <w:rsid w:val="00A70676"/>
    <w:rsid w:val="00A75EC9"/>
    <w:rsid w:val="00A919AA"/>
    <w:rsid w:val="00A97435"/>
    <w:rsid w:val="00AC3D70"/>
    <w:rsid w:val="00AF1C1F"/>
    <w:rsid w:val="00AF6D87"/>
    <w:rsid w:val="00B04349"/>
    <w:rsid w:val="00B06BB0"/>
    <w:rsid w:val="00B25305"/>
    <w:rsid w:val="00B323CD"/>
    <w:rsid w:val="00B43D03"/>
    <w:rsid w:val="00B61F27"/>
    <w:rsid w:val="00B77055"/>
    <w:rsid w:val="00B80D66"/>
    <w:rsid w:val="00B855BE"/>
    <w:rsid w:val="00BA108A"/>
    <w:rsid w:val="00BB7B98"/>
    <w:rsid w:val="00BC1889"/>
    <w:rsid w:val="00BC286F"/>
    <w:rsid w:val="00BD0437"/>
    <w:rsid w:val="00BE730C"/>
    <w:rsid w:val="00BE77DB"/>
    <w:rsid w:val="00BF06A3"/>
    <w:rsid w:val="00C00B9B"/>
    <w:rsid w:val="00C25E1D"/>
    <w:rsid w:val="00C3539F"/>
    <w:rsid w:val="00C5237B"/>
    <w:rsid w:val="00C749D5"/>
    <w:rsid w:val="00C83C24"/>
    <w:rsid w:val="00CB7E85"/>
    <w:rsid w:val="00CC6597"/>
    <w:rsid w:val="00CE4F3E"/>
    <w:rsid w:val="00CE57E6"/>
    <w:rsid w:val="00CF7716"/>
    <w:rsid w:val="00D02541"/>
    <w:rsid w:val="00D02D19"/>
    <w:rsid w:val="00D03A4E"/>
    <w:rsid w:val="00D3608C"/>
    <w:rsid w:val="00D370E0"/>
    <w:rsid w:val="00D83EBE"/>
    <w:rsid w:val="00D97D0C"/>
    <w:rsid w:val="00DA12D5"/>
    <w:rsid w:val="00DA28DB"/>
    <w:rsid w:val="00DA2D96"/>
    <w:rsid w:val="00DB464A"/>
    <w:rsid w:val="00DB4BDE"/>
    <w:rsid w:val="00DD3AAC"/>
    <w:rsid w:val="00DE5F7A"/>
    <w:rsid w:val="00E032FE"/>
    <w:rsid w:val="00E15309"/>
    <w:rsid w:val="00E23103"/>
    <w:rsid w:val="00E30F25"/>
    <w:rsid w:val="00E764D1"/>
    <w:rsid w:val="00E800CE"/>
    <w:rsid w:val="00E866D9"/>
    <w:rsid w:val="00E902CF"/>
    <w:rsid w:val="00EB1205"/>
    <w:rsid w:val="00EB4D6E"/>
    <w:rsid w:val="00EB58BB"/>
    <w:rsid w:val="00EC6624"/>
    <w:rsid w:val="00ED2FA2"/>
    <w:rsid w:val="00ED41AD"/>
    <w:rsid w:val="00ED49CE"/>
    <w:rsid w:val="00ED4F83"/>
    <w:rsid w:val="00ED77D1"/>
    <w:rsid w:val="00EE4EE5"/>
    <w:rsid w:val="00EF797B"/>
    <w:rsid w:val="00F1486A"/>
    <w:rsid w:val="00F23473"/>
    <w:rsid w:val="00F37428"/>
    <w:rsid w:val="00F5337D"/>
    <w:rsid w:val="00F53AC5"/>
    <w:rsid w:val="00F660F0"/>
    <w:rsid w:val="00F870C0"/>
    <w:rsid w:val="00F9382B"/>
    <w:rsid w:val="00FA055A"/>
    <w:rsid w:val="00FA59DE"/>
    <w:rsid w:val="00FC4A8B"/>
    <w:rsid w:val="00FC5234"/>
    <w:rsid w:val="00FD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19564715-3032-4CDF-A05C-8D9C6E82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F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30F2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E30F25"/>
  </w:style>
  <w:style w:type="paragraph" w:styleId="a6">
    <w:name w:val="Body Text Indent"/>
    <w:basedOn w:val="a"/>
    <w:link w:val="a7"/>
    <w:uiPriority w:val="99"/>
    <w:rsid w:val="00973D43"/>
    <w:pPr>
      <w:ind w:firstLine="708"/>
    </w:pPr>
    <w:rPr>
      <w:sz w:val="28"/>
      <w:szCs w:val="28"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4"/>
      <w:szCs w:val="24"/>
    </w:rPr>
  </w:style>
  <w:style w:type="paragraph" w:styleId="a8">
    <w:name w:val="Body Text"/>
    <w:basedOn w:val="a"/>
    <w:link w:val="a9"/>
    <w:uiPriority w:val="99"/>
    <w:rsid w:val="00857119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E032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2796</Words>
  <Characters>15942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Тульский Государственный Университет</vt:lpstr>
    </vt:vector>
  </TitlesOfParts>
  <Company>Tycoon</Company>
  <LinksUpToDate>false</LinksUpToDate>
  <CharactersWithSpaces>18701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Тульский Государственный Университет</dc:title>
  <dc:subject/>
  <dc:creator>Kamzolov</dc:creator>
  <cp:keywords/>
  <dc:description/>
  <cp:lastModifiedBy>admin</cp:lastModifiedBy>
  <cp:revision>2</cp:revision>
  <cp:lastPrinted>2006-10-31T21:34:00Z</cp:lastPrinted>
  <dcterms:created xsi:type="dcterms:W3CDTF">2014-02-25T08:54:00Z</dcterms:created>
  <dcterms:modified xsi:type="dcterms:W3CDTF">2014-02-25T08:54:00Z</dcterms:modified>
</cp:coreProperties>
</file>