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5F4" w:rsidRDefault="001F15F4">
      <w:pPr>
        <w:ind w:firstLine="567"/>
        <w:rPr>
          <w:lang w:val="en-US"/>
        </w:rPr>
      </w:pPr>
    </w:p>
    <w:p w:rsidR="001F15F4" w:rsidRDefault="00995861">
      <w:pPr>
        <w:ind w:firstLine="567"/>
        <w:jc w:val="center"/>
      </w:pPr>
      <w:r>
        <w:t>Владивостокский Государственный Медицинский Университет</w:t>
      </w:r>
    </w:p>
    <w:p w:rsidR="001F15F4" w:rsidRDefault="00995861">
      <w:pPr>
        <w:ind w:firstLine="567"/>
        <w:jc w:val="center"/>
      </w:pPr>
      <w:r>
        <w:t>Кафедра акушерства и гинекологии</w:t>
      </w:r>
    </w:p>
    <w:p w:rsidR="001F15F4" w:rsidRDefault="001F15F4">
      <w:pPr>
        <w:ind w:firstLine="567"/>
        <w:jc w:val="center"/>
      </w:pPr>
    </w:p>
    <w:p w:rsidR="001F15F4" w:rsidRDefault="00995861">
      <w:pPr>
        <w:ind w:firstLine="567"/>
      </w:pPr>
      <w:r>
        <w:t xml:space="preserve">Зав. Кафедрой: Ишпахтин </w:t>
      </w: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995861">
      <w:pPr>
        <w:ind w:firstLine="567"/>
        <w:jc w:val="center"/>
        <w:rPr>
          <w:b/>
          <w:bCs/>
        </w:rPr>
      </w:pPr>
      <w:r>
        <w:rPr>
          <w:b/>
          <w:bCs/>
        </w:rPr>
        <w:t>РЕФЕРАТ</w:t>
      </w:r>
    </w:p>
    <w:p w:rsidR="001F15F4" w:rsidRDefault="00995861">
      <w:pPr>
        <w:ind w:firstLine="567"/>
        <w:jc w:val="center"/>
        <w:rPr>
          <w:i/>
          <w:iCs/>
        </w:rPr>
      </w:pPr>
      <w:r>
        <w:t xml:space="preserve">НА ТЕМУ: </w:t>
      </w:r>
      <w:r>
        <w:rPr>
          <w:i/>
          <w:iCs/>
        </w:rPr>
        <w:t>Миома матки.</w:t>
      </w:r>
    </w:p>
    <w:p w:rsidR="001F15F4" w:rsidRDefault="001F15F4">
      <w:pPr>
        <w:ind w:firstLine="567"/>
        <w:rPr>
          <w:i/>
          <w:iCs/>
        </w:rPr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1F15F4">
      <w:pPr>
        <w:ind w:firstLine="567"/>
        <w:jc w:val="both"/>
      </w:pPr>
    </w:p>
    <w:p w:rsidR="001F15F4" w:rsidRDefault="00995861">
      <w:pPr>
        <w:spacing w:before="0" w:after="0"/>
        <w:ind w:firstLine="567"/>
      </w:pPr>
      <w:r>
        <w:t xml:space="preserve">Выполнила: студентка гр. 512, леч. </w:t>
      </w:r>
    </w:p>
    <w:p w:rsidR="001F15F4" w:rsidRDefault="00995861">
      <w:pPr>
        <w:spacing w:before="0" w:after="0"/>
        <w:ind w:firstLine="567"/>
      </w:pPr>
      <w:r>
        <w:t>фак-та Кушнир Н. А.</w:t>
      </w:r>
    </w:p>
    <w:p w:rsidR="001F15F4" w:rsidRDefault="001F15F4">
      <w:pPr>
        <w:spacing w:before="0" w:after="0"/>
        <w:ind w:firstLine="567"/>
      </w:pPr>
    </w:p>
    <w:p w:rsidR="001F15F4" w:rsidRDefault="00995861">
      <w:pPr>
        <w:spacing w:before="0" w:after="0"/>
        <w:ind w:firstLine="567"/>
      </w:pPr>
      <w:r>
        <w:t>Проверила: ___________________.</w:t>
      </w:r>
    </w:p>
    <w:p w:rsidR="001F15F4" w:rsidRDefault="001F15F4">
      <w:pPr>
        <w:spacing w:before="0" w:after="0"/>
        <w:ind w:firstLine="567"/>
      </w:pPr>
    </w:p>
    <w:p w:rsidR="001F15F4" w:rsidRDefault="001F15F4">
      <w:pPr>
        <w:spacing w:before="0" w:after="0"/>
        <w:ind w:firstLine="567"/>
      </w:pPr>
    </w:p>
    <w:p w:rsidR="001F15F4" w:rsidRDefault="001F15F4">
      <w:pPr>
        <w:spacing w:before="0" w:after="0"/>
        <w:ind w:firstLine="567"/>
      </w:pPr>
    </w:p>
    <w:p w:rsidR="001F15F4" w:rsidRDefault="001F15F4">
      <w:pPr>
        <w:spacing w:before="0" w:after="0"/>
        <w:ind w:firstLine="567"/>
      </w:pPr>
    </w:p>
    <w:p w:rsidR="001F15F4" w:rsidRDefault="001F15F4">
      <w:pPr>
        <w:spacing w:before="0" w:after="0"/>
        <w:ind w:firstLine="567"/>
      </w:pPr>
    </w:p>
    <w:p w:rsidR="001F15F4" w:rsidRDefault="00995861">
      <w:pPr>
        <w:spacing w:before="0" w:after="0"/>
        <w:ind w:firstLine="567"/>
        <w:jc w:val="center"/>
      </w:pPr>
      <w:r>
        <w:t>Владивосток</w:t>
      </w:r>
    </w:p>
    <w:p w:rsidR="001F15F4" w:rsidRDefault="00995861">
      <w:pPr>
        <w:spacing w:before="0" w:after="0"/>
        <w:ind w:firstLine="567"/>
        <w:jc w:val="center"/>
      </w:pPr>
      <w:r>
        <w:t>1999</w:t>
      </w:r>
    </w:p>
    <w:p w:rsidR="001F15F4" w:rsidRDefault="00995861">
      <w:pPr>
        <w:ind w:firstLine="567"/>
        <w:jc w:val="center"/>
      </w:pPr>
      <w:r>
        <w:rPr>
          <w:i/>
          <w:iCs/>
        </w:rPr>
        <w:t xml:space="preserve">Миома, она же фибромиома, лейомиома, матки - доброкачественная гормонозависимая опухоль внутри стенки матки или на ее поверхности. После 30 лет миома встречается у 20-30% женщин. </w:t>
      </w:r>
    </w:p>
    <w:p w:rsidR="001F15F4" w:rsidRDefault="00995861">
      <w:pPr>
        <w:ind w:firstLine="567"/>
        <w:jc w:val="both"/>
      </w:pPr>
      <w:r>
        <w:t xml:space="preserve">Наиболее часто (85%) встречается множественная миома матки, при которой выявляют несколько различных по размеру узлов, расположенных во всех слоях матки. Величина опухоли варьирует от горошины до размеров апельсина или дыни. Предрасполагающими факторами в развитии миомы являются гормональные нарушения, а также урогенитальные инфекции и иммунный дисбаланс. Как правило, на ранних этапах развития миома себя ничем не проявляет. Поэтому при гинекологическом осмотре миому обнаруживают чаще всего на поздней стадии, когда она достигает большой величины. </w:t>
      </w:r>
    </w:p>
    <w:p w:rsidR="001F15F4" w:rsidRDefault="00995861">
      <w:pPr>
        <w:ind w:firstLine="567"/>
        <w:jc w:val="center"/>
        <w:rPr>
          <w:b/>
          <w:bCs/>
        </w:rPr>
      </w:pPr>
      <w:r>
        <w:rPr>
          <w:b/>
          <w:bCs/>
        </w:rPr>
        <w:t>Показаниями для обследования на выявление миомы матки служат следующие симптомы: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нарушение менструального цикла;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болезненные месячные с обильным кровотечением;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хронические воспалительные заболевания женской половой сферы (аднекситы);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хронические боли внизу живота;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эндокринные дисфункции;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невынашивание беременности;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бесплодие;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нарушение функций кишечника;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хронические заболевания печени; </w:t>
      </w:r>
    </w:p>
    <w:p w:rsidR="001F15F4" w:rsidRDefault="00995861">
      <w:pPr>
        <w:numPr>
          <w:ilvl w:val="0"/>
          <w:numId w:val="6"/>
        </w:numPr>
        <w:tabs>
          <w:tab w:val="clear" w:pos="360"/>
          <w:tab w:val="num" w:pos="851"/>
        </w:tabs>
        <w:ind w:left="0" w:firstLine="567"/>
      </w:pPr>
      <w:r>
        <w:t xml:space="preserve">частое мочеиспускание. </w:t>
      </w:r>
    </w:p>
    <w:p w:rsidR="001F15F4" w:rsidRDefault="001F15F4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Довольно давно было сформулировано определение, что миома матки является эстрогензависимой опухолью. Происхождение этого определения на ранних этапах исследований было понятно. Миома растет в ткани миометрия, который содержит рецепторы к эстрогенам, являющимся, в свою очередь, довольно сильными гормонами пролиферации. Было выдвинуто предположение, что состояние гиперэстрогении является фоном для развития миомы матки. Но в ходе дальнейших исследований удалось доказать, что миома развивалась у женщин, не имевших гиперэстрогении, при этом во многих случаях эндометрий находился в фазе секреции. Вскоре появились данные о том, что содержание рецепторов к прогестерону в ткани миомы выше в 3—10 раз, а к эстрадиолу в 2 раза по сравнению с интактным миометрием. Все это привело к необходимости выявить более интимные механизмы регуляции роста миомы.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Результатом последних исследований стало обнаружение в различных отделах женского репродуктивного тракта полипептидных факторов роста, встречающихся также и во множестве других органов. Их открытие позволило более детально понять тонкую регуляцию не только таких физиологических процессов, как овариальный цикл, подготовка матки к имплантации, но и патологических процессов, развивающихся в этих тканях. Так, стало известно, что поддержание роста миомы осуществляется аутокринно-паракринной регуляцией различными факторами роста утеротропного действия эстрогенов, а также способностью миомы на ранних этапах своего формирования приобретать автономность за счет самостоятельной секреции этих факторов.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Инсулиноподобные факторы роста I и II (ИПФР I и II), а также 6 классов связывающих их протеинов (ИПФРСП 1-6), названные "система ИПФР" были открыты в 1970 году как вещества, способствующие вхождению глюкозы в клетку (ИПФР I), а также выступающие как медиаторы гормона роста (ИПФР II). В ходе дальнейших исследований было показано, что, кроме упомянутых выше, эти факторы роста обладают еще многими свойствами, главными из которых являются стимуляция пролиферации и дифференцировки множества различных клеточных линий, способность ингибировать апоптоз некоторых клеток (гемопоэтические клетки), стимуляция хондроцитов, фибробластов и эндотелиальных клеток синтезировать эктрацеллюлярный матрикс (ЭЦМ), особенно таких его компонентов, как коллаген и протеогликан.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ИПФР и ИПФРСП 1-6 синтезируются в печени под действием ГР и ФСГ, а также клетками, на которые они воздействуют . Контроль активности ИПФР в кровяном русле и в тканях осуществляют ИПФРСП. Одни из них ингибируют действие ИПФР, другие стимулируют. Это осуществляется за счет образования и распада комплексов ИПФРСП с ИПФР, причем одни и те же связывающие протеины способны и ингибировать, и стимулировать действие ИПФР. Это связано с наличием специальных протеаз, способных расщеплять ИПРФСП на фрагменты, обладающие различным характером воздействия. Большинство своих эффектов ИПФР осуществляют через специфичные рецепторы (ИПФР-Р). Было установлено, что ИПФР взаимодействуют с тремя типами рецепторов: первый — специфичный ИПФР-рецептор; второй — ИПФР/инсулиновый гибридный рецептор и третий — инсулиновый рецептор. Аффинитет к этим рецепторам неодинаковый. Инсулиновый рецептор: Инс&gt;&gt;ИПФР-I&gt;ИПФР-II; ИПФР-рецептор: ИПФР-I&gt;ИПФР-II&gt;&gt;Инс; гибридный: ИПФР-I&gt;ИПФР-II&gt;Инс. ИПФРСП тоже имеют свои рецепторы, с помощью которых они способны контролировать связывание ИПФР со своими рецепторами . Очевидно, что нарушение тканевого гомеостаза, вызванного экзогенными или эндогенными стимулами, вероятно, может привести к дисбалансу в этой сложной системе и способствовать развитию патологического процесса.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В ткани нормальной матки были выявлены все компоненты ИПФР-системы, причем миометрий и эндометрий содержали различное количество отдельных компонентов , такое же неравномерное распределение в матке отмечено и у других факторов роста. Согласно многим исследованиям , ИПФР-I и, вероятно, ИПФР-II являются медиаторами действия эстрогенов в ткани матки и наряду с другими факторами роста вовлечены в рост миомы. Было выявлено, что количество ИПФР-I и II, а также их рецепторов больше в миоме, чем в окружающем ее миометрии . In vitro митотический ответ на добавление ИПФР-I к клеткам миомы в сравнении с клетками миометрия оказался намного выше . С помощью специальных методик определили, что рецепторы к ИПФР-I и II расположены на гладкомышечных клетках миометрия и миомы . Многочисленные исследования  на крысах с обработкой клеток миометрия и миомы 17 бета-эстрадиолом (E2) и прогестероном (P4) выявили, что добавление E2 приводит к значительному возрастанию экспрессии ИПФР-I на клетках миомы и миометрия, в то время как увеличение экспрессии ИПФР-II и ИПФР-рецептора была незначительной. Добавление к Е2 Р4 вызывало еще большее увеличение экспрессии ИПФР-I, а ИПФР-II и ИПФР-рецептора — незначительное. Проведенный в этих же исследованиях анализ экспрессии антигена клеточной пролиферации Ki-67, выявил существенное его возрастание, что коррелировало с экспрессией ИПФР-I . Интересно отметить, что содержание ИПФРСП-3, отвечающего в основном за угнетение митотической активности ИПФР-I, в этом случае уменьшалось на гладкомышечных клетках и возрастало на эндотелиальных клетках сосудов матки . Эти данные дополняет исследование, проведенное с антагонистом эстрогенов IСI 182780 . При введении его мышам, как и при оофорэктомии, наблюдается инволюция матки, на фоне которой значительно увеличивается содержание ИПФРСП-3.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Таким образом, утеротропное действие эстрогенов может быть опосредовано как ингибированием ИПФРСП-3, так и стимулированием экспрессии ИПФР-I . Прогестерон, вероятно, значительно усиливает митотическую активность эстрогенов. Это доказывают данные об ускорении роста миомы в лютеиновую фазу менструального цикла, а также значительное повышение антигена клеточной пролиферации Ki-67 в нормальном миометрии в ту же фаз. Как было показано выше, добавление прогестерона к уже обработанным Е2 клеткам миомы и миометрия вызывало значительное увеличение экспрессии ИПФР-I и уменьшению уровня ИПФРСП-3. Прогесгерон оказывает стимулирующее влияние не только на ИПФР-I, но и на другой не менее важный фактор роста как эпидермальный фактор роста (ЭФР) . Так, в нормальном миометрии не происходит циклических изменений в концентрации ЭФР во время менструального цикла, в то время как в миоме в пролиферативную фазу концентрация ЭФР не отличается от таковой в нормальном миометрии, а в секреторную значительно выше . В этом же исследовании определили, что у женщин, принимавших препараты ГРГ-агонистов, концентрация ЭФР в миоме в секреторную фазу меньше, чем у пациенток, не получавших подобных препаратов. Еще один фактор роста — простой фактор роста фибробластов (пФРФ), возможно, контролируется исключительно прогестероно. пФРФ контролирует пролиферацию клеток стромы матки, воздействуя через свой специфический рецептор на этих клетках , а также способен повышать экспрессию рецептора ИПФР-I и воспроизводить многие эффекты ИПФР-I на клетки (стимуляция пролиферации, синтез ЭЦМ и др. ), возможно, посредством фосфорилирования бета-цепи ИПФР-I-рецептора . Прогестерон способен стимулировать экспрессию пФРФ, в то время как эстрадиол проявляет незначительный эффект . Таким образом, эффект прогестерона также модиируется факторами роста и, вероятно, его роль намного значительней, нежели это представлялось раньше. В одном исследовании даже утверждается, что факторы роста проявляют наивысшую пролиферативную способность в присутствии прогестерона.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При исследовании способности тестостерона стимулировать экспрессию ИПФР-I было выявлено, что тестостерон, как и эстрогены, способен увеличивать в ткани миометрия экспрессию ИПФР-I, но в отличие от эстрогенов поддерживает экспрессию ИПФР-I намного дольше . Это навело авторов на мысль, что тестостерон активирует экспрессию ИПФР-I по другому, отличному от эстрогенов пути, который пока до конца не ясен.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Помимо того, что ИПФР-I медиирует эффект эстрогенов в миометрии и в миоме, он способен, как это было показано на культуре фибробластов BALB/C3T3  и в других исследованиях, вступать в сложные взаимоотношения с другими факторами роста. Наиболее важным является связь ИПФР-I с уже упомянутым ЭФР. Экспрессия этого фактора роста, как и его рецептора, в миоме и миометрии значительно повышается под воздействием Е2 и Р4 . Более того, ЭФР способен воспроизводить многие эффекты эстрогенов в матке  и, вероятно, это связано с его способностью взаимодействовать с эстрогеновыми рецепторами. Так, после обработки матки ЭФР эстрогеновые рецепторы в ядре клеток приобретали уникальную форму, которая присутствует только после контакта этих рецепторов с эстрогенами, причем общее количество эстрогеновых рецепторов увеличивалось. Согласно другому исследованию, вызываемое эстрогенами повышение содержания внутриклеточного цГМФ опосредовано ЭФР. Однако наиболее важный эффект ЭФР заключается в его участии в регуляции экспрессии ИПФР-I. Е2 и ЭФР, вероятно, по одному и тому же пути способствуют активации экспрессии ИПФР-I. ИПФР-I, в свою очередь, способен вызывать секрецию клеткой ЭФР. Другими словами, описанная выше кооперация между факторами роста способна в определенных условиях, например при локальном увеличении концентрации ИПФР-I или ЭФР, а также при дисбалансе в связывающих протеинах, запустить автономный механизм пролиферации клеток, причем эстрогенное влияние будет уже не доминирующим, а вспомогательным. Здесь хотелось бы привести исследование, посвященное выращиванию ГМК</w:t>
      </w: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t xml:space="preserve"> in vitro. 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По мере вхождения в клеточный цикл гладкомышечные клетки становились компетентными к делению в ответ на воздействие различных факторов роста (тромбоцитарный фактор роста — ТФР, простой фактор роста фибробластов — пФРФ и др. ). После вхождения в клеточный цикл ГМК начинали сами продуцировать эти и другие факторы роста (ИПФР-I, ЭФР) и продолжали делиться в отсутствии экзогенных стимулов, образуя большое количество генераций. Более того, они начинали секретировать компоненты ЭЦМ, такие, как коллаген, эластин и протеогликан, надо напомнить, что ИПФР-I способен стимулировать этот процесс.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Патологическим стимулом, способным нарушить баланс факторов роста, может быть очаг эндометриоза в миометрии, вокруг которого довольно часто развивается миома. В эндометрии, так же как и в миометрии, содержатся различные факторы роста (ИПФР-I, ЭФР, пФРФ и др. ), причем концентрация ИПФР-I намного выше в эндометрии, чем в миометрии. Во время менструального цикла происходят циклические изменения в концентрации ИПФР-I. Наибольшая интенсивность окрашивания на ИПФР-комплекс была в позднюю пролиферативную и раннюю/среднюю секреторную фазу. Велика вероятность того, что факторы роста в эндометриоидном очаге способны концентрироваться или хотя бы быть источником локального накопления их, что в условиях адекватной в этом случае регенерации может привести к возникновению автономности регенераторного пролиферата, чем, вероятно, и является миома.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Таким образом, патологический стимул в матке, способный запустить регенераторный процесс, может привести к образованию автономного регенерата, в котором факторы роста совместно с эстрогенами, прогестероном и, возможно, андрогенами будут поддерживать его рост, причем действие половых гормонов является лишь вспомогательным на стадии экспансивного роста миомы матки. Это, вероятно, может объяснить развитие миомы у женщин на фоне нормального содержания эстрогенов в крови и наибольшую эффективность неместрана при ранней диагностике заболевания. </w:t>
      </w:r>
    </w:p>
    <w:p w:rsidR="001F15F4" w:rsidRDefault="001F15F4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center"/>
        <w:rPr>
          <w:rStyle w:val="a5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/>
          <w:bCs/>
          <w:sz w:val="24"/>
          <w:szCs w:val="24"/>
        </w:rPr>
        <w:t>Лечение:</w:t>
      </w:r>
    </w:p>
    <w:p w:rsidR="001F15F4" w:rsidRDefault="001F15F4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Использование гестринона (R-2323), коммерческое название — Неместран (Hoechst-Marion-Roussel), обладающего антигестагенным, антиэстрогенным, антигонадотропным и антиандрогенным действием и приводящего к созданию обратимой псевдоменопаузы или "гипофизарного гипогонадизма" и прямому подавляющему воздействию на эксплантный эндометрий при аденомиозе, дает высокий терапевтический эффект. Исчезновение узлов при небольших размерах, профилактика их формирования при внутреннем эндометриозе, уменьшение объема миомы матки на 1/3—1/4 первоначальной величины при значительных ее размерах путем перорального назначения неместрана в дозе 5—10 мг в неделю отмечено в 2/3 наблюдений в пределах 4—12 месяцев лечения; в таком же числе случаев эффект сохраняется после прекращения приема препарата. К концу второго месяца лечения кровотечения прекращаются у половины больных, страдавших менометроррагиями, а после 4 месяцев лечения у 95% женщин наступает аменорея с одновременным повышением содержания гемоглобина в периферической крови.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С другой стороны, по мнению ряда исследователей, наиболее вероятным продуцентом факторов роста в участках повреждения являются моноциты-макрофаги (Мн-Мф). Отмечается также особая роль Т-лимфоцитов в качестве источников факторов роста, способных изменять фенотип гладкомышечных клеток (ГМК) с сократительного на синтетически, что имеет важное значение в росте миомы матк.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В этом отношении в профилактике миомы матки при инвазивных гинекологических вмешательствах и хронических ЗППП заслуживает внимания рокситромицин, коммерческое название — Рулид (Hoechst-Marion-Roussel), который быстро пенетрирует в фагоциты без подавления хемотаксиса и создает высочайшие концентрации в полиморфно-ядерных нейтрофилах и моноцитах, препятствуя развитию воспалительной реакции замедленного типа, а также обладает иммуномодулирующим эффектом. Немаловажное значение имеет то, что рулид активен в отношении большинства патогенных микроорганизмов, способных играть роль в патогенезе миомы матки и нет причин комбинировать его с другими антибактериальными препаратами при проведении превентивной терапии в современных "агрессивных" гинекологии и акушерстве. </w:t>
      </w:r>
    </w:p>
    <w:p w:rsidR="001F15F4" w:rsidRDefault="00995861">
      <w:pPr>
        <w:pStyle w:val="a4"/>
        <w:tabs>
          <w:tab w:val="left" w:pos="8364"/>
        </w:tabs>
        <w:spacing w:before="0" w:after="0"/>
        <w:ind w:left="0" w:right="-57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Хотя существует множество путей действия факторов роста, но, вероятно, на уровне внутриклеточных сигнальных путей у них есть общие компоненты, ингибирование которых приводило бы к угнетению их пролиферативной активности. В связи с тем, что многие факторы роста сосредотачиваются в очагах воспаления и являются медиаторами действия половых гормонов в матке, применение неместрана и рулида может играть существенную роль в этиопатогенетических профилактике и лечении миомы матки. </w:t>
      </w:r>
    </w:p>
    <w:p w:rsidR="001F15F4" w:rsidRDefault="001F15F4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1F15F4" w:rsidRDefault="001F15F4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1F15F4" w:rsidRDefault="001F15F4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1F15F4" w:rsidRDefault="001F15F4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1F15F4" w:rsidRDefault="00995861">
      <w:pPr>
        <w:pStyle w:val="a4"/>
        <w:tabs>
          <w:tab w:val="left" w:pos="8364"/>
        </w:tabs>
        <w:ind w:left="0" w:right="-58" w:firstLine="567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/>
          <w:bCs/>
          <w:color w:val="0000FF"/>
          <w:sz w:val="24"/>
          <w:szCs w:val="24"/>
        </w:rPr>
        <w:t>Литература</w:t>
      </w:r>
    </w:p>
    <w:p w:rsidR="001F15F4" w:rsidRDefault="00995861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1. Вихляева E. M. и др. // Руководство по эндокринной гинекологии. — М., 1997. — С.424—486. </w:t>
      </w:r>
    </w:p>
    <w:p w:rsidR="001F15F4" w:rsidRDefault="00995861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2. Серов В. Н., Тихомиров А. Л. // Проблемы эндокринологии в акушерстве и гинекологии. Мат. 2-го съезда Рос. ассоциации врачей акуш. и гинек. — 1997. — С.99—100. </w:t>
      </w:r>
    </w:p>
    <w:p w:rsidR="001F15F4" w:rsidRDefault="00995861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sz w:val="24"/>
          <w:szCs w:val="24"/>
          <w:lang w:val="en-US"/>
        </w:rPr>
      </w:pP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t xml:space="preserve">3. </w:t>
      </w:r>
      <w:r>
        <w:rPr>
          <w:rStyle w:val="a5"/>
          <w:rFonts w:ascii="Times New Roman" w:hAnsi="Times New Roman" w:cs="Times New Roman"/>
          <w:sz w:val="24"/>
          <w:szCs w:val="24"/>
        </w:rPr>
        <w:t>Тихомиров</w:t>
      </w: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Style w:val="a5"/>
          <w:rFonts w:ascii="Times New Roman" w:hAnsi="Times New Roman" w:cs="Times New Roman"/>
          <w:sz w:val="24"/>
          <w:szCs w:val="24"/>
        </w:rPr>
        <w:t>А</w:t>
      </w: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Style w:val="a5"/>
          <w:rFonts w:ascii="Times New Roman" w:hAnsi="Times New Roman" w:cs="Times New Roman"/>
          <w:sz w:val="24"/>
          <w:szCs w:val="24"/>
        </w:rPr>
        <w:t>Л</w:t>
      </w:r>
      <w:r>
        <w:rPr>
          <w:rStyle w:val="a5"/>
          <w:rFonts w:ascii="Times New Roman" w:hAnsi="Times New Roman" w:cs="Times New Roman"/>
          <w:sz w:val="24"/>
          <w:szCs w:val="24"/>
          <w:lang w:val="en-US"/>
        </w:rPr>
        <w:t xml:space="preserve">. // Materia Medica. — 1996. — № 3(11). — P.76—82. </w:t>
      </w:r>
    </w:p>
    <w:p w:rsidR="001F15F4" w:rsidRDefault="00995861">
      <w:pPr>
        <w:pStyle w:val="a4"/>
        <w:tabs>
          <w:tab w:val="left" w:pos="8364"/>
        </w:tabs>
        <w:ind w:left="0" w:right="-58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 xml:space="preserve">4 Тихомиров А. Л., Казанцева И. А. // Проблемы эндокринологии в акушерстве и гинекологии. Мат. 2-го съезда Рос. ассоциации врачей акуш. и гинек. — 1997. — С.321—322. </w:t>
      </w:r>
    </w:p>
    <w:p w:rsidR="001F15F4" w:rsidRDefault="001F15F4">
      <w:pPr>
        <w:tabs>
          <w:tab w:val="left" w:pos="8364"/>
        </w:tabs>
        <w:spacing w:before="0" w:after="0"/>
        <w:ind w:right="-58" w:firstLine="567"/>
        <w:jc w:val="both"/>
      </w:pPr>
    </w:p>
    <w:p w:rsidR="001F15F4" w:rsidRDefault="001F15F4">
      <w:pPr>
        <w:tabs>
          <w:tab w:val="left" w:pos="8364"/>
        </w:tabs>
        <w:spacing w:before="0" w:after="0"/>
        <w:ind w:right="-58" w:firstLine="567"/>
        <w:jc w:val="both"/>
      </w:pPr>
    </w:p>
    <w:p w:rsidR="001F15F4" w:rsidRDefault="001F15F4">
      <w:pPr>
        <w:tabs>
          <w:tab w:val="left" w:pos="8364"/>
        </w:tabs>
        <w:spacing w:before="0" w:after="0"/>
        <w:ind w:right="-58" w:firstLine="567"/>
        <w:jc w:val="both"/>
      </w:pPr>
      <w:bookmarkStart w:id="0" w:name="_GoBack"/>
      <w:bookmarkEnd w:id="0"/>
    </w:p>
    <w:sectPr w:rsidR="001F15F4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80524"/>
    <w:multiLevelType w:val="singleLevel"/>
    <w:tmpl w:val="37A4E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A4032D"/>
    <w:multiLevelType w:val="singleLevel"/>
    <w:tmpl w:val="37A4E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4C1098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3CE3066C"/>
    <w:multiLevelType w:val="singleLevel"/>
    <w:tmpl w:val="37A4E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1C90AF9"/>
    <w:multiLevelType w:val="singleLevel"/>
    <w:tmpl w:val="37A4E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134FA2"/>
    <w:multiLevelType w:val="singleLevel"/>
    <w:tmpl w:val="37A4E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861"/>
    <w:rsid w:val="001F15F4"/>
    <w:rsid w:val="002449B2"/>
    <w:rsid w:val="0099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0A23DA-D93C-463B-889F-12BC0811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3">
    <w:name w:val="Основной шрифт"/>
    <w:uiPriority w:val="99"/>
  </w:style>
  <w:style w:type="paragraph" w:customStyle="1" w:styleId="a4">
    <w:name w:val="Цитаты"/>
    <w:basedOn w:val="a"/>
    <w:uiPriority w:val="99"/>
    <w:pPr>
      <w:ind w:left="360" w:right="360"/>
    </w:pPr>
  </w:style>
  <w:style w:type="character" w:customStyle="1" w:styleId="a5">
    <w:name w:val="Печатная машинка"/>
    <w:uiPriority w:val="99"/>
    <w:rPr>
      <w:rFonts w:ascii="Courier New" w:hAnsi="Courier New" w:cs="Courier New"/>
      <w:sz w:val="20"/>
      <w:szCs w:val="20"/>
    </w:rPr>
  </w:style>
  <w:style w:type="character" w:styleId="a6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2393</Words>
  <Characters>13644</Characters>
  <Application>Microsoft Office Word</Application>
  <DocSecurity>0</DocSecurity>
  <Lines>113</Lines>
  <Paragraphs>32</Paragraphs>
  <ScaleCrop>false</ScaleCrop>
  <Company>VlaDim teens United</Company>
  <LinksUpToDate>false</LinksUpToDate>
  <CharactersWithSpaces>16005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Миома, она же фибромиома, лейомиома, матки - доброкачественная гормонозависимая опухоль внутри стенки матки или на ее поверхности</dc:title>
  <dc:subject/>
  <dc:creator>Vladimir V. Dzhola</dc:creator>
  <cp:keywords/>
  <dc:description/>
  <cp:lastModifiedBy>admin</cp:lastModifiedBy>
  <cp:revision>2</cp:revision>
  <dcterms:created xsi:type="dcterms:W3CDTF">2014-02-18T19:44:00Z</dcterms:created>
  <dcterms:modified xsi:type="dcterms:W3CDTF">2014-02-18T19:44:00Z</dcterms:modified>
</cp:coreProperties>
</file>