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  <w:r>
        <w:rPr>
          <w:b/>
          <w:bCs/>
          <w:i/>
          <w:iCs/>
          <w:sz w:val="52"/>
          <w:szCs w:val="52"/>
          <w:u w:val="single"/>
        </w:rPr>
        <w:t>Р Е Ф Е Р А Т</w:t>
      </w:r>
    </w:p>
    <w:p w:rsidR="00C93326" w:rsidRDefault="00C93326">
      <w:pPr>
        <w:jc w:val="center"/>
        <w:rPr>
          <w:sz w:val="16"/>
          <w:szCs w:val="16"/>
        </w:rPr>
      </w:pPr>
      <w:r>
        <w:rPr>
          <w:sz w:val="16"/>
          <w:szCs w:val="16"/>
        </w:rPr>
        <w:t>Постдипломное образование</w:t>
      </w: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</w:p>
    <w:p w:rsidR="00C93326" w:rsidRDefault="00C93326">
      <w:pPr>
        <w:jc w:val="center"/>
        <w:rPr>
          <w:b/>
          <w:bCs/>
          <w:i/>
          <w:iCs/>
          <w:sz w:val="52"/>
          <w:szCs w:val="52"/>
          <w:u w:val="single"/>
        </w:rPr>
      </w:pPr>
      <w:r>
        <w:rPr>
          <w:b/>
          <w:bCs/>
          <w:i/>
          <w:iCs/>
          <w:sz w:val="52"/>
          <w:szCs w:val="52"/>
          <w:u w:val="single"/>
        </w:rPr>
        <w:t>Сальмонеллезы</w:t>
      </w:r>
    </w:p>
    <w:p w:rsidR="00C93326" w:rsidRDefault="00C93326">
      <w:pPr>
        <w:spacing w:before="0" w:after="0"/>
        <w:rPr>
          <w:sz w:val="20"/>
          <w:szCs w:val="20"/>
        </w:rPr>
      </w:pPr>
    </w:p>
    <w:p w:rsidR="00C93326" w:rsidRDefault="00C93326">
      <w:pPr>
        <w:spacing w:before="0" w:after="0"/>
        <w:rPr>
          <w:sz w:val="20"/>
          <w:szCs w:val="20"/>
        </w:rPr>
      </w:pPr>
    </w:p>
    <w:p w:rsidR="00C93326" w:rsidRDefault="00C93326">
      <w:pPr>
        <w:spacing w:before="0" w:after="0"/>
        <w:rPr>
          <w:sz w:val="20"/>
          <w:szCs w:val="20"/>
        </w:rPr>
      </w:pPr>
    </w:p>
    <w:p w:rsidR="00C93326" w:rsidRDefault="00C93326">
      <w:pPr>
        <w:spacing w:before="0" w:after="0"/>
        <w:rPr>
          <w:sz w:val="20"/>
          <w:szCs w:val="20"/>
        </w:rPr>
      </w:pPr>
    </w:p>
    <w:p w:rsidR="00C93326" w:rsidRDefault="00C93326">
      <w:r>
        <w:t>Сальмонеллезы – острые инфекционные заболевания животных и человека, вызываемые многочисленными бактериями из рода сальмонелл и передаваемые, в основном, через пищевые продукты. Клинически сальмонеллезы характеризуются чаще всего поражением органов желудочно-кишечного тракта в виде гастроэнтерита, синдромами интоксикации и обезвоживания. Бывают тяжелые генерализованные формы болезни, протекающие в виде септикопиемического или тифоподобного вариантов. Сальмонеллезный сепсис может развиваться у лиц любого возраста, но чаще наблюдается у новорожденных и детей до года, лиц пожилого и старческого возраста, у которых проходит с высокой лихорадкой, выраженными синдромами интоксикации, полиорганной недостаточности и наличием вторичных септических очагов в легких, эндокарде, центральной нервной системе, а также в органах гепато-биллиарной и урогенитальной системы.</w:t>
      </w:r>
    </w:p>
    <w:p w:rsidR="00C93326" w:rsidRDefault="00C93326">
      <w:r>
        <w:t>Этиология. Возбудитель болезни принадлежит к роду Salmonella, семейству Enterobacteriaсea. Сальмонеллы – это подвижные, грамотрицательные палочки размерами 2–3 х 0,5–0,8 мкм, являющиеся факультативными аэробами, не образущие спор и капсул, растущие на обычных питательных средах и практически во всех пищевых продуктах, особенно при температуре от +35 до +37°С, но даже и при +7 – +45°C.</w:t>
      </w:r>
    </w:p>
    <w:p w:rsidR="00C93326" w:rsidRDefault="00C93326">
      <w:r>
        <w:t>Могут существовать в виде L-форм. Имеют сложную антигеннyю структуру и содержат соматический термостабильный О-антиген, жгутиковый термолабильный Н-антиген, поверхностный или капсульный К-антиген, М – антиген, а также Vi-антиген, как компонент О-антигена.</w:t>
      </w:r>
    </w:p>
    <w:p w:rsidR="00C93326" w:rsidRDefault="00C93326">
      <w:r>
        <w:t xml:space="preserve">В практической работе для серологической идентификации сальмонелл проводят исследование по О, Н- и Vi-антигенам. В соответствии с классификацией Кауфмана-Уайта по О-антигену определяют серологические О-группы сальмонелл, обозначаемые буквами А, В, С, D и т.д., по Н-антигену идентифицируют серовары возбудителей. К настоящему времени выделены 67 О-групп сальмонелл и более 2220 сероваров по Н-антигену. По прогнозам ученых существует более 10 тыс сероваров сальмонелл. Выделено свыше 500 сероваров сальмонелл, среди которых наиболее часто встречаются S.Enteritidis, S.Typhimurium, S.Heidelberg, S.Anatum, S.London, S.Derby, S.Newport, S.Reading и другие. Эпидемиологическое значение имеют результаты определения фаговаров сальмонелл, которых, например, у S.Typhimurium – 90, у S.Virchow – 5. </w:t>
      </w:r>
    </w:p>
    <w:p w:rsidR="00C93326" w:rsidRDefault="00C93326">
      <w:r>
        <w:t>Сальмонеллы весьма устойчивы в окружающей среде. Так, в воде открытых пресных водоемов микроорганизмы выживают до 120 дней, в морской воде – до месяца, в водопроводной и сточной воде – месяцы. В пищевых продуктах возбудители сальмонеллеза живут и размножаются в течение длительного времени, в частности, в мясе и колбасе от 2 до 6 мес и более, в молоке, молочных продуктах, сливочном масле – 1,5–6 мес, в яйцах, сырах – год и более, в помете и фекалиях – месяцы и годы. Сальмонеллы хорошо и длительно переносят низкие температуры (например, при 0–2°С – выживают в течение 5–6 мес), а при высоких – сравнительно быстро погибают (при кипячении погибают практически мгновенно, при 60–80°С могут существовать в течение 2–40 мин). Для уничтожения сальмонелл внутри кусков мяса необходимо варить его в течение 2 и более часов.</w:t>
      </w:r>
    </w:p>
    <w:p w:rsidR="00C93326" w:rsidRDefault="00C93326">
      <w:r>
        <w:t>Важное практическое значение имеет чувствительность сальмонелл к терапевтическим концентрациям антибактериальных препаратов.</w:t>
      </w:r>
    </w:p>
    <w:p w:rsidR="00C93326" w:rsidRDefault="00C93326">
      <w:r>
        <w:t>В целом, большинство свежевыделенных, особенно госпитальных штаммов сальмонелл полирезистентны к 8–10 химиотерапевтическим препаратам различных групп: ампициллину, карбенициллину, левомицетину, тетрациклину, доксициклину, метациклину, фуразолидону, энтеросептолу, интестопану, эритромицину и другим макролидам, цефалоспоринам I-II поколения, бисептолу и другим лекарствам. Остается сравнительно достаточной чувствительность сальмонелл к терапевтическим концентрациям цефалоспоринов III поколения (клафоран, лонгацеф, цефобид и др.), аминогликозидов II-III поколения (гентамицин, сизомицин, тобрамицин, амикацин, нетилмицин), фторхинолонов (офлоксацин, норфлоксацин, ципрофлоксацин, пефлоксацин), рифампицина, полимиксина, тиенама, интетрикса, нифуроксазида.</w:t>
      </w:r>
    </w:p>
    <w:p w:rsidR="00C93326" w:rsidRDefault="00C93326">
      <w:r>
        <w:t>Эпидемиология. Во всем мире наблюдается устойчивая тенденция к росту заболеваемости сальмонеллезами, удельный вес которых в структуре регистрируемых кишечных инфекций (шигеллезы, эшерихиозы, кампилобактериозы, иерсиниозы и др.) в Англии, США, Германии, Швейцарии и других странах составляет от 35 до 90%. Болезнь встречается в виде как спорадических случаев, так и эпидемических вспышек. Широкому повсеместному распространению сальмонеллезов спосбствуют многие факторы и, в частности, обилие источников возбудителей: крупный рогатый скот, свиньи, лошади, овцы, собаки, кошки, дикие животные (волки, лисы, бобры, медведи), крысы, мыши, домашние и дикие птицы (утки, гуси, куры, индейки, голуби, воробьи, ласточки, чайки и др.). Инфицированность различных групп этих животных колеблется от 6–7 до 80%. Меньшее эпидемиологическое значение имеют холоднокровные (ящерицы, черепахи, змеи, лягушки, рыба, раки, крабы) и насекомые (вши, блохи, клещи, пчелы). Больной человек и бактерионоситель также могут быть источником инфекции.</w:t>
      </w:r>
    </w:p>
    <w:p w:rsidR="00C93326" w:rsidRDefault="00C93326">
      <w:r>
        <w:t xml:space="preserve">Основным механизмом заражения является алиментарный (энтеральный), ведущие пути передачи сальмонелл – пищевой, водный и контактно-бытовой. Последний характерен для внутрибольничных вспышек болезни, вызываемой в основном S.Typhimurium, причем чаще среди новорожденных и детей до 1 года. По данным А.М.Зарицкого (1988), В.И.Покровского и соавт. (1996) основными факторами передачи сальмонелл при пищевых вспышках болезни являются мясо и мясные продукты (46,2%), студни (28,0%), яйца и яйцепродукты (14,0%), реже кондитерские изделия, молоко, овощи, фрукты, ягоды, рыба и другие экзо- или эндогенно инфицированные пищевые продукты. Вода может быть фактором передачи сальмонелл при ее использовании на пищеблоках. В этом случае происходит инфицирование пищевых продуктов, где возбудитель бурно размножается. Такова же природа распространения возбудителей аэрозольным (пылевым) путем, тараканами и другими насекомыми, переносящими сальмонеллы в пищевые продукты. Сезонность сальмонеллезов – летне-осенняя, однако внутрибольничные вспышки в родильных, детских, гериатрических стационарах нередко возникают зимой и весной. </w:t>
      </w:r>
    </w:p>
    <w:p w:rsidR="00C93326" w:rsidRDefault="00C93326">
      <w:r>
        <w:t xml:space="preserve">Патогенез. Входными воротами инфекции являются слизистые оболочки желудочно-кишечного тракта. Инфицирующая доза составляет примерно 106–107 микробных клеток. Часть сальмонелл гибнет в желудке под влиянием соляной кислоты и ферментов. Это ведет к освобождению и всасыванию эндотоксина, с чем связано развитие синдрома интоксикации – высокая температура, общая слабость, головная боль, тошнота, рвота, ломота в теле, артралгии, миалгии и другие признаки болезни. </w:t>
      </w:r>
    </w:p>
    <w:p w:rsidR="00C93326" w:rsidRDefault="00C93326">
      <w:r>
        <w:t>Помимо эндотоксина патогенность сальмонелл обусловлена адгезией, колонизацией и инвазией ими слизистой оболочки (энтероцитов) тонкой и толстой кишки. Факторами адгезии являются пили и жгутики, инвазии – ферменты. В энтероцитах сальмонеллы образуют энтеротоксин, который совместно с эндотоксином приводит к повышению активности аденилатциклазы и гуанилатциклазы клеточных мембран, накоплению в клетках цАМФ и цГМФ. Это ведет к повышению проницаемости наружных и внутриклеточных мембран, клетка теряет воду, калий, натрий, хлор, бикарбонаты. Под влиянием биологически активных веществ, в частности гистамина и простагландинов, усиливается перистальтика кишечника, развиваются понос и рвота, ведущие к дегидратации, деминерализации, уменьшается объем циркулирующей крови (ОЦК), нарушается микроциркуляция, наступают гипоксия и метаболический ацидоз тканей. При тяжелой интоксикации и дегидратации нарушается функция почек, печени, сердца, легких, ЦНС.</w:t>
      </w:r>
    </w:p>
    <w:p w:rsidR="00C93326" w:rsidRDefault="00C93326">
      <w:r>
        <w:t>При иммунодефицитах, связанных с действием радионуклидов, химических веществ, хронической фоновой патологией, применением глюкокортикостероидов, цитостатиков, а также с некоторыми физиологическими факторами (возраст до года, пожилой и старческий), развиваются генерализованные формы сальмонеллезов, при которых поражаются практически все внутренние органы.</w:t>
      </w:r>
    </w:p>
    <w:p w:rsidR="00C93326" w:rsidRDefault="00C93326">
      <w:r>
        <w:t>При любом клиническом течении сальмонеллеза у больных нарушены процессы пищеварения (полостного, пристеночного) и всасывания, что связано с выраженным дисферментозом, кишечным дисбактериозом и нередко приводит к развитию хронической гастроэнтерологической патологии [Л.Л.Громашевская и соавт., 1976, 1991].</w:t>
      </w:r>
    </w:p>
    <w:p w:rsidR="00C93326" w:rsidRDefault="00C93326">
      <w:r>
        <w:t>В связи с эндотоксинемией и дегидратацией поражаются все паренхиматозные органы – печень, почки, поджелудочная железа, надпочечники, миокард, легкие, центральная и вегетативная нервная система; нарушаются клеточные и гуморальные звенья иммунитета. Последнее ведет к формированию длительного бактериовыделения сальмонелл.</w:t>
      </w:r>
    </w:p>
    <w:p w:rsidR="00C93326" w:rsidRDefault="00C93326">
      <w:r>
        <w:rPr>
          <w:u w:val="single"/>
        </w:rPr>
        <w:t>Клиническая классификация</w:t>
      </w:r>
      <w:r>
        <w:t xml:space="preserve"> сальмонеллезов предполагает выделение форм и вариантов болезни, характера течения, определение степени дегидратации и указание осложнений (табл. 1). </w:t>
      </w:r>
    </w:p>
    <w:p w:rsidR="00C93326" w:rsidRDefault="00C93326">
      <w:r>
        <w:t xml:space="preserve">Таблица 1. </w:t>
      </w:r>
      <w:r>
        <w:rPr>
          <w:rStyle w:val="a3"/>
        </w:rPr>
        <w:t>Клиническая классификация сальмонеллезов</w:t>
      </w: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0"/>
        <w:gridCol w:w="2446"/>
        <w:gridCol w:w="1455"/>
        <w:gridCol w:w="1158"/>
        <w:gridCol w:w="2248"/>
      </w:tblGrid>
      <w:tr w:rsidR="00C93326">
        <w:trPr>
          <w:jc w:val="center"/>
        </w:trPr>
        <w:tc>
          <w:tcPr>
            <w:tcW w:w="20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fldChar w:fldCharType="begin"/>
            </w:r>
            <w:r>
              <w:instrText>PRIVATE</w:instrText>
            </w:r>
            <w:r>
              <w:fldChar w:fldCharType="end"/>
            </w:r>
            <w:r>
              <w:rPr>
                <w:b/>
                <w:bCs/>
              </w:rPr>
              <w:t xml:space="preserve"> Клиническая форма</w:t>
            </w:r>
          </w:p>
        </w:tc>
        <w:tc>
          <w:tcPr>
            <w:tcW w:w="244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Вариант</w:t>
            </w:r>
          </w:p>
        </w:tc>
        <w:tc>
          <w:tcPr>
            <w:tcW w:w="145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Течение</w:t>
            </w:r>
          </w:p>
        </w:tc>
        <w:tc>
          <w:tcPr>
            <w:tcW w:w="115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Степень де-</w:t>
            </w:r>
            <w:r>
              <w:rPr>
                <w:b/>
                <w:bCs/>
              </w:rPr>
              <w:br/>
              <w:t>гидратации</w:t>
            </w:r>
          </w:p>
        </w:tc>
        <w:tc>
          <w:tcPr>
            <w:tcW w:w="22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Осложнения</w:t>
            </w:r>
          </w:p>
        </w:tc>
      </w:tr>
      <w:tr w:rsidR="00C93326">
        <w:trPr>
          <w:cantSplit/>
          <w:jc w:val="center"/>
        </w:trPr>
        <w:tc>
          <w:tcPr>
            <w:tcW w:w="20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Гастроинтестинальная</w:t>
            </w:r>
          </w:p>
        </w:tc>
        <w:tc>
          <w:tcPr>
            <w:tcW w:w="244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Гастритический</w:t>
            </w:r>
            <w:r>
              <w:br/>
              <w:t>Гастроэнтеритический</w:t>
            </w:r>
            <w:r>
              <w:br/>
              <w:t>Гастроэнтероколитический</w:t>
            </w:r>
          </w:p>
        </w:tc>
        <w:tc>
          <w:tcPr>
            <w:tcW w:w="145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Субклиническое</w:t>
            </w:r>
            <w:r>
              <w:br/>
              <w:t>Легкое</w:t>
            </w:r>
            <w:r>
              <w:br/>
              <w:t>Среднетяжелое</w:t>
            </w:r>
            <w:r>
              <w:br/>
              <w:t>Тяжелое</w:t>
            </w:r>
          </w:p>
        </w:tc>
        <w:tc>
          <w:tcPr>
            <w:tcW w:w="1158" w:type="dxa"/>
            <w:v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I–IV ст.</w:t>
            </w:r>
          </w:p>
        </w:tc>
        <w:tc>
          <w:tcPr>
            <w:tcW w:w="2248" w:type="dxa"/>
            <w:v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Плевропневмония</w:t>
            </w:r>
            <w:r>
              <w:br/>
              <w:t>Менингит</w:t>
            </w:r>
            <w:r>
              <w:br/>
              <w:t>Гепатохолецистит</w:t>
            </w:r>
            <w:r>
              <w:br/>
              <w:t>Инфекционно-токсиче-</w:t>
            </w:r>
            <w:r>
              <w:br/>
              <w:t>ский шок</w:t>
            </w:r>
            <w:r>
              <w:br/>
              <w:t>Дегидратационный шок</w:t>
            </w:r>
            <w:r>
              <w:br/>
              <w:t>Острая почечная недо-</w:t>
            </w:r>
            <w:r>
              <w:br/>
              <w:t>статочность</w:t>
            </w:r>
            <w:r>
              <w:br/>
              <w:t>Острая почечно-пече-</w:t>
            </w:r>
            <w:r>
              <w:br/>
              <w:t>ночная недостаточность</w:t>
            </w:r>
            <w:r>
              <w:br/>
              <w:t>Отек-набухание вещест-</w:t>
            </w:r>
            <w:r>
              <w:br/>
              <w:t>ва головного мозга</w:t>
            </w:r>
          </w:p>
        </w:tc>
      </w:tr>
      <w:tr w:rsidR="00C93326">
        <w:trPr>
          <w:cantSplit/>
          <w:jc w:val="center"/>
        </w:trPr>
        <w:tc>
          <w:tcPr>
            <w:tcW w:w="20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Генерализованная</w:t>
            </w:r>
          </w:p>
        </w:tc>
        <w:tc>
          <w:tcPr>
            <w:tcW w:w="244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Септикопиемический</w:t>
            </w:r>
            <w:r>
              <w:br/>
              <w:t>Септицемический</w:t>
            </w:r>
            <w:r>
              <w:br/>
              <w:t>Тифоподобный</w:t>
            </w:r>
          </w:p>
        </w:tc>
        <w:tc>
          <w:tcPr>
            <w:tcW w:w="145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Тяжелое</w:t>
            </w:r>
          </w:p>
        </w:tc>
        <w:tc>
          <w:tcPr>
            <w:tcW w:w="1158" w:type="dxa"/>
            <w:v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/>
        </w:tc>
        <w:tc>
          <w:tcPr>
            <w:tcW w:w="2248" w:type="dxa"/>
            <w:v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/>
        </w:tc>
      </w:tr>
      <w:tr w:rsidR="00C93326">
        <w:trPr>
          <w:jc w:val="center"/>
        </w:trPr>
        <w:tc>
          <w:tcPr>
            <w:tcW w:w="20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Бактериовыделение</w:t>
            </w:r>
          </w:p>
        </w:tc>
        <w:tc>
          <w:tcPr>
            <w:tcW w:w="244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Транзиторное</w:t>
            </w:r>
            <w:r>
              <w:br/>
              <w:t>Острое</w:t>
            </w:r>
            <w:r>
              <w:br/>
              <w:t>Хроническое</w:t>
            </w:r>
          </w:p>
        </w:tc>
        <w:tc>
          <w:tcPr>
            <w:tcW w:w="145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>
            <w:r>
              <w:t>–</w:t>
            </w:r>
          </w:p>
        </w:tc>
        <w:tc>
          <w:tcPr>
            <w:tcW w:w="115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>
            <w:r>
              <w:t>–</w:t>
            </w:r>
          </w:p>
        </w:tc>
        <w:tc>
          <w:tcPr>
            <w:tcW w:w="22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>
            <w:r>
              <w:t>–</w:t>
            </w:r>
          </w:p>
        </w:tc>
      </w:tr>
    </w:tbl>
    <w:p w:rsidR="00C93326" w:rsidRDefault="00C93326">
      <w:pPr>
        <w:jc w:val="center"/>
      </w:pPr>
      <w:r>
        <w:t xml:space="preserve">Степень дегидратации определяется потерей жидкости в процентах от массы тела: I степень – 1–3% у взрослых, 1–5% у детей; II степень – соответвственно 4–6% и 6–10%; III степень – 7–9% и 11–15%; IV степень – </w:t>
      </w:r>
      <w:r>
        <w:rPr>
          <w:rFonts w:ascii="Symbol" w:hAnsi="Symbol" w:cs="Symbol"/>
        </w:rPr>
        <w:t></w:t>
      </w:r>
      <w:r>
        <w:t>10%.</w:t>
      </w:r>
    </w:p>
    <w:p w:rsidR="00C93326" w:rsidRDefault="00C93326">
      <w:r>
        <w:t xml:space="preserve">Клиника. Инкубационный период длится от 2–3 часов до 2–3 дней, в среднем – сутки. Заболевание начинается остро. В начальном периоде доминируют признаки интоксикации (общая слабость, головная боль, озноб, высокая температура и др.), вслед за чем появляются симптомы гастроэнтерита – рвота, понос, боль преимущественно в правой половине живота. При гастроинтестинальной форме болезни (75–95% случаев) в зависимости от тяжести ее течения рвота и понос повторяются от 2–3 до 10–20 раз в сутки. Испражнения обычно водянистые со слизью зеленоватого цвета. При гастроэнтероколитическом варианте гастроинтестинальной формы сальмонеллеза испражнения содержат патологические примеси в виде слизи и крови. Кожа и видимые слизистые оболочки сухие, язык обложен белым налетом. Живот умеренно вздут, при пальпации болезнен в эпигастрии, области пупка, правой подвздошной области. Усиление перистальтики кишечника сопровождается урчанием. При тяжелом течении заболевания увеличены печень и селезенка. </w:t>
      </w:r>
    </w:p>
    <w:p w:rsidR="00C93326" w:rsidRDefault="00C93326">
      <w:r>
        <w:t>В связи с обезвоживанием, дизэлектролитемией, нарушением кислотно-основного состояния (KОC) у части больных развиваются судороги мышц ног и рук. Отмечаются признаки поражения сердечно-сосудистой системы – глухость сердечных тонов, расширение границ сердца, тахикардия, аритмия, гипотония вплоть до коллапса. В крови – умеренный лейкоцитоз, сдвиг лейкоцитарной формулы влево, увеличенная СОЭ. Поражение почек сопровождается олигоанурией, повышением содержания креатинина и мочевины в крови. В моче – повышенное содержание белка, лейкоцитов, цилиндры, эритроциты.</w:t>
      </w:r>
    </w:p>
    <w:p w:rsidR="00C93326" w:rsidRDefault="00C93326">
      <w:r>
        <w:t xml:space="preserve">В среднем длительность гастроинтестинальной формы болезни составляет 4–7 дней. </w:t>
      </w:r>
    </w:p>
    <w:p w:rsidR="00C93326" w:rsidRDefault="00C93326">
      <w:r>
        <w:t>Клинические проявления гастроинтестинальной формы сальмонеллеза в зависимости от тяжести представлены в таблице 2.</w:t>
      </w:r>
    </w:p>
    <w:p w:rsidR="00C93326" w:rsidRDefault="00C93326">
      <w:r>
        <w:t xml:space="preserve">Таблица 2. </w:t>
      </w:r>
      <w:r>
        <w:rPr>
          <w:rStyle w:val="a3"/>
        </w:rPr>
        <w:t>Частота и выраженность клинических и лабораторных признаков сальмонеллеза в зависимости от тяжести течения болезни</w:t>
      </w: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30"/>
        <w:gridCol w:w="1549"/>
        <w:gridCol w:w="2375"/>
        <w:gridCol w:w="3304"/>
      </w:tblGrid>
      <w:tr w:rsidR="00C93326">
        <w:trPr>
          <w:cantSplit/>
          <w:jc w:val="center"/>
        </w:trPr>
        <w:tc>
          <w:tcPr>
            <w:tcW w:w="2130" w:type="dxa"/>
            <w:v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FFFF00"/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fldChar w:fldCharType="begin"/>
            </w:r>
            <w:r>
              <w:instrText>PRIVATE</w:instrText>
            </w:r>
            <w:r>
              <w:fldChar w:fldCharType="end"/>
            </w:r>
            <w:r>
              <w:rPr>
                <w:b/>
                <w:bCs/>
              </w:rPr>
              <w:t xml:space="preserve"> Признаки</w:t>
            </w:r>
          </w:p>
        </w:tc>
        <w:tc>
          <w:tcPr>
            <w:tcW w:w="7228" w:type="dxa"/>
            <w:gridSpan w:val="3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FFFF00"/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Течение</w:t>
            </w:r>
          </w:p>
        </w:tc>
      </w:tr>
      <w:tr w:rsidR="00C93326">
        <w:trPr>
          <w:cantSplit/>
          <w:jc w:val="center"/>
        </w:trPr>
        <w:tc>
          <w:tcPr>
            <w:tcW w:w="2130" w:type="dxa"/>
            <w:v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93326" w:rsidRDefault="00C93326"/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FFFF00"/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Легкое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FFFF00"/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Среднетяжелое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FFFF00"/>
            <w:vAlign w:val="center"/>
          </w:tcPr>
          <w:p w:rsidR="00C93326" w:rsidRDefault="00C933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Тяжелое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Потеря жидкости</w:t>
            </w:r>
            <w:r>
              <w:br/>
              <w:t>(% от массы тела)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1–3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4–6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7–10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Желудочно-кишечный</w:t>
            </w:r>
            <w:r>
              <w:br/>
              <w:t>тракт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Рвота 2–3 раза,</w:t>
            </w:r>
            <w:r>
              <w:br/>
              <w:t>стул 3–5 раз в</w:t>
            </w:r>
            <w:r>
              <w:br/>
              <w:t>сутки на протя-</w:t>
            </w:r>
            <w:r>
              <w:br/>
              <w:t>жении 1–3 дней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Рвота и стул 6–15 раз в</w:t>
            </w:r>
            <w:r>
              <w:br/>
              <w:t>сутки на протяжении</w:t>
            </w:r>
            <w:r>
              <w:br/>
              <w:t>5–7 дней, метеоризм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Многократная рвота, стул до 20 и</w:t>
            </w:r>
            <w:r>
              <w:br/>
              <w:t>более раз в сутки, интенсивная</w:t>
            </w:r>
            <w:r>
              <w:br/>
              <w:t>боль в животе, увеличение</w:t>
            </w:r>
            <w:r>
              <w:br/>
              <w:t>печени и селезенки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Дыхание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Не нарушено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Легкая одышка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Выраженная одышка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Кровообращение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Не нарушено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ЧСС 100–120 уд./мин,</w:t>
            </w:r>
            <w:r>
              <w:br/>
              <w:t>90</w:t>
            </w:r>
            <w:r>
              <w:rPr>
                <w:rFonts w:ascii="Symbol" w:hAnsi="Symbol" w:cs="Symbol"/>
              </w:rPr>
              <w:t></w:t>
            </w:r>
            <w:r>
              <w:t>АД&gt;70 мм рт.ст.,</w:t>
            </w:r>
            <w:r>
              <w:br/>
              <w:t>бледность кожи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Тахикардия, пульс нитевидный</w:t>
            </w:r>
            <w:r>
              <w:br/>
              <w:t>или не определяется, АД&lt;70 мм</w:t>
            </w:r>
            <w:r>
              <w:br/>
              <w:t>рт.ст., цианоз кожи, коллапс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Функция почек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Не нарушена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Олигурия, альбумин-</w:t>
            </w:r>
            <w:r>
              <w:br/>
              <w:t>урия, лейкоцитурия в</w:t>
            </w:r>
            <w:r>
              <w:br/>
              <w:t>течение 1–2 дней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Олиго- или анурия, гематурия,</w:t>
            </w:r>
            <w:r>
              <w:br/>
              <w:t>цилиндрурия, повышение</w:t>
            </w:r>
            <w:r>
              <w:br/>
              <w:t>мочевины и креатинина в крови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Жажда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Умеренная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Значительная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Резко выражена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Тургор кожи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Не изменен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Снижен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Резко снижен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Судороги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Отсутствуют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Кратковременные в</w:t>
            </w:r>
            <w:r>
              <w:br/>
              <w:t>икроножных мышцах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Продолжительные, генерализо-</w:t>
            </w:r>
            <w:r>
              <w:br/>
              <w:t>ванные, болезненные, "рука</w:t>
            </w:r>
            <w:r>
              <w:br/>
              <w:t>акушера", "конская стопа"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Голос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Сохранен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Ослаблен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Осиплость, афония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Периферическая кровь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Небольшой</w:t>
            </w:r>
            <w:r>
              <w:br/>
              <w:t>лейкоцитоз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Лейкоцитоз, нейтро-</w:t>
            </w:r>
            <w:r>
              <w:br/>
              <w:t>филез, эозинопения,</w:t>
            </w:r>
            <w:r>
              <w:br/>
              <w:t>увеличенная СОЭ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Лейкоцитоз, анэозинофилия, рез-</w:t>
            </w:r>
            <w:r>
              <w:br/>
              <w:t>кий сдвиг формулы влево,</w:t>
            </w:r>
            <w:r>
              <w:br/>
              <w:t>увеличенная СОЭ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Гематокрит (%)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40–45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46–50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&gt;50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pH крови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7,45–7,35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7,35–7,30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&lt;7,30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Дефицит оснований</w:t>
            </w:r>
            <w:r>
              <w:br/>
              <w:t>(ВЕ, мэкв/л)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Норма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от –4 до –10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от –10 до –18 и более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Потери К</w:t>
            </w:r>
            <w:r>
              <w:rPr>
                <w:vertAlign w:val="superscript"/>
              </w:rPr>
              <w:t>+</w:t>
            </w:r>
            <w:r>
              <w:t>, Na</w:t>
            </w:r>
            <w:r>
              <w:rPr>
                <w:vertAlign w:val="superscript"/>
              </w:rPr>
              <w:t>+</w:t>
            </w:r>
            <w:r>
              <w:t>, Cl</w:t>
            </w:r>
            <w:r>
              <w:rPr>
                <w:vertAlign w:val="superscript"/>
              </w:rPr>
              <w:t>–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Нет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Умеренные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Выраженное обессоливание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Система гемостаза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Не изменена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Слабые признаки ДВС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ДВС, тромбоцитопения, др.</w:t>
            </w:r>
          </w:p>
        </w:tc>
      </w:tr>
      <w:tr w:rsidR="00C93326">
        <w:trPr>
          <w:jc w:val="center"/>
        </w:trPr>
        <w:tc>
          <w:tcPr>
            <w:tcW w:w="213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Пищеварение,</w:t>
            </w:r>
            <w:r>
              <w:br/>
              <w:t>всасывание</w:t>
            </w:r>
          </w:p>
        </w:tc>
        <w:tc>
          <w:tcPr>
            <w:tcW w:w="154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Не нарушены</w:t>
            </w:r>
          </w:p>
        </w:tc>
        <w:tc>
          <w:tcPr>
            <w:tcW w:w="23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Нарушены у 50–75%</w:t>
            </w:r>
            <w:r>
              <w:br/>
              <w:t>больных</w:t>
            </w:r>
          </w:p>
        </w:tc>
        <w:tc>
          <w:tcPr>
            <w:tcW w:w="330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93326" w:rsidRDefault="00C93326">
            <w:r>
              <w:t>Нарушены у всех больных</w:t>
            </w:r>
          </w:p>
        </w:tc>
      </w:tr>
    </w:tbl>
    <w:p w:rsidR="00C93326" w:rsidRDefault="00C93326">
      <w:pPr>
        <w:jc w:val="center"/>
      </w:pPr>
      <w:r>
        <w:t>Реже (5–25% случаев) болезнь протекает в генерализованной форме. Тифоподобный вариант генерализованной формы сальмонеллеза клинически характеризуется высокой (до 39,5–40,0°С) постоянной или волнообразной лихорадкой, которая длится 10–15 дней и дольше, выраженной общей слабостью, адинамией, гепатолиенальным синдромом, брадикардией, лейкопенией. У части больных на коже живота, груди, реже – других участков тела появляется скудная розеолезная сыпь. Выражены сухость кожи и слизистых оболочек, нередко появляется субиктеричность склер и кожи. Заболевание начинается с гастроинтестинальных проявлений, которые длятся в течение 4–7 дней.</w:t>
      </w:r>
    </w:p>
    <w:p w:rsidR="00C93326" w:rsidRDefault="00C93326">
      <w:r>
        <w:t>Тяжeлo протекает сальмонеллезный сепсис, особенно при формировании вторичных септических очагов в виде гнойного менингита и менингоэнцефалита, плевропневмонии, эндокардита, пиелонефрита, гепатохолецистита и других осложнений. Септикопиемический вариант генерализованной формы сальмонеллеза начинается с диспептических расстройств, на фоне и после исчезновения которых температура остается высокой (39–40°С и выше) в течение 10–15 дней и дольше, имеет интермиттирующий или гектический характер, сопровождается ежедневными ознобами и повышенной потливостью, миалгиями, артралгиями, а также клиникой вторичного септического очага. Определяются тахикардия, гипотония, нередко признаки эндомиокардита. При развитии сальмонеллезногo менингита появляются симптомы внутричерепной гипертензии (резкая головная боль, не приносящая облегчения мозговая рвота, напряжение большого родничка у детей), мышечные контрактуры (ригидность мышц затылка, симптомы Кернига, Брудзинского, Флатау и др.), воспалительные изменения спинномозговой жидкости (высокий нейтрофильный плеоцитоз, повышение содержания белка и др.).</w:t>
      </w:r>
    </w:p>
    <w:p w:rsidR="00C93326" w:rsidRDefault="00C93326">
      <w:r>
        <w:t>Кожа бледная, серая или зеленовато-желтого цвета, нередко с геморрагическими высыпаниями. Печень и селезенка увеличены. В крови отмечаются выраженный лейкоцитоз, резкий сдвиг формулы влево, токсическая зернистость лейкоцитов, анемия, тромбоцитопения, увеличенная СОЭ.</w:t>
      </w:r>
    </w:p>
    <w:p w:rsidR="00C93326" w:rsidRDefault="00C93326">
      <w:r>
        <w:t>Среди людей и животных широко распространено бактерионосительство сальмонелл, которое может быть острым (от 15 дней до 3 месяцев), хроническим (до 6 месяцев и более) и транзиторным (1–2-кратное выделение сальмонелл при отрицательных результатах последующих исследований испражнений, отсутствие клинических проявлений болезни при обследовании и в предшествующие 3 месяца, отрицательные результаты серологических исследований в динамике).</w:t>
      </w:r>
    </w:p>
    <w:p w:rsidR="00C93326" w:rsidRDefault="00C93326">
      <w:r>
        <w:t>У новорожденных и детей до года сальмонеллез в 10 раз чаще, чем у взрослых имеет тяжелое течение. У 30–33,0% больных развиваются септические формы заболевания с тяжелым токсикозом, эксикозом, синдромом полиорганной недостаточности, формированием вторичных септических очагов. Летальность при этом может достигать 30–90%.</w:t>
      </w:r>
    </w:p>
    <w:p w:rsidR="00C93326" w:rsidRDefault="00C93326">
      <w:r>
        <w:t>Диагноз сальмонеллеза ставится на основании эпидемиологических, клинических и лабораторных данных. Специфические методы лабораторной диагностики включают бактериологическое исследование испражнений, рвотных масс, мочи, крови, желчи, спинномозговой жидкости и подозрительных пищевых продуктов. Из серологических методов используется реакция непрямой гемагглютинации (РНГА), которая считается положительной в титрах 1:160 и выше при однократном исследовании или при нарастании титров антител в 4 раза и более в динамике заболевания. Более чувствительны и специфичны результаты иммунноферментного (ИФА) и радиоиммунного анализов, позволяющих обнаружить антитела у больных и антигены в пище и воде. С помощью ИФА определяют содержание и динамику нарастания IgM и IgG, что используется для дифференциальной диагностики бактерионосительства от субклинического течения саальмонеллеза. Диагностическое значение имеют также данные о повышении в 3–5 раз содержания IgА в копрофильтратах в РНГА.</w:t>
      </w:r>
    </w:p>
    <w:p w:rsidR="00C93326" w:rsidRDefault="00C93326">
      <w:r>
        <w:t xml:space="preserve">Дифференциальный диагноз сальмонеллеза с учетом полиморфности клинических проявлений болезни следует проводить с большой группой инфекционных, хирургических, неврологических, других заболеваний, с отравлениями химическими веществами, грибами, лекарствами, эндокринопатиями, дисферментозами, дисбактериозами и аллергическими диареями. </w:t>
      </w:r>
    </w:p>
    <w:p w:rsidR="00C93326" w:rsidRDefault="00C93326">
      <w:r>
        <w:rPr>
          <w:b/>
          <w:bCs/>
        </w:rPr>
        <w:t>Пищевые токсикоинфекции</w:t>
      </w:r>
      <w:r>
        <w:t xml:space="preserve"> и </w:t>
      </w:r>
      <w:r>
        <w:rPr>
          <w:b/>
          <w:bCs/>
        </w:rPr>
        <w:t xml:space="preserve">интоксикации </w:t>
      </w:r>
      <w:r>
        <w:t xml:space="preserve">эшерихиозной, протейной, клебсиелезной, ацинетобактерной, галофилезной, стафилококковой этиологии отличаются более коротким инкубационным периодом, более частым развитием острого гастрита, менее выраженными синдромами интоксикации и дегидратации. Однако решающее значение в этиологической диагностике данной группы заболеваний имеют результаты бактериологического исследования испражнений, рвотных масс, а также серологических методов. </w:t>
      </w:r>
    </w:p>
    <w:p w:rsidR="00C93326" w:rsidRDefault="00C93326">
      <w:r>
        <w:t xml:space="preserve">В клинике </w:t>
      </w:r>
      <w:r>
        <w:rPr>
          <w:b/>
          <w:bCs/>
        </w:rPr>
        <w:t>шигеллезов</w:t>
      </w:r>
      <w:r>
        <w:t xml:space="preserve"> превалируют признаки воспаления слизистой оболочки дистального отдела толстой кишки – частый жидкий стул со слизью и кровью, резкие схваткообразные боли в животе, левой подвздошной области, ложные позывы на низ и тенезмы. При пальпации живота определяется спазм, уплотнение и боль по ходу толстой кишки, которые особенно выражены в области сигмовидной ее части. В копроцитограмме много лейкоцитов, эритроцитов и волокон непереваренной пищи. При ректороманоскопии выявляется катарально-геморрагический и эрозивно-язвенный проктосигмоидит. Дизентерия Григорьева-Шига протекает с резко выраженными синдромами интоксикации и гемоколитом. Диагноз подтверждается выделением возбудителей из кала, рвотных масс и данными серологических методов исследования. </w:t>
      </w:r>
    </w:p>
    <w:p w:rsidR="00C93326" w:rsidRDefault="00C93326">
      <w:r>
        <w:rPr>
          <w:b/>
          <w:bCs/>
        </w:rPr>
        <w:t>Холера</w:t>
      </w:r>
      <w:r>
        <w:t>, сравнительно крупные эпидемические вспышки которой нередко регистрируются в последние годы на юге Украины, как правило, начинается с поноса, а рвота появляется позже при прогрессировании болезни. Обильные испражнения (водянистые, типа рисового отвара) и многократная рвота фонтаном быстро приводят к обезвоживанию больного, развитию сухости кожи и слизистых оболочек, сильной жажде, афонии, гипокалиемии с резкой мышечной слабостью и генерализованными болезненными судорогами в мышцах конечностей, преренальной почечной недостаточности. Кожа теряет эластичность, становится цианотичной и холодной на ощупь. Для холеры не характерны озноб, высокая температура, спастическая боль в животе, увеличение печени и селезенки, метеоризм, патологические примеси в испражнениях в виде слизи и крови, спазм тонкой и толстой кишки. Однако, такие симптомы могут появляться при холере-микст: холера+дизентерия, холера+сальмонеллез и т.д. У больных холерой развиваются признаки гемоконцентрации – увеличение гематокрита, относительной плотности плазмы, количества эритроцитов, лейкоцитов. В постановке окончательного диагноза решающее значение имеют результаты исследования на вибриофлору испражнений, рвотных масс и дуоденального содержимого.</w:t>
      </w:r>
    </w:p>
    <w:p w:rsidR="00C93326" w:rsidRDefault="00C93326">
      <w:r>
        <w:rPr>
          <w:b/>
          <w:bCs/>
        </w:rPr>
        <w:t>Кишечный иерсиниоз</w:t>
      </w:r>
      <w:r>
        <w:t xml:space="preserve"> развивается после употребления овощных салатов, протекает с интенсивной болью в животе, правой подвздошной области, генерализованной лимфаденопатией, обильной полиморфной пятнисто-папулезной сыпью на гиперемированном фоне, гепато-лиенальным синдромом, артралгиями и миалгиями. Болезнь нередко приобретает волнообразное течение с обострениями и рецидивами. </w:t>
      </w:r>
    </w:p>
    <w:p w:rsidR="00C93326" w:rsidRDefault="00C93326">
      <w:r>
        <w:t xml:space="preserve">Заболевание </w:t>
      </w:r>
      <w:r>
        <w:rPr>
          <w:b/>
          <w:bCs/>
        </w:rPr>
        <w:t>ботулизмом</w:t>
      </w:r>
      <w:r>
        <w:t xml:space="preserve"> связано с употреблением мясных, овощных или грибных консервов домашнего приготовления и вяленой рыбы. Наблюдаются кратковременные рвота и понос, сменяющиеся метеоризмом и задержкой стула, появляются нарушения зрения в виде диплопии, тумана перед глазами, невозможности читать мелкий шрифт. Также отмечаются резкие сухость во рту и мышечная слабость, нарушение глотания, речи на фоне нормальной температуры, отсутствия озноба и спастической боли в животе. Возможно развитие острой дыхательной недостаточности и миокардита.</w:t>
      </w:r>
    </w:p>
    <w:p w:rsidR="00C93326" w:rsidRDefault="00C93326">
      <w:r>
        <w:rPr>
          <w:b/>
          <w:bCs/>
        </w:rPr>
        <w:t>Вирусные диареи</w:t>
      </w:r>
      <w:r>
        <w:t xml:space="preserve"> (рота-, энтеро-, астро-, калици-, корона-, аденовирусные) чаще регистрируются зимой и весной, реже летом. От сальмонеллезов отличаются нередким наличием катара верхних дыхательных путей, ангины, конъюнктивита, лимфаденопатии, миалгий, поражения ЦНС (серозные менингиты), а также данными вирусологических и серологических исследований крови, испражнений, мочи, носоглоточных смывов и гемограммой.</w:t>
      </w:r>
    </w:p>
    <w:p w:rsidR="00C93326" w:rsidRDefault="00C93326">
      <w:r>
        <w:t xml:space="preserve">При </w:t>
      </w:r>
      <w:r>
        <w:rPr>
          <w:b/>
          <w:bCs/>
        </w:rPr>
        <w:t>отравлении грибами</w:t>
      </w:r>
      <w:r>
        <w:t xml:space="preserve"> наблюдается короткий (1–2 ч) инкубационный период, бурное начало без продрома, интенсивная схваткообразная боль в животе, тошнота, рвота, частый водянистый стул. Реже возникают явления гемоколита, повышенные потливость и слюнотечение, бред, галлюцинации, коллапс, поражение печени, почек с развитием их недостаточности, гемолиз на фоне нормальной температуры и отсутствия синдрома интоксикации.</w:t>
      </w:r>
    </w:p>
    <w:p w:rsidR="00C93326" w:rsidRDefault="00C93326">
      <w:r>
        <w:rPr>
          <w:b/>
          <w:bCs/>
        </w:rPr>
        <w:t>Отравление солями</w:t>
      </w:r>
      <w:r>
        <w:t xml:space="preserve"> мышьяка, ртути, таллия и других тяжелых металлов сопровождается упорной рвотой, сильной жаждой, сухостью и металлическим привкусом во рту, резкой болью в эпигастрии, гиперемией кожи, отеком лица, конъюнктивитом, периферическими парезами и параличами, коллапсом, поражением печени и почек. Иногда развивается кома. Диагноз уточняют токсикологическим исследованием крови, испражнений и рвотных масс больного. </w:t>
      </w:r>
    </w:p>
    <w:p w:rsidR="00C93326" w:rsidRDefault="00C93326">
      <w:r>
        <w:t xml:space="preserve">В клинике </w:t>
      </w:r>
      <w:r>
        <w:rPr>
          <w:b/>
          <w:bCs/>
        </w:rPr>
        <w:t xml:space="preserve">острого аппендицита </w:t>
      </w:r>
      <w:r>
        <w:t xml:space="preserve">преобладает боль в животе постоянного характера, локализующаяся чаще в правой подвздошной области. Отмечаются локальное напряжение мышц, положительные аппендикулярные симптомы, признаки раздражения брюшины, в крови – высокий нейтрофильный лейкоцитоз. </w:t>
      </w:r>
    </w:p>
    <w:p w:rsidR="00C93326" w:rsidRDefault="00C93326">
      <w:r>
        <w:rPr>
          <w:b/>
          <w:bCs/>
        </w:rPr>
        <w:t>Острая кишечная непроходимость</w:t>
      </w:r>
      <w:r>
        <w:t xml:space="preserve">, в отличие от сальмонеллеза, развивается внезапно с сильных приступообразных болей в животе, сопровождается неукротимой рвотой, задержкой стула и газов, известными рентгенологическими признаками. </w:t>
      </w:r>
    </w:p>
    <w:p w:rsidR="00C93326" w:rsidRDefault="00C93326">
      <w:r>
        <w:rPr>
          <w:b/>
          <w:bCs/>
        </w:rPr>
        <w:t>Тромбоз брыжеечных сосудов</w:t>
      </w:r>
      <w:r>
        <w:t xml:space="preserve"> развивается обычно у лиц старшего возраста, страдающих атеросклерозом, ревматизмом, тромбофлебитом, другой хронической сердечно-сосудистой патологией. Начинается остро, протекает с сильнейшей болью в животе, гемоколитом, динамической кишечной непроходимостью, вздутием живота, высоким лейкоцитозом при нормальной вначале температуре и отсутствии синдрома интоксикации. </w:t>
      </w:r>
    </w:p>
    <w:p w:rsidR="00C93326" w:rsidRDefault="00C93326">
      <w:r>
        <w:t xml:space="preserve">Иногда возникает необходимость дифференцировать сальмонеллез с абдоминальным вариантом </w:t>
      </w:r>
      <w:r>
        <w:rPr>
          <w:b/>
          <w:bCs/>
        </w:rPr>
        <w:t>инфаркта миокарда</w:t>
      </w:r>
      <w:r>
        <w:t>. В последнем случае интенсивные боли в эпигастрии и часто одновременно за грудиной возникают остро, обычно после эмоциональных и физических нагрузок у лиц, страдающих гипертонической болезнью, атеросклерозом, ИБС, сопровождаются страхом смерти. Температура нормальная, интоксикации нет. Диагноз уточняется с помощью ЭКГ и других электрофизиологических исследований.</w:t>
      </w:r>
    </w:p>
    <w:p w:rsidR="00C93326" w:rsidRDefault="00C93326">
      <w:r>
        <w:t xml:space="preserve">Госпитализация больных салмонеллезом обязательна в следующих случаях: </w:t>
      </w:r>
    </w:p>
    <w:p w:rsidR="00C93326" w:rsidRDefault="00C93326">
      <w:pPr>
        <w:numPr>
          <w:ilvl w:val="0"/>
          <w:numId w:val="1"/>
        </w:numPr>
      </w:pPr>
      <w:r>
        <w:t xml:space="preserve">наличие признаков генерализованного течения; </w:t>
      </w:r>
    </w:p>
    <w:p w:rsidR="00C93326" w:rsidRDefault="00C93326">
      <w:pPr>
        <w:numPr>
          <w:ilvl w:val="0"/>
          <w:numId w:val="1"/>
        </w:numPr>
      </w:pPr>
      <w:r>
        <w:t xml:space="preserve">тяжелое и среднетяжелое течение; </w:t>
      </w:r>
    </w:p>
    <w:p w:rsidR="00C93326" w:rsidRDefault="00C93326">
      <w:pPr>
        <w:numPr>
          <w:ilvl w:val="0"/>
          <w:numId w:val="1"/>
        </w:numPr>
      </w:pPr>
      <w:r>
        <w:t xml:space="preserve">легкое течение, но на неблагоприятном преморбидном фоне (сопутствующая патология); </w:t>
      </w:r>
    </w:p>
    <w:p w:rsidR="00C93326" w:rsidRDefault="00C93326">
      <w:pPr>
        <w:numPr>
          <w:ilvl w:val="0"/>
          <w:numId w:val="1"/>
        </w:numPr>
      </w:pPr>
      <w:r>
        <w:t xml:space="preserve">новорожденные и дети до года; </w:t>
      </w:r>
    </w:p>
    <w:p w:rsidR="00C93326" w:rsidRDefault="00C93326">
      <w:pPr>
        <w:numPr>
          <w:ilvl w:val="0"/>
          <w:numId w:val="1"/>
        </w:numPr>
      </w:pPr>
      <w:r>
        <w:t xml:space="preserve">дети любого возраста, если заболевание начинается с синдрома пищевой токсикоинфекции; </w:t>
      </w:r>
    </w:p>
    <w:p w:rsidR="00C93326" w:rsidRDefault="00C93326">
      <w:pPr>
        <w:numPr>
          <w:ilvl w:val="0"/>
          <w:numId w:val="1"/>
        </w:numPr>
      </w:pPr>
      <w:r>
        <w:t xml:space="preserve">работники пищевых предприятий, ясель, детских садов и другие представители декретированных контингентов; </w:t>
      </w:r>
    </w:p>
    <w:p w:rsidR="00C93326" w:rsidRDefault="00C93326">
      <w:pPr>
        <w:numPr>
          <w:ilvl w:val="0"/>
          <w:numId w:val="1"/>
        </w:numPr>
      </w:pPr>
      <w:r>
        <w:t xml:space="preserve">наличие эпидпоказаний (неблагоприятные жилищные условия, проживание в общежитии). </w:t>
      </w:r>
    </w:p>
    <w:p w:rsidR="00C93326" w:rsidRDefault="00C93326">
      <w:r>
        <w:t>В связи с тем, что под клинической маской сальмонеллезов могут протекать заболевания, требующие срочного хирургического лечения, оставлять на дому можно только больных с абсолютно ясным диагнозом.</w:t>
      </w:r>
    </w:p>
    <w:p w:rsidR="00C93326" w:rsidRDefault="00C93326"/>
    <w:p w:rsidR="00C93326" w:rsidRDefault="00C93326"/>
    <w:p w:rsidR="00C93326" w:rsidRDefault="00C93326"/>
    <w:p w:rsidR="00C93326" w:rsidRDefault="00C93326"/>
    <w:p w:rsidR="00C93326" w:rsidRDefault="00C93326">
      <w:pPr>
        <w:pStyle w:val="H3"/>
        <w:jc w:val="righ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5"/>
        <w:gridCol w:w="7665"/>
      </w:tblGrid>
      <w:tr w:rsidR="00C93326">
        <w:trPr>
          <w:trHeight w:val="1927"/>
        </w:trPr>
        <w:tc>
          <w:tcPr>
            <w:tcW w:w="1695" w:type="dxa"/>
          </w:tcPr>
          <w:p w:rsidR="00C93326" w:rsidRDefault="00C93326">
            <w:pPr>
              <w:jc w:val="center"/>
            </w:pPr>
            <w:r>
              <w:t>Подготовил:</w:t>
            </w:r>
            <w:r>
              <w:fldChar w:fldCharType="begin"/>
            </w:r>
            <w:r>
              <w:instrText>PRIVATE</w:instrText>
            </w:r>
            <w:r>
              <w:fldChar w:fldCharType="end"/>
            </w:r>
            <w:r w:rsidR="00087BB5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in;height:3in"/>
              </w:pict>
            </w:r>
          </w:p>
        </w:tc>
        <w:tc>
          <w:tcPr>
            <w:tcW w:w="7665" w:type="dxa"/>
          </w:tcPr>
          <w:p w:rsidR="00C93326" w:rsidRDefault="00C93326">
            <w:pPr>
              <w:jc w:val="center"/>
            </w:pPr>
            <w:r>
              <w:rPr>
                <w:rStyle w:val="a3"/>
              </w:rPr>
              <w:t>Калинин Николай Евгеньевич,</w:t>
            </w:r>
            <w:r>
              <w:t xml:space="preserve"> бывший врач</w:t>
            </w:r>
            <w:r>
              <w:br/>
              <w:t>Псковского городского центра госсанэпиднадзора.</w:t>
            </w:r>
          </w:p>
          <w:p w:rsidR="00C93326" w:rsidRDefault="00C933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r w:rsidRPr="00B5469C">
              <w:t>nikola@ellink.ru</w:t>
            </w:r>
          </w:p>
          <w:p w:rsidR="00C93326" w:rsidRDefault="00C93326">
            <w:pPr>
              <w:jc w:val="center"/>
              <w:rPr>
                <w:lang w:val="en-US"/>
              </w:rPr>
            </w:pPr>
          </w:p>
        </w:tc>
      </w:tr>
      <w:tr w:rsidR="00C93326">
        <w:trPr>
          <w:trHeight w:val="1927"/>
        </w:trPr>
        <w:tc>
          <w:tcPr>
            <w:tcW w:w="1695" w:type="dxa"/>
          </w:tcPr>
          <w:p w:rsidR="00C93326" w:rsidRDefault="00C93326">
            <w:pPr>
              <w:jc w:val="center"/>
            </w:pPr>
            <w:r>
              <w:t>Автор информации</w:t>
            </w:r>
          </w:p>
        </w:tc>
        <w:tc>
          <w:tcPr>
            <w:tcW w:w="7665" w:type="dxa"/>
          </w:tcPr>
          <w:p w:rsidR="00C93326" w:rsidRDefault="00C93326">
            <w:r>
              <w:rPr>
                <w:rStyle w:val="a3"/>
              </w:rPr>
              <w:t>Гебеш Василий Васильевич</w:t>
            </w:r>
            <w:r>
              <w:t>, профессор</w:t>
            </w:r>
            <w:r>
              <w:br/>
              <w:t xml:space="preserve">Заведующий кафедрой инфекционных болезней Киевской медицинской академии последипломного образования </w:t>
            </w:r>
          </w:p>
          <w:p w:rsidR="00C93326" w:rsidRDefault="00C93326"/>
          <w:p w:rsidR="00C93326" w:rsidRDefault="00C93326">
            <w:pPr>
              <w:jc w:val="center"/>
              <w:rPr>
                <w:lang w:val="en-US"/>
              </w:rPr>
            </w:pPr>
          </w:p>
        </w:tc>
      </w:tr>
    </w:tbl>
    <w:p w:rsidR="00C93326" w:rsidRDefault="00C93326">
      <w:pPr>
        <w:pStyle w:val="H3"/>
        <w:jc w:val="right"/>
      </w:pPr>
    </w:p>
    <w:p w:rsidR="00C93326" w:rsidRDefault="00C93326">
      <w:pPr>
        <w:spacing w:before="0" w:after="0"/>
        <w:rPr>
          <w:sz w:val="20"/>
          <w:szCs w:val="20"/>
        </w:rPr>
      </w:pPr>
      <w:bookmarkStart w:id="0" w:name="_GoBack"/>
      <w:bookmarkEnd w:id="0"/>
    </w:p>
    <w:sectPr w:rsidR="00C93326">
      <w:footerReference w:type="default" r:id="rId7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EB6" w:rsidRDefault="00EE4EB6">
      <w:pPr>
        <w:spacing w:before="0" w:after="0"/>
      </w:pPr>
      <w:r>
        <w:separator/>
      </w:r>
    </w:p>
  </w:endnote>
  <w:endnote w:type="continuationSeparator" w:id="0">
    <w:p w:rsidR="00EE4EB6" w:rsidRDefault="00EE4E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326" w:rsidRDefault="00C93326">
    <w:pPr>
      <w:pStyle w:val="a6"/>
      <w:jc w:val="right"/>
    </w:pPr>
  </w:p>
  <w:p w:rsidR="00C93326" w:rsidRDefault="00C93326">
    <w:pPr>
      <w:pStyle w:val="a6"/>
      <w:jc w:val="right"/>
    </w:pPr>
  </w:p>
  <w:p w:rsidR="00C93326" w:rsidRDefault="00C93326">
    <w:pPr>
      <w:pStyle w:val="a6"/>
      <w:jc w:val="right"/>
      <w:rPr>
        <w:color w:val="C0C0C0"/>
      </w:rPr>
    </w:pPr>
    <w:r>
      <w:rPr>
        <w:color w:val="C0C0C0"/>
      </w:rPr>
      <w:t>Реферат  «постдипломное образование» Калинин Н.Е.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EB6" w:rsidRDefault="00EE4EB6">
      <w:pPr>
        <w:spacing w:before="0" w:after="0"/>
      </w:pPr>
      <w:r>
        <w:separator/>
      </w:r>
    </w:p>
  </w:footnote>
  <w:footnote w:type="continuationSeparator" w:id="0">
    <w:p w:rsidR="00EE4EB6" w:rsidRDefault="00EE4EB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326"/>
    <w:rsid w:val="00087BB5"/>
    <w:rsid w:val="00722B40"/>
    <w:rsid w:val="00B5469C"/>
    <w:rsid w:val="00C93326"/>
    <w:rsid w:val="00EE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5FA45A6-95BD-494E-B15C-9B64DAFE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b/>
      <w:bCs/>
    </w:rPr>
  </w:style>
  <w:style w:type="paragraph" w:customStyle="1" w:styleId="H3">
    <w:name w:val="H3"/>
    <w:basedOn w:val="a"/>
    <w:next w:val="a"/>
    <w:uiPriority w:val="99"/>
    <w:pPr>
      <w:keepNext/>
      <w:outlineLvl w:val="3"/>
    </w:pPr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3615</Words>
  <Characters>20607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Сальмонеллезы</vt:lpstr>
    </vt:vector>
  </TitlesOfParts>
  <Company> </Company>
  <LinksUpToDate>false</LinksUpToDate>
  <CharactersWithSpaces>24174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Сальмонеллезы</dc:title>
  <dc:subject/>
  <dc:creator>Kalinin N.</dc:creator>
  <cp:keywords/>
  <dc:description/>
  <cp:lastModifiedBy>admin</cp:lastModifiedBy>
  <cp:revision>2</cp:revision>
  <dcterms:created xsi:type="dcterms:W3CDTF">2014-02-17T16:51:00Z</dcterms:created>
  <dcterms:modified xsi:type="dcterms:W3CDTF">2014-02-17T16:51:00Z</dcterms:modified>
</cp:coreProperties>
</file>