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600" w:rsidRDefault="00E91EE4">
      <w:pPr>
        <w:pStyle w:val="a3"/>
        <w:spacing w:line="360" w:lineRule="auto"/>
        <w:ind w:firstLine="46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ПЛАН.</w:t>
      </w:r>
    </w:p>
    <w:p w:rsidR="00724600" w:rsidRDefault="00724600">
      <w:pPr>
        <w:pStyle w:val="a3"/>
        <w:spacing w:line="360" w:lineRule="auto"/>
        <w:ind w:firstLine="460"/>
        <w:jc w:val="both"/>
        <w:rPr>
          <w:rFonts w:ascii="Courier New" w:hAnsi="Courier New" w:cs="Courier New"/>
        </w:rPr>
      </w:pPr>
    </w:p>
    <w:p w:rsidR="00724600" w:rsidRDefault="00E91EE4">
      <w:pPr>
        <w:pStyle w:val="a3"/>
        <w:numPr>
          <w:ilvl w:val="0"/>
          <w:numId w:val="10"/>
        </w:numPr>
        <w:tabs>
          <w:tab w:val="clear" w:pos="360"/>
          <w:tab w:val="num" w:pos="820"/>
        </w:tabs>
        <w:spacing w:line="360" w:lineRule="auto"/>
        <w:ind w:left="8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Определение понятия «хронического тонзиллита».</w:t>
      </w:r>
    </w:p>
    <w:p w:rsidR="00724600" w:rsidRDefault="00E91EE4">
      <w:pPr>
        <w:pStyle w:val="a3"/>
        <w:numPr>
          <w:ilvl w:val="0"/>
          <w:numId w:val="10"/>
        </w:numPr>
        <w:tabs>
          <w:tab w:val="clear" w:pos="360"/>
          <w:tab w:val="num" w:pos="820"/>
        </w:tabs>
        <w:spacing w:line="360" w:lineRule="auto"/>
        <w:ind w:left="8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Этиология заболевания.</w:t>
      </w:r>
    </w:p>
    <w:p w:rsidR="00724600" w:rsidRDefault="00E91EE4">
      <w:pPr>
        <w:pStyle w:val="a3"/>
        <w:numPr>
          <w:ilvl w:val="0"/>
          <w:numId w:val="10"/>
        </w:numPr>
        <w:tabs>
          <w:tab w:val="clear" w:pos="360"/>
          <w:tab w:val="num" w:pos="820"/>
        </w:tabs>
        <w:spacing w:line="360" w:lineRule="auto"/>
        <w:ind w:left="8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Классификация.</w:t>
      </w:r>
    </w:p>
    <w:p w:rsidR="00724600" w:rsidRDefault="00E91EE4">
      <w:pPr>
        <w:pStyle w:val="a3"/>
        <w:numPr>
          <w:ilvl w:val="0"/>
          <w:numId w:val="10"/>
        </w:numPr>
        <w:tabs>
          <w:tab w:val="clear" w:pos="360"/>
          <w:tab w:val="num" w:pos="820"/>
        </w:tabs>
        <w:spacing w:line="360" w:lineRule="auto"/>
        <w:ind w:left="8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Методы консервативного лечения.</w:t>
      </w:r>
    </w:p>
    <w:p w:rsidR="00724600" w:rsidRDefault="00E91EE4">
      <w:pPr>
        <w:pStyle w:val="a3"/>
        <w:numPr>
          <w:ilvl w:val="0"/>
          <w:numId w:val="10"/>
        </w:numPr>
        <w:tabs>
          <w:tab w:val="clear" w:pos="360"/>
          <w:tab w:val="num" w:pos="820"/>
        </w:tabs>
        <w:spacing w:line="360" w:lineRule="auto"/>
        <w:ind w:left="8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Тонзиллэктомия.</w:t>
      </w:r>
    </w:p>
    <w:p w:rsidR="00724600" w:rsidRDefault="00E91EE4">
      <w:pPr>
        <w:pStyle w:val="a3"/>
        <w:numPr>
          <w:ilvl w:val="0"/>
          <w:numId w:val="10"/>
        </w:numPr>
        <w:tabs>
          <w:tab w:val="clear" w:pos="360"/>
          <w:tab w:val="num" w:pos="820"/>
        </w:tabs>
        <w:spacing w:line="360" w:lineRule="auto"/>
        <w:ind w:left="8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Профилактика хронического тонзиллита.</w:t>
      </w:r>
    </w:p>
    <w:p w:rsidR="00724600" w:rsidRDefault="00724600">
      <w:pPr>
        <w:pStyle w:val="a3"/>
        <w:spacing w:line="360" w:lineRule="auto"/>
        <w:ind w:firstLine="460"/>
        <w:jc w:val="both"/>
        <w:rPr>
          <w:rFonts w:ascii="Courier New" w:hAnsi="Courier New" w:cs="Courier New"/>
        </w:rPr>
      </w:pPr>
    </w:p>
    <w:p w:rsidR="00724600" w:rsidRDefault="00E91EE4">
      <w:pPr>
        <w:pStyle w:val="a3"/>
        <w:spacing w:line="360" w:lineRule="auto"/>
        <w:ind w:firstLine="4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Среди миндалин лимфаденоидного глоточного кольца хроническое воспаление небных миндалин встречается намного чаще, чем все остальных вместе взятых, поэтому под термином «хронический тонзиллит» всегда подразумевают хронический воспалительный процесс в небных миндалинах. По данным разных авторов, хронический тонзиллит среди взрослого населения встречается в 4—10% случаев, а среди детского — около 12—15%.</w:t>
      </w:r>
    </w:p>
    <w:p w:rsidR="00724600" w:rsidRDefault="00E91EE4">
      <w:pPr>
        <w:pStyle w:val="21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Под влиянием неблагоприятных факторов внешней и внутренней среды снижается сопротивляемость организма, нарастают вирулентность и патогенность микрофлоры в лакунах миндалин, что ведет к возникновению ангины и хронического воспаления в миндалинах. При хроническом тонзиллите в миндалинах обнаружено около 30 сочетаний различных микробов, однако в глубоких отделах лакун обычно нет большой полиморфности флоры; чаще здесь обнаруживается монофлора — различные формы стрептококка (особенно ге-молитического), стафилококка и др. При хроническом тонзиллите в миндалинах могут встречаться ассоциации непатогенных микробов. В детском возрасте в удаленных миндалинах нередко находят адено-вирусы, которые могут играть определенную роль в этиологии и патогенезе хронического тонзиллита. Таким образом, хронический тонзиллит следует относить к собственно инфекционным заболеваниям, обусловленным, в большинстве случаев, аутоинфекцией.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Наиболее часто хронический тонзиллит начинается после ангины. При этом острое воспаление в тканях миндалин не претерпевает полного обратного развития, воспалительный процесс продолжается и переходит в хроническую форму. В редких случаях хронический тонзиллит начинается без предшествующих ангин. Возникновению и развитию его часто способствует постоянное аутоинфицирование из хронических очагов инфекции (кариозные зубы, хроническое воспаление в области носа и околоносовых пазух и др.), а также бактериальная и тканевая местная и общая аутоаллергия.</w:t>
      </w:r>
    </w:p>
    <w:p w:rsidR="00724600" w:rsidRDefault="00724600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b/>
          <w:snapToGrid w:val="0"/>
          <w:sz w:val="24"/>
        </w:rPr>
        <w:t>Клиническая картина и классификация.</w:t>
      </w:r>
      <w:r>
        <w:rPr>
          <w:rFonts w:ascii="Courier New" w:hAnsi="Courier New" w:cs="Courier New"/>
          <w:snapToGrid w:val="0"/>
          <w:sz w:val="24"/>
        </w:rPr>
        <w:t xml:space="preserve"> Наиболее достоверным признаком хронического тонзиллита являются частые ангины в анамнезе. Среди больных хроническим тонзиллитом «безангинная форма», по данным разных авторов, встречается у 2—4%. Следует отметить, что ни один из объективных признаков хронического тонзиллита не является полностью патогномонич-ным. Для диагностики заболевания необходима совокупная оценка всех симптомов, так как каждый признак в отдельности может быть обусловлен другим заболеванием — глотки, зубов, челюстей, носа и др. Нельзя ставить диагноз хронического тонзиллита в момент обострения (ангины), поскольку все фарингоскопические симптомы будут отражать остроту процесса, а не хроническое его течение. Лишь через 2—3 недели после окончания обострения целесообразно производить оценку объективных признаков хронического воспаления небных миндалин.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В наибольшей мере современным представлениям о хронической очаговой инфекции, о токсических и аллергических процессах при хроническом тонзиллите соответствует классификация Б. С. Преображенского (1970), которая несколько изменена и дополнена В. Т. Пальчуном (1974) (табл. 1).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Чаще всего обострения хронического тонзиллита бывают 2—3 раза в год, однако нередко ангины возникают 5—6 раз в год. В ряде случаев они встречаются относительно редко: 1—2 раза в течение 3—4 лет, однако и такую частоту следует считать большой. Нередко больные любое побаливание в горле даже без повышения температуры тела называют ангиной, поэтому в каждом случае необходимо уточнять характер перенесенных в прошлом заболеваний горла, причину их возникновения, влияние на общее состояние организма, длительность течения, особенности лечения.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Иногда ангины могут быть обусловлены не хроническим процессом в миндалинах, а воздействием эндогенных факторов при пониженной реактивности организма или воспалительной патологии носа и его околоносовых пазух, носоглотки и т. д. Встречаются  «безангинные формы» хронического тонзиллита, поэтому выявление местной симптоматики играет определяющую роль в диагностике заболевания.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Жалобы больных, как правило, выражены нерезко; наиболее частой является жалоба на частые ангины в анамнезе, другие жалобы — неприятный запах изо рта, ощущение неловкости или инородного тела в горле при глотании, сухость, покалывание и др. бывают не только при хроническом тонзиллите, но и при различных формах фарингита, кариозных зубах и т. д. Чаще дети жалуются на покалывание или небольшую стреляющую боль в ухе при нормальной отоскопической картине.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Нередки жалобы на быструю утомляемость, вялость, головную боль, понижение трудоспособности, субфебрильную температуру. У многих больных, кроме ангин в. анамнезе, жалоб нет.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 xml:space="preserve">Фарингоскопическими признаками хронического тонзиллита являются местные проявления длительного воспаления в миндалинах. На поверхность миндалины и окружающей ткани при хроническом тонзиллите длительное время попадает гнойное содержимое из лакун, которое, являясь раздражителем, вызывает хроническое воспаление этой ткани. При внешнем осмотре небных миндалин и окружающей ткани наиболее часто определяются признаки Гизе — гиперемия краев небных дужек, Преображенского — валикообраз-ное утолщение (инфильтрация или гиперплазия) краев передних и задних дужек, Зака — отечность верхних отделов передних и задних дужек. При одновременном течении хронического тонзиллита и хронического фарингита эти признаки имеют меньшее значение. Нередким симптомом заболевания являются сращения и спайки миндалин с небными дужками и треугольной складкой. </w:t>
      </w:r>
    </w:p>
    <w:p w:rsidR="00724600" w:rsidRDefault="00E91EE4">
      <w:pPr>
        <w:pStyle w:val="21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Важным и одним из наиболее частых признаков хронического тонзиллита является наличие жидкого казеозного или в виде пробок гнойного содержимого в лакунах миндалин, иногда имеющего неприятный запах. Нужно иметь в виду, что в норме миндалины содержат эпидермальные пробки, которые бывает трудно отличить от патологических. Для получения содержимого лакун с диагностической целью наиболее распространен метод выдавливания. Одним шпателем врач отдавливает язык книзу, как при фарингоскопии, а тупым концом другого надавливает на переднюю дужку так, что сдавливает область прикрепления миндалины к боковой стенке глотки. Давление производится в течение 2—3 с мягко, но так, чтобы миндалина слегка сместилась в медиальную сторону. Этим методом следует пользоваться с осторожностью, так как при излишне грубом давлении можно ранить слизистую оболочку небной дужки и способствовать распространению инфекции. Другие методы (зондирование лакун, диагностическое вымывание и отсасывание их содержимого) применяются реже.</w:t>
      </w:r>
    </w:p>
    <w:p w:rsidR="00724600" w:rsidRDefault="00E91EE4">
      <w:pPr>
        <w:pStyle w:val="a3"/>
        <w:spacing w:line="360" w:lineRule="auto"/>
        <w:ind w:firstLine="4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Среди местных .признаков хронического тонзиллита довольно частым является увеличение регионарных лимфатических узлов, располагающихся у угла нижней челюсти и по переднему краю груди-но-ключично-сосцевидной мышцы. Увеличение и болезненность при пальпации этих узлов указывают на высокую активность воспалительного процесса в миндалинах. При оценке этих симптомов нужно иметь в виду, что данные лимфатические узлы являются регио-нарными как для миндалин, так и для глотки, носа и околоносовых пазух, корня языка. Поэтому их увеличение следует относить только за счет хронического тонзиллита лишь при отсутствии патологии в указанных органах.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b/>
          <w:snapToGrid w:val="0"/>
          <w:sz w:val="24"/>
        </w:rPr>
        <w:t xml:space="preserve">Лабораторные методы диагностики </w:t>
      </w:r>
      <w:r>
        <w:rPr>
          <w:rFonts w:ascii="Courier New" w:hAnsi="Courier New" w:cs="Courier New"/>
          <w:snapToGrid w:val="0"/>
          <w:sz w:val="24"/>
        </w:rPr>
        <w:t>хронического тонзиллита как местного, так и общего характера не имеют существенного значения в распознавании самого заболевания, однако они играют определенную роль в оценке влияния хронического очага инфекции в миндалинах на различные органы и системы и в целом на весь организм.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Хронический тонзиллит следует дифференцировать с гипертрофией небных миндалин, доброкачественными и злокачественными опухолями, камнем миндалины, хроническим фарингитом, туберкулезом и сифилитическим процессом миндалин, лептотрихозом, грибковым поражением миндалины, вторичными изменениями тонзиллярной ткани при мононуклеозе, агранулоцитозе и других заболеваниях крови.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b/>
          <w:snapToGrid w:val="0"/>
          <w:sz w:val="24"/>
        </w:rPr>
        <w:t>Лечение и диспансеризация.</w:t>
      </w:r>
      <w:r>
        <w:rPr>
          <w:rFonts w:ascii="Courier New" w:hAnsi="Courier New" w:cs="Courier New"/>
          <w:snapToGrid w:val="0"/>
          <w:sz w:val="24"/>
        </w:rPr>
        <w:t xml:space="preserve"> Тактика лечения хронического тонзиллита в основном обусловливается его формой: при простом тонзиллите, как правило, следует начинать с консервативной терапии и лишь отсутствие эффекта после 3—4 курсов указывает на необходимость удаления миндалин. При токсико-аллергической форме показана тонзиллэктомия, однако I степень этой формы позволяет провести консервативное лечение, которое должно быть ограничено 1—2 курсами. Если отсутствует достаточно выраженный положительный эффект, назначают тонзиллэктомию. Токсико-аллергические явления II степени являются прямым показанием к удалению миндалин.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Все больные хроническим тонзиллитом подлежат диспансерному наблюдению. Основа диспансеризации — раннее выявление заболевания и своевременное систематическое лечение его согласно указанной выше тактике. Необходимы также профилактика вредных воздействий условий труда и быта, проведение санитарно-про-светительной работы.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Основа консервативного лечения хронического тонзиллита — местное воздействие на миндалины и общеукрепляющая терапия. Для местной терапии, как правило, применяется одновременно несколько методов лечения, т. е. проводится комплексная терапия.</w:t>
      </w:r>
    </w:p>
    <w:p w:rsidR="00724600" w:rsidRDefault="00724600">
      <w:pPr>
        <w:spacing w:line="28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</w:p>
    <w:p w:rsidR="00724600" w:rsidRDefault="00E91EE4">
      <w:pPr>
        <w:pStyle w:val="5"/>
      </w:pPr>
      <w:r>
        <w:t>Методы консервативного лечения</w:t>
      </w:r>
    </w:p>
    <w:p w:rsidR="00724600" w:rsidRDefault="00724600"/>
    <w:p w:rsidR="00724600" w:rsidRDefault="00E91EE4">
      <w:pPr>
        <w:spacing w:line="360" w:lineRule="auto"/>
        <w:ind w:firstLine="459"/>
        <w:jc w:val="right"/>
        <w:rPr>
          <w:i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  <w:u w:val="single"/>
        </w:rPr>
        <w:t>Промывание лакун миндалин</w:t>
      </w:r>
      <w:r>
        <w:rPr>
          <w:rFonts w:ascii="Courier New" w:hAnsi="Courier New" w:cs="Courier New"/>
          <w:snapToGrid w:val="0"/>
          <w:sz w:val="24"/>
        </w:rPr>
        <w:t xml:space="preserve"> (метод разработан Н. В. Белоголововым) различными антисептическими растворами — фурациллина, борной кислоты, лактата этакредина (риванола), перманганата калия, а также минеральной и щелочной водой, пелоидином, интерфероном, иодинолом и др. — производятся с помощью специального шприца с длинной изогнутой канюлей, конец которой вводят в устье лакуны, после чего нагнетают промывную жидкость. Она вымывает содержимое лакуны и изливается в полость рта и глотки, а затем отплевывается больным. Эффективность метода зависит от механического удаления из лакун гнойного содержимого, а также воздействия на микрофлору и ткань миндалины веществами, заключенными в промывной жидкости. Курс лечения состоит из 10—15 промываний лакун обеих миндалин, которые производятся обычно через день. После промывания следует смазать поверхность миндалины раствором Люголя или 5% раствором колларгола. Повторный курс проводится через 3 месяца. Промывание антибиотиками не следует применять в связи с возможностью формирования сенсибилизации к ним, а также утраты чувствительности микрофлоры к данному антибиотику, тем более, что антибиотики не имеют каких-либо преиму-</w:t>
      </w:r>
      <w:r>
        <w:rPr>
          <w:rFonts w:ascii="Courier New" w:hAnsi="Courier New" w:cs="Courier New"/>
          <w:snapToGrid w:val="0"/>
          <w:sz w:val="24"/>
        </w:rPr>
        <w:br w:type="page"/>
      </w:r>
      <w:r>
        <w:rPr>
          <w:i/>
          <w:snapToGrid w:val="0"/>
          <w:sz w:val="24"/>
        </w:rPr>
        <w:t>Таблица I.</w:t>
      </w:r>
    </w:p>
    <w:p w:rsidR="00724600" w:rsidRDefault="00E91EE4">
      <w:pPr>
        <w:pStyle w:val="1"/>
      </w:pPr>
      <w:r>
        <w:t>Классификация хронического тонзиллита</w:t>
      </w:r>
    </w:p>
    <w:p w:rsidR="00724600" w:rsidRDefault="00E91EE4">
      <w:pPr>
        <w:spacing w:line="280" w:lineRule="auto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(по Б. С. Преображенскому — В. Т. Пальчуну)</w:t>
      </w:r>
    </w:p>
    <w:p w:rsidR="00724600" w:rsidRDefault="00E91EE4">
      <w:pPr>
        <w:spacing w:line="280" w:lineRule="auto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Хронический тонзиллит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2430"/>
        <w:gridCol w:w="8"/>
        <w:gridCol w:w="2438"/>
        <w:gridCol w:w="2438"/>
      </w:tblGrid>
      <w:tr w:rsidR="00724600">
        <w:trPr>
          <w:cantSplit/>
          <w:trHeight w:val="434"/>
        </w:trPr>
        <w:tc>
          <w:tcPr>
            <w:tcW w:w="2538" w:type="dxa"/>
          </w:tcPr>
          <w:p w:rsidR="00724600" w:rsidRDefault="00E91EE4">
            <w:pPr>
              <w:pStyle w:val="1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Простая форма</w:t>
            </w:r>
          </w:p>
        </w:tc>
        <w:tc>
          <w:tcPr>
            <w:tcW w:w="7314" w:type="dxa"/>
            <w:gridSpan w:val="4"/>
          </w:tcPr>
          <w:p w:rsidR="00724600" w:rsidRDefault="00E91EE4">
            <w:pPr>
              <w:pStyle w:val="1"/>
              <w:spacing w:before="80" w:line="240" w:lineRule="auto"/>
              <w:rPr>
                <w:b w:val="0"/>
                <w:sz w:val="20"/>
              </w:rPr>
            </w:pPr>
            <w:r>
              <w:rPr>
                <w:sz w:val="20"/>
              </w:rPr>
              <w:t>Токсико- аллергическая форма</w:t>
            </w:r>
          </w:p>
        </w:tc>
      </w:tr>
      <w:tr w:rsidR="00724600">
        <w:trPr>
          <w:cantSplit/>
          <w:trHeight w:val="450"/>
        </w:trPr>
        <w:tc>
          <w:tcPr>
            <w:tcW w:w="2538" w:type="dxa"/>
            <w:vMerge w:val="restart"/>
          </w:tcPr>
          <w:p w:rsidR="00724600" w:rsidRDefault="00E91EE4">
            <w:pPr>
              <w:pStyle w:val="1"/>
              <w:spacing w:before="40" w:line="240" w:lineRule="auto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Сопутствующие заболевания</w:t>
            </w:r>
          </w:p>
          <w:p w:rsidR="00724600" w:rsidRDefault="00724600">
            <w:pPr>
              <w:jc w:val="both"/>
              <w:rPr>
                <w:sz w:val="20"/>
              </w:rPr>
            </w:pPr>
          </w:p>
          <w:p w:rsidR="00724600" w:rsidRDefault="00E91EE4">
            <w:pPr>
              <w:pStyle w:val="20"/>
            </w:pPr>
            <w:r>
              <w:t>Простая форма характеризуется местными признаками и у 96% больных — ангинами в анамнезе</w:t>
            </w:r>
          </w:p>
          <w:p w:rsidR="00724600" w:rsidRDefault="00E91EE4">
            <w:pPr>
              <w:spacing w:before="80"/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Местные признаки</w:t>
            </w:r>
          </w:p>
          <w:p w:rsidR="00724600" w:rsidRDefault="00724600">
            <w:pPr>
              <w:spacing w:before="80"/>
              <w:jc w:val="both"/>
              <w:rPr>
                <w:snapToGrid w:val="0"/>
                <w:sz w:val="20"/>
              </w:rPr>
            </w:pPr>
          </w:p>
          <w:p w:rsidR="00724600" w:rsidRDefault="00E91EE4">
            <w:pPr>
              <w:numPr>
                <w:ilvl w:val="0"/>
                <w:numId w:val="1"/>
              </w:numPr>
              <w:spacing w:before="80"/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Жидкий гной или ка-зеозно-гнойные пробки в лакунах; подэпители-ально расположенные гнойные фолликулы, разрыхленная поверхность миндалин.</w:t>
            </w:r>
          </w:p>
          <w:p w:rsidR="00724600" w:rsidRDefault="00E91EE4">
            <w:pPr>
              <w:numPr>
                <w:ilvl w:val="0"/>
                <w:numId w:val="1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Признак Гизе — стойкая гиперемия краев передних дужек.</w:t>
            </w:r>
          </w:p>
          <w:p w:rsidR="00724600" w:rsidRDefault="00E91EE4">
            <w:pPr>
              <w:numPr>
                <w:ilvl w:val="0"/>
                <w:numId w:val="1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Признак Зака — отечность краев верхних отделов небных дужек.</w:t>
            </w:r>
          </w:p>
          <w:p w:rsidR="00724600" w:rsidRDefault="00E91EE4">
            <w:pPr>
              <w:numPr>
                <w:ilvl w:val="0"/>
                <w:numId w:val="1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Признак Б. С. Преображенского — инфильтрация и гиперплазия краев передних дужек.</w:t>
            </w:r>
          </w:p>
          <w:p w:rsidR="00724600" w:rsidRDefault="00E91EE4">
            <w:pPr>
              <w:numPr>
                <w:ilvl w:val="0"/>
                <w:numId w:val="1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Сращение и спайки миндалин с дужками и треугольной складкой.</w:t>
            </w:r>
          </w:p>
          <w:p w:rsidR="00724600" w:rsidRDefault="00E91EE4">
            <w:pPr>
              <w:numPr>
                <w:ilvl w:val="0"/>
                <w:numId w:val="1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Увеличение отдельных регионарных лимфатических узлов.</w:t>
            </w:r>
          </w:p>
          <w:p w:rsidR="00724600" w:rsidRDefault="00E91EE4">
            <w:pPr>
              <w:numPr>
                <w:ilvl w:val="0"/>
                <w:numId w:val="1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Болезненность при пальпации регионарных лимфатических узлов.</w:t>
            </w:r>
          </w:p>
          <w:p w:rsidR="00724600" w:rsidRDefault="00724600">
            <w:pPr>
              <w:jc w:val="both"/>
              <w:rPr>
                <w:sz w:val="20"/>
              </w:rPr>
            </w:pPr>
          </w:p>
          <w:p w:rsidR="00724600" w:rsidRDefault="00E91EE4">
            <w:pPr>
              <w:jc w:val="both"/>
              <w:rPr>
                <w:sz w:val="20"/>
              </w:rPr>
            </w:pPr>
            <w:r>
              <w:rPr>
                <w:snapToGrid w:val="0"/>
                <w:sz w:val="20"/>
              </w:rPr>
              <w:t>Сопутствующие заболевания  не имеют единой этиологической и патогенетической основы с хроническим тонзиллитом, патогенетическая связь осуществляется через общую и местную реактивность.</w:t>
            </w:r>
          </w:p>
        </w:tc>
        <w:tc>
          <w:tcPr>
            <w:tcW w:w="2430" w:type="dxa"/>
          </w:tcPr>
          <w:p w:rsidR="00724600" w:rsidRDefault="00E91EE4">
            <w:pPr>
              <w:pStyle w:val="1"/>
              <w:spacing w:before="40" w:line="240" w:lineRule="auto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 степень</w:t>
            </w:r>
          </w:p>
        </w:tc>
        <w:tc>
          <w:tcPr>
            <w:tcW w:w="4884" w:type="dxa"/>
            <w:gridSpan w:val="3"/>
          </w:tcPr>
          <w:p w:rsidR="00724600" w:rsidRDefault="00E91EE4">
            <w:pPr>
              <w:pStyle w:val="1"/>
              <w:spacing w:before="40" w:line="240" w:lineRule="auto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II степень</w:t>
            </w:r>
          </w:p>
        </w:tc>
      </w:tr>
      <w:tr w:rsidR="00724600">
        <w:trPr>
          <w:cantSplit/>
          <w:trHeight w:val="1125"/>
        </w:trPr>
        <w:tc>
          <w:tcPr>
            <w:tcW w:w="2538" w:type="dxa"/>
            <w:vMerge/>
          </w:tcPr>
          <w:p w:rsidR="00724600" w:rsidRDefault="00724600">
            <w:pPr>
              <w:pStyle w:val="1"/>
              <w:spacing w:before="40" w:line="240" w:lineRule="auto"/>
              <w:jc w:val="both"/>
              <w:rPr>
                <w:sz w:val="20"/>
              </w:rPr>
            </w:pPr>
          </w:p>
        </w:tc>
        <w:tc>
          <w:tcPr>
            <w:tcW w:w="2438" w:type="dxa"/>
            <w:gridSpan w:val="2"/>
          </w:tcPr>
          <w:p w:rsidR="00724600" w:rsidRDefault="00E91EE4">
            <w:pPr>
              <w:pStyle w:val="1"/>
              <w:spacing w:before="40" w:line="240" w:lineRule="auto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Сопутствующие заболевания</w:t>
            </w:r>
          </w:p>
        </w:tc>
        <w:tc>
          <w:tcPr>
            <w:tcW w:w="2438" w:type="dxa"/>
          </w:tcPr>
          <w:p w:rsidR="00724600" w:rsidRDefault="00E91EE4">
            <w:pPr>
              <w:pStyle w:val="1"/>
              <w:spacing w:before="40" w:line="240" w:lineRule="auto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Сопутствующие заболевания</w:t>
            </w:r>
          </w:p>
        </w:tc>
        <w:tc>
          <w:tcPr>
            <w:tcW w:w="2438" w:type="dxa"/>
          </w:tcPr>
          <w:p w:rsidR="00724600" w:rsidRDefault="00E91EE4">
            <w:pPr>
              <w:pStyle w:val="1"/>
              <w:spacing w:before="40" w:line="240" w:lineRule="auto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Сопряженные заболевания</w:t>
            </w:r>
          </w:p>
        </w:tc>
      </w:tr>
      <w:tr w:rsidR="00724600">
        <w:trPr>
          <w:cantSplit/>
          <w:trHeight w:val="915"/>
        </w:trPr>
        <w:tc>
          <w:tcPr>
            <w:tcW w:w="2538" w:type="dxa"/>
            <w:vMerge/>
          </w:tcPr>
          <w:p w:rsidR="00724600" w:rsidRDefault="00724600">
            <w:pPr>
              <w:pStyle w:val="1"/>
              <w:spacing w:before="40" w:line="240" w:lineRule="auto"/>
              <w:jc w:val="both"/>
              <w:rPr>
                <w:sz w:val="20"/>
              </w:rPr>
            </w:pPr>
          </w:p>
        </w:tc>
        <w:tc>
          <w:tcPr>
            <w:tcW w:w="7314" w:type="dxa"/>
            <w:gridSpan w:val="4"/>
          </w:tcPr>
          <w:p w:rsidR="00724600" w:rsidRDefault="00724600">
            <w:pPr>
              <w:jc w:val="both"/>
              <w:rPr>
                <w:b/>
                <w:snapToGrid w:val="0"/>
                <w:sz w:val="20"/>
              </w:rPr>
            </w:pPr>
          </w:p>
          <w:p w:rsidR="00724600" w:rsidRDefault="00E91EE4">
            <w:pPr>
              <w:jc w:val="both"/>
              <w:rPr>
                <w:snapToGrid w:val="0"/>
                <w:sz w:val="20"/>
              </w:rPr>
            </w:pPr>
            <w:r>
              <w:rPr>
                <w:b/>
                <w:snapToGrid w:val="0"/>
                <w:sz w:val="20"/>
              </w:rPr>
              <w:t>I степень</w:t>
            </w:r>
            <w:r>
              <w:rPr>
                <w:snapToGrid w:val="0"/>
                <w:sz w:val="20"/>
              </w:rPr>
              <w:t xml:space="preserve"> характеризуется признаками простой формы и общими токсико-аллергическими явлениями.</w:t>
            </w:r>
          </w:p>
          <w:p w:rsidR="00724600" w:rsidRDefault="00724600">
            <w:pPr>
              <w:ind w:left="220" w:hanging="220"/>
              <w:jc w:val="both"/>
              <w:rPr>
                <w:snapToGrid w:val="0"/>
                <w:sz w:val="20"/>
              </w:rPr>
            </w:pPr>
          </w:p>
          <w:p w:rsidR="00724600" w:rsidRDefault="00E91EE4">
            <w:pPr>
              <w:ind w:left="220" w:hanging="220"/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Токсико-аллергические признаки I степени</w:t>
            </w:r>
          </w:p>
          <w:p w:rsidR="00724600" w:rsidRDefault="00E91EE4">
            <w:pPr>
              <w:numPr>
                <w:ilvl w:val="0"/>
                <w:numId w:val="3"/>
              </w:numPr>
              <w:spacing w:before="20"/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Субфебрильная температура (периодическая).</w:t>
            </w:r>
          </w:p>
          <w:p w:rsidR="00724600" w:rsidRDefault="00E91EE4">
            <w:pPr>
              <w:numPr>
                <w:ilvl w:val="0"/>
                <w:numId w:val="3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Тонзиллогенная интоксикация периодические или постоянные слабость, разбитость, недомогание, быстрая утомляемость, пониженная работоспособность, плохое самочувствие.</w:t>
            </w:r>
          </w:p>
          <w:p w:rsidR="00724600" w:rsidRDefault="00E91EE4">
            <w:pPr>
              <w:numPr>
                <w:ilvl w:val="0"/>
                <w:numId w:val="3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Периодические боли в суставах.</w:t>
            </w:r>
          </w:p>
          <w:p w:rsidR="00724600" w:rsidRDefault="00E91EE4">
            <w:pPr>
              <w:numPr>
                <w:ilvl w:val="0"/>
                <w:numId w:val="3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Шейный лимфаденит.</w:t>
            </w:r>
          </w:p>
          <w:p w:rsidR="00724600" w:rsidRDefault="00E91EE4">
            <w:pPr>
              <w:numPr>
                <w:ilvl w:val="0"/>
                <w:numId w:val="3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Функциональные нарушения сердца в виде болей выявляются только в период обострения хронического тонзиллита и не определяются при объективном исследовании (ЭКГ и др.).</w:t>
            </w:r>
          </w:p>
          <w:p w:rsidR="00724600" w:rsidRDefault="00E91EE4">
            <w:pPr>
              <w:numPr>
                <w:ilvl w:val="0"/>
                <w:numId w:val="3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Отклонения в лабораторных данных (показатели крови и иммунологические) неустойчивы и нехарактерны.</w:t>
            </w:r>
          </w:p>
          <w:p w:rsidR="00724600" w:rsidRDefault="00E91EE4">
            <w:pPr>
              <w:jc w:val="both"/>
              <w:rPr>
                <w:snapToGrid w:val="0"/>
                <w:sz w:val="20"/>
              </w:rPr>
            </w:pPr>
            <w:r>
              <w:rPr>
                <w:b/>
                <w:snapToGrid w:val="0"/>
                <w:sz w:val="20"/>
              </w:rPr>
              <w:t>II степень</w:t>
            </w:r>
            <w:r>
              <w:rPr>
                <w:snapToGrid w:val="0"/>
                <w:sz w:val="20"/>
              </w:rPr>
              <w:t xml:space="preserve"> характеризуется признаками I степени с более выраженными токсико-аллергическими явлениями; при наличии сопряженного заболевания всегда диагностируется II степень.</w:t>
            </w:r>
          </w:p>
          <w:p w:rsidR="00724600" w:rsidRDefault="00724600">
            <w:pPr>
              <w:pStyle w:val="1"/>
              <w:spacing w:before="40" w:line="240" w:lineRule="auto"/>
              <w:jc w:val="both"/>
              <w:rPr>
                <w:b w:val="0"/>
                <w:sz w:val="20"/>
              </w:rPr>
            </w:pPr>
          </w:p>
          <w:p w:rsidR="00724600" w:rsidRDefault="00E91EE4">
            <w:pPr>
              <w:pStyle w:val="2"/>
              <w:jc w:val="both"/>
            </w:pPr>
            <w:r>
              <w:t>Токсико-аллергические признаки II степени</w:t>
            </w:r>
          </w:p>
          <w:p w:rsidR="00724600" w:rsidRDefault="00E91EE4">
            <w:pPr>
              <w:numPr>
                <w:ilvl w:val="0"/>
                <w:numId w:val="5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Функциональные нарушения сердечной деятельности, регистрируемые на ЭКГ.</w:t>
            </w:r>
          </w:p>
          <w:p w:rsidR="00724600" w:rsidRDefault="00E91EE4">
            <w:pPr>
              <w:numPr>
                <w:ilvl w:val="0"/>
                <w:numId w:val="5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Боли в области сердца бывают как во время ангины, так и вне обострения хронического тонзиллита.</w:t>
            </w:r>
          </w:p>
          <w:p w:rsidR="00724600" w:rsidRDefault="00E91EE4">
            <w:pPr>
              <w:numPr>
                <w:ilvl w:val="0"/>
                <w:numId w:val="5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Сердцебиение, нарушения сердечного ритма.</w:t>
            </w:r>
          </w:p>
          <w:p w:rsidR="00724600" w:rsidRDefault="00E91EE4">
            <w:pPr>
              <w:numPr>
                <w:ilvl w:val="0"/>
                <w:numId w:val="5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Субфебрильная температура (длительная).</w:t>
            </w:r>
          </w:p>
          <w:p w:rsidR="00724600" w:rsidRDefault="00E91EE4">
            <w:pPr>
              <w:numPr>
                <w:ilvl w:val="0"/>
                <w:numId w:val="5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Функциональные нарушения острого или хронического инфекционного характера почек, сердца, сосудистой системы, суставов, печени и других органов и систем, регистрируемые клинически и с помощью функциональных и лабораторных исследований.</w:t>
            </w:r>
          </w:p>
          <w:p w:rsidR="00724600" w:rsidRDefault="00724600">
            <w:pPr>
              <w:jc w:val="both"/>
              <w:rPr>
                <w:snapToGrid w:val="0"/>
                <w:sz w:val="20"/>
              </w:rPr>
            </w:pPr>
          </w:p>
          <w:p w:rsidR="00724600" w:rsidRDefault="00E91EE4">
            <w:pPr>
              <w:pStyle w:val="3"/>
              <w:jc w:val="both"/>
            </w:pPr>
            <w:r>
              <w:t>Сопряженные заболевания</w:t>
            </w:r>
          </w:p>
          <w:p w:rsidR="00724600" w:rsidRDefault="00E91EE4">
            <w:pPr>
              <w:pStyle w:val="30"/>
              <w:jc w:val="both"/>
            </w:pPr>
            <w:r>
              <w:t xml:space="preserve">     Сопряженные заболевания имеют единые с хроническим тонзиллитом этиологические и патогенетические факторы.</w:t>
            </w:r>
          </w:p>
          <w:p w:rsidR="00724600" w:rsidRDefault="00E91EE4">
            <w:pPr>
              <w:jc w:val="both"/>
              <w:rPr>
                <w:b/>
                <w:snapToGrid w:val="0"/>
                <w:sz w:val="20"/>
              </w:rPr>
            </w:pPr>
            <w:r>
              <w:rPr>
                <w:b/>
                <w:snapToGrid w:val="0"/>
                <w:sz w:val="20"/>
              </w:rPr>
              <w:t>Местные:</w:t>
            </w:r>
          </w:p>
          <w:p w:rsidR="00724600" w:rsidRDefault="00E91EE4">
            <w:pPr>
              <w:numPr>
                <w:ilvl w:val="0"/>
                <w:numId w:val="7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Паратонзиллярный абсцесс,</w:t>
            </w:r>
          </w:p>
          <w:p w:rsidR="00724600" w:rsidRDefault="00E91EE4">
            <w:pPr>
              <w:numPr>
                <w:ilvl w:val="0"/>
                <w:numId w:val="7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Парафарингит.</w:t>
            </w:r>
          </w:p>
          <w:p w:rsidR="00724600" w:rsidRDefault="00E91EE4">
            <w:pPr>
              <w:numPr>
                <w:ilvl w:val="0"/>
                <w:numId w:val="7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Фарингит</w:t>
            </w:r>
          </w:p>
          <w:p w:rsidR="00724600" w:rsidRDefault="00E91EE4">
            <w:pPr>
              <w:pStyle w:val="4"/>
              <w:jc w:val="both"/>
            </w:pPr>
            <w:r>
              <w:t>Общие</w:t>
            </w:r>
          </w:p>
          <w:p w:rsidR="00724600" w:rsidRDefault="00E91EE4">
            <w:pPr>
              <w:numPr>
                <w:ilvl w:val="0"/>
                <w:numId w:val="8"/>
              </w:numPr>
              <w:jc w:val="both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Острый и хронический тонзиллогенный сепсис.</w:t>
            </w:r>
          </w:p>
          <w:p w:rsidR="00724600" w:rsidRDefault="00E91EE4">
            <w:pPr>
              <w:numPr>
                <w:ilvl w:val="0"/>
                <w:numId w:val="8"/>
              </w:numPr>
              <w:jc w:val="both"/>
              <w:rPr>
                <w:sz w:val="20"/>
              </w:rPr>
            </w:pPr>
            <w:r>
              <w:rPr>
                <w:snapToGrid w:val="0"/>
                <w:sz w:val="20"/>
              </w:rPr>
              <w:t>Ревматизм, инфектартрит, приоб ретенные заболевания сердца, мо-чевыделительной системы, суставов и других органов и систем инфек-ционно-аллергической природы.</w:t>
            </w:r>
          </w:p>
        </w:tc>
      </w:tr>
    </w:tbl>
    <w:p w:rsidR="00724600" w:rsidRDefault="00724600">
      <w:pPr>
        <w:spacing w:before="80"/>
        <w:jc w:val="both"/>
        <w:rPr>
          <w:rFonts w:ascii="Courier New" w:hAnsi="Courier New" w:cs="Courier New"/>
          <w:b/>
          <w:snapToGrid w:val="0"/>
          <w:sz w:val="24"/>
        </w:rPr>
      </w:pP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ществ перед промыванием другими веществами. Противопоказаниями к промыванию лакун являются острое воспаление глотки, носа или миндалин и острые общие заболевания.</w:t>
      </w:r>
    </w:p>
    <w:p w:rsidR="00724600" w:rsidRDefault="00E91EE4">
      <w:pPr>
        <w:spacing w:before="80" w:line="360" w:lineRule="auto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b/>
          <w:snapToGrid w:val="0"/>
          <w:sz w:val="24"/>
        </w:rPr>
        <w:t xml:space="preserve">        </w:t>
      </w:r>
      <w:r>
        <w:rPr>
          <w:rFonts w:ascii="Courier New" w:hAnsi="Courier New" w:cs="Courier New"/>
          <w:snapToGrid w:val="0"/>
          <w:sz w:val="24"/>
          <w:u w:val="single"/>
        </w:rPr>
        <w:t>Методы выдавливания</w:t>
      </w:r>
      <w:r>
        <w:rPr>
          <w:rFonts w:ascii="Courier New" w:hAnsi="Courier New" w:cs="Courier New"/>
          <w:snapToGrid w:val="0"/>
          <w:sz w:val="24"/>
        </w:rPr>
        <w:t>, отсасывания и удаления содержимого лакун специальным крючком в лечебной практике мало применяются, поскольку они малоэффективны, а иногда и травматичны. Выдавливание содержимого лакун шпателем применяется только в диагностических целях.</w:t>
      </w:r>
    </w:p>
    <w:p w:rsidR="00724600" w:rsidRDefault="00E91EE4">
      <w:pPr>
        <w:pStyle w:val="a3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К </w:t>
      </w:r>
      <w:r>
        <w:rPr>
          <w:rFonts w:ascii="Courier New" w:hAnsi="Courier New" w:cs="Courier New"/>
          <w:u w:val="single"/>
        </w:rPr>
        <w:t xml:space="preserve">физиотерапевтическим методам </w:t>
      </w:r>
      <w:r>
        <w:rPr>
          <w:rFonts w:ascii="Courier New" w:hAnsi="Courier New" w:cs="Courier New"/>
        </w:rPr>
        <w:t xml:space="preserve">лечения хронического тонзиллита относятся: ультрафиолетовое облучение, электромагнитные колебания высоких и средних или сверхвысоких частот (УВЧ и СВЧ), ультразвуковая терапия. 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Абсолютным противопоказанием к любому методу физиотерапии являются онкологические заболевания или подозрение на их наличие.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Критерии эффективности консервативного лечения хронического тонзиллита должны основываться на наблюдении после него. Такими критериями являются: а) прекращение обострении хронического тонзиллита; б) исчезновение объективных местных признаков хронического тонзиллита или значительное уменьшение их выраженности; в) исчезновение или значительное уменьшение общих токсико-аллергических явлений, обусловленных хроническим тонзиллитом.</w:t>
      </w:r>
    </w:p>
    <w:p w:rsidR="00724600" w:rsidRDefault="00E91EE4">
      <w:pPr>
        <w:pStyle w:val="a4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Необходимо учитывать, что улучшение по какому-то одному из перечисленных критериев и даже полный успех по двум, хотя по праву и относится к положительной динамике, но не может, считаться основанием для снятия больного с диспансерного учета и прекращения лечения. Только полное излечение, регистрируемое в течение 2-х лет, позволяет прекратить активное наблюдение. Если регистрируется лишь улучшение течения заболевания (например, урежение ангин), то в соответствии с принятой лечебной тактикой производят тонзиллэктомию. Удаление миндалин является радикальным методом лечения хронического тонзиллита. После тонзиллэктомии больной находится под наблюдением в течение 6 месяцев.</w:t>
      </w:r>
    </w:p>
    <w:p w:rsidR="00724600" w:rsidRDefault="00E91EE4">
      <w:pPr>
        <w:spacing w:line="360" w:lineRule="auto"/>
        <w:ind w:firstLine="44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  <w:u w:val="single"/>
        </w:rPr>
        <w:t xml:space="preserve">Тонзиллэктомия </w:t>
      </w:r>
      <w:r>
        <w:rPr>
          <w:rFonts w:ascii="Courier New" w:hAnsi="Courier New" w:cs="Courier New"/>
          <w:snapToGrid w:val="0"/>
          <w:sz w:val="24"/>
        </w:rPr>
        <w:t>(полное удаление миндалин с прилежащей соединительной тканью — капсулой) может иметь следующие показания:</w:t>
      </w:r>
    </w:p>
    <w:p w:rsidR="00724600" w:rsidRDefault="00E91EE4">
      <w:pPr>
        <w:spacing w:line="360" w:lineRule="auto"/>
        <w:ind w:left="280" w:hanging="28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1) хронический тонзиллит простой и токсико-аллергической формы I степени при отсутствии эффекта от консервативного лечения;</w:t>
      </w:r>
    </w:p>
    <w:p w:rsidR="00724600" w:rsidRDefault="00E91EE4">
      <w:pPr>
        <w:spacing w:line="360" w:lineRule="auto"/>
        <w:ind w:left="280" w:hanging="28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2) хронический тонзиллит токсико-аллергической формы II степени;</w:t>
      </w:r>
    </w:p>
    <w:p w:rsidR="00724600" w:rsidRDefault="00E91EE4">
      <w:pPr>
        <w:spacing w:line="360" w:lineRule="auto"/>
        <w:ind w:left="280" w:hanging="28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3) хронический тонзиллит, осложненный паратонзиллитом;</w:t>
      </w:r>
    </w:p>
    <w:p w:rsidR="00724600" w:rsidRDefault="00E91EE4">
      <w:pPr>
        <w:spacing w:line="360" w:lineRule="auto"/>
        <w:ind w:left="280" w:hanging="28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4) тонзиллогенный сепсис.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Абсолютными противопоказаниями к тонзиллэктомии являются тяжелые заболевания сердечно-сосудистой системы с недостаточностью кровообращения II—III степени, почечная недостаточность с угрозой уремии, тяжелый сахарный диабет с опасностью развития комы, высокая степень гипертонии с возможным развитием сосудистых кризов, гемофилия (геморрагические диатезы) и другие заболевания крови и сосудистой системы (болезнь Верльгофа, болезнь Ослера и др.), сопровождающиеся кровотечением и не поддающиеся лечению, острые общие заболевания, обострения общих хронических заболеваний.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Временно противопоказано удаление миндалин при наличии кариозных зубов, воспаления десен, гнойничковых заболеваний, во время менструации, в последние недели беременности.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При хирургическом лечении хронического тонзиллита подготовка больного к операции проводится в основном в амбулаторных условиях. Она включает лабораторные исследования (общий анализ крови, в том числе определение количества тромбоцитов, время свертываемости крови и время кровотечения, анализ мочи), измерение артериального давления, ЭКГ, осмотр стоматологом, терапевтическое обследование, при выявлении патологии — осмотр соответствующим специалистом.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В подавляющем большинстве случаев тонзиллэктомия выполняется под местным обезболиванием в сидячем положении. При необходимости ее делают под ингаляционным интубационным наркозом.</w:t>
      </w:r>
    </w:p>
    <w:p w:rsidR="00724600" w:rsidRDefault="00E91EE4">
      <w:pPr>
        <w:pStyle w:val="21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Тонзиллэктомию начинают с проникновения узким распатором за капсулу миндалины. Далее элеватором отсепаровывают на всем протяжении переднюю дужку и верхний полюс миндалины, затем элеватором отсепаровывают заднюю дужку. С помощью зажима миндалину отводят медиально и отсепаровывают большой острой ложкой до нижнего полюса. Нижний полюс отсекают петлей. На кровоточащие сосуды накладывают зажимы, а затем кетгутовые лигатуры. По окончании операции добиваются полного гемостаза, с этой целью ниши обрабатывают гемостатической пастой. Больного отправляют на сидячей каталке в палату и укладывают в постель, обычно на правый бок. На шею кладут пузырь со льдом, который через 1-2 минуты переменно смещается то на одну, то на другую сторону шеи. В первый день после операции больной не ест, при сильной жажде разрешается сделать несколько глотков воды. Постельный режим продолжается 1-2 суток.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Профилактика хронического тонзиллита осуществляется в двух аспектах – индивидуальном и общественном. Индивидуальная профилактика состоит в укреплении организма, повышении его устойчивости к инфекционным воздействиям и неблагоприятным условиям внешней среды, прежде всего, к холоду.</w:t>
      </w:r>
    </w:p>
    <w:p w:rsidR="00724600" w:rsidRDefault="00E91EE4">
      <w:pPr>
        <w:spacing w:line="360" w:lineRule="auto"/>
        <w:ind w:firstLine="460"/>
        <w:jc w:val="both"/>
        <w:rPr>
          <w:rFonts w:ascii="Courier New" w:hAnsi="Courier New" w:cs="Courier New"/>
          <w:snapToGrid w:val="0"/>
          <w:sz w:val="24"/>
        </w:rPr>
      </w:pPr>
      <w:r>
        <w:rPr>
          <w:rFonts w:ascii="Courier New" w:hAnsi="Courier New" w:cs="Courier New"/>
          <w:snapToGrid w:val="0"/>
          <w:sz w:val="24"/>
        </w:rPr>
        <w:t>Общественная профилактика является проблемой гигиенической и направлена на борьбу с микробной и иной засоренностью окружающей среды, включая также борьбу за оздоровление труда и быта.</w:t>
      </w:r>
    </w:p>
    <w:p w:rsidR="00724600" w:rsidRDefault="00724600">
      <w:pPr>
        <w:spacing w:line="360" w:lineRule="auto"/>
        <w:jc w:val="both"/>
        <w:rPr>
          <w:rFonts w:ascii="Courier New" w:hAnsi="Courier New" w:cs="Courier New"/>
          <w:sz w:val="24"/>
        </w:rPr>
      </w:pPr>
      <w:bookmarkStart w:id="0" w:name="_GoBack"/>
      <w:bookmarkEnd w:id="0"/>
    </w:p>
    <w:sectPr w:rsidR="00724600">
      <w:headerReference w:type="even" r:id="rId7"/>
      <w:headerReference w:type="default" r:id="rId8"/>
      <w:pgSz w:w="11906" w:h="16838" w:code="9"/>
      <w:pgMar w:top="719" w:right="1134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600" w:rsidRDefault="00E91EE4">
      <w:r>
        <w:separator/>
      </w:r>
    </w:p>
  </w:endnote>
  <w:endnote w:type="continuationSeparator" w:id="0">
    <w:p w:rsidR="00724600" w:rsidRDefault="00E9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600" w:rsidRDefault="00E91EE4">
      <w:r>
        <w:separator/>
      </w:r>
    </w:p>
  </w:footnote>
  <w:footnote w:type="continuationSeparator" w:id="0">
    <w:p w:rsidR="00724600" w:rsidRDefault="00E91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600" w:rsidRDefault="00E91EE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4600" w:rsidRDefault="0072460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600" w:rsidRDefault="00E91EE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24600" w:rsidRDefault="0072460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4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26903F7"/>
    <w:multiLevelType w:val="singleLevel"/>
    <w:tmpl w:val="0DE6831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">
    <w:nsid w:val="2DFD7607"/>
    <w:multiLevelType w:val="singleLevel"/>
    <w:tmpl w:val="0DE6831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>
    <w:nsid w:val="317D46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BA6001B"/>
    <w:multiLevelType w:val="singleLevel"/>
    <w:tmpl w:val="0DE6831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>
    <w:nsid w:val="464B61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80912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8DB1FBF"/>
    <w:multiLevelType w:val="singleLevel"/>
    <w:tmpl w:val="0DE6831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>
    <w:nsid w:val="62FC1939"/>
    <w:multiLevelType w:val="singleLevel"/>
    <w:tmpl w:val="0DE6831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9">
    <w:nsid w:val="7CE47D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EE4"/>
    <w:rsid w:val="00724600"/>
    <w:rsid w:val="00C67D74"/>
    <w:rsid w:val="00E9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868A8-C95C-46AF-9AF6-C840B284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szCs w:val="24"/>
    </w:rPr>
  </w:style>
  <w:style w:type="paragraph" w:styleId="1">
    <w:name w:val="heading 1"/>
    <w:basedOn w:val="a"/>
    <w:next w:val="a"/>
    <w:qFormat/>
    <w:pPr>
      <w:keepNext/>
      <w:spacing w:line="280" w:lineRule="auto"/>
      <w:jc w:val="center"/>
      <w:outlineLvl w:val="0"/>
    </w:pPr>
    <w:rPr>
      <w:b/>
      <w:snapToGrid w:val="0"/>
      <w:sz w:val="24"/>
    </w:rPr>
  </w:style>
  <w:style w:type="paragraph" w:styleId="2">
    <w:name w:val="heading 2"/>
    <w:basedOn w:val="a"/>
    <w:next w:val="a"/>
    <w:qFormat/>
    <w:pPr>
      <w:keepNext/>
      <w:ind w:left="160" w:hanging="160"/>
      <w:outlineLvl w:val="1"/>
    </w:pPr>
    <w:rPr>
      <w:b/>
      <w:snapToGrid w:val="0"/>
      <w:sz w:val="20"/>
    </w:rPr>
  </w:style>
  <w:style w:type="paragraph" w:styleId="3">
    <w:name w:val="heading 3"/>
    <w:basedOn w:val="a"/>
    <w:next w:val="a"/>
    <w:qFormat/>
    <w:pPr>
      <w:keepNext/>
      <w:ind w:firstLine="740"/>
      <w:jc w:val="center"/>
      <w:outlineLvl w:val="2"/>
    </w:pPr>
    <w:rPr>
      <w:b/>
      <w:snapToGrid w:val="0"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napToGrid w:val="0"/>
      <w:sz w:val="20"/>
    </w:rPr>
  </w:style>
  <w:style w:type="paragraph" w:styleId="5">
    <w:name w:val="heading 5"/>
    <w:basedOn w:val="a"/>
    <w:next w:val="a"/>
    <w:qFormat/>
    <w:pPr>
      <w:keepNext/>
      <w:spacing w:line="280" w:lineRule="auto"/>
      <w:ind w:firstLine="460"/>
      <w:jc w:val="center"/>
      <w:outlineLvl w:val="4"/>
    </w:pPr>
    <w:rPr>
      <w:rFonts w:ascii="Courier New" w:hAnsi="Courier New" w:cs="Courier New"/>
      <w:b/>
      <w:i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280" w:lineRule="auto"/>
    </w:pPr>
    <w:rPr>
      <w:snapToGrid w:val="0"/>
      <w:sz w:val="24"/>
    </w:rPr>
  </w:style>
  <w:style w:type="paragraph" w:styleId="a4">
    <w:name w:val="Body Text Indent"/>
    <w:basedOn w:val="a"/>
    <w:semiHidden/>
    <w:pPr>
      <w:spacing w:line="280" w:lineRule="auto"/>
      <w:ind w:firstLine="460"/>
    </w:pPr>
    <w:rPr>
      <w:snapToGrid w:val="0"/>
      <w:sz w:val="24"/>
    </w:rPr>
  </w:style>
  <w:style w:type="paragraph" w:styleId="20">
    <w:name w:val="Body Text 2"/>
    <w:basedOn w:val="a"/>
    <w:semiHidden/>
    <w:pPr>
      <w:spacing w:before="80"/>
      <w:jc w:val="both"/>
    </w:pPr>
    <w:rPr>
      <w:snapToGrid w:val="0"/>
      <w:sz w:val="20"/>
    </w:rPr>
  </w:style>
  <w:style w:type="paragraph" w:styleId="30">
    <w:name w:val="Body Text 3"/>
    <w:basedOn w:val="a"/>
    <w:semiHidden/>
    <w:rPr>
      <w:snapToGrid w:val="0"/>
      <w:sz w:val="20"/>
    </w:rPr>
  </w:style>
  <w:style w:type="paragraph" w:styleId="21">
    <w:name w:val="Body Text Indent 2"/>
    <w:basedOn w:val="a"/>
    <w:semiHidden/>
    <w:pPr>
      <w:spacing w:line="280" w:lineRule="auto"/>
      <w:ind w:firstLine="460"/>
      <w:jc w:val="both"/>
    </w:pPr>
    <w:rPr>
      <w:snapToGrid w:val="0"/>
      <w:sz w:val="24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2708</Words>
  <Characters>15441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тонзиллит» всегда подразумевают хронический воспалительный про-цесс в небных миндалинах</vt:lpstr>
    </vt:vector>
  </TitlesOfParts>
  <Company>ВГМА</Company>
  <LinksUpToDate>false</LinksUpToDate>
  <CharactersWithSpaces>18113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тонзиллит» всегда подразумевают хронический воспалительный про-цесс в небных миндалинах</dc:title>
  <dc:subject/>
  <dc:creator>Кафедра биохимии</dc:creator>
  <cp:keywords/>
  <cp:lastModifiedBy>admin</cp:lastModifiedBy>
  <cp:revision>2</cp:revision>
  <cp:lastPrinted>1999-12-19T12:19:00Z</cp:lastPrinted>
  <dcterms:created xsi:type="dcterms:W3CDTF">2014-02-13T15:06:00Z</dcterms:created>
  <dcterms:modified xsi:type="dcterms:W3CDTF">2014-02-13T15:06:00Z</dcterms:modified>
</cp:coreProperties>
</file>