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42" w:rsidRDefault="00CD4342">
      <w:pPr>
        <w:pStyle w:val="a3"/>
      </w:pPr>
      <w:r>
        <w:t>ЗНАЧЕНИЕ ДЕНТИНОВЫХ АДГЕЗИВОВ ПРИ РЕСТАВРАЦИИ ЗУБОВ КОМПОЗИТАМИ.</w:t>
      </w:r>
    </w:p>
    <w:p w:rsidR="00CD4342" w:rsidRDefault="00CD4342">
      <w:pPr>
        <w:pStyle w:val="20"/>
      </w:pPr>
      <w:r>
        <w:tab/>
        <w:t>Композиционные материалы применяются уже более чем 30 лет в стоматологической практике и именно им уделяют сегодня особое внимание. В последние годы существенно удалось усовершенствовать физические и оптические свойства композиционных материалов, выявить новые механизмы сцепления с тканями зуба и усовершенствовать клиническую методику применения композитов. Всё это привело к расширению показаний к применению композитов. Они используются для реставрации фронтальных зубов с дефектами кариозного и некариозного происхождения, а также для эстетического и функционального устранения различных пороков развития зубов.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Известно, что полимеризация композиционных материалов сопровождается их незначительной усадкой от 2 до 5 </w:t>
      </w:r>
      <w:r>
        <w:rPr>
          <w:sz w:val="28"/>
          <w:lang w:val="en-US"/>
        </w:rPr>
        <w:t>Vol</w:t>
      </w:r>
      <w:r>
        <w:rPr>
          <w:sz w:val="28"/>
        </w:rPr>
        <w:t>. - %, которая может приводить к отслаиванию композита от стенок кариозной полости. Причиной усадки является уменьшение расстояния между молекулами мономера во время полимеризации. Если межмолекулярное расстояние мономеров в жидком виде составляют около 3-4 ангстрем, то после полимеризации оно сокращается примерно на 1,54 ангстрем. В связи с этим краевое прилегание композита может нарушаться именно в тех местах кариозной полости, которые располагаются не в пределах эмали, а в области дентина или цемента. Ухудшение сцепления композита часто наблюдается в апроксимальных или пришеечных участках кариозной полости и сопровождается возникновением краевой щели, окрашиванием краёв пломбы, повышенной постоперационной чувствительностью, возникновением вторичного кариеса или, в худшем случае, повреждением пульпы.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>С целью улучшения сцепления материала с тканями зуба в последние годы особое внимание уделяется адгезивным средствам, улучшающим фиксацию пломбировочного материала не только с поверхностью эмали, но и дентина. Диакрилаты, входящие в состав композитов, обладают достаточно высокой адгезивностью к эмали зуба, однако по отношению к дентину они себя ведут как гидрофобные вещества, плохо прилипающие к его поверхности. В связи с указанным возникла необходимость поиска совершенно новых механизмов сцепления композитов с дентином, отличающихся от механизмов сцепления с эмалью.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i/>
          <w:sz w:val="28"/>
          <w:u w:val="single"/>
        </w:rPr>
        <w:t>Механизмы сцепления композитов с тканями зуба.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Механизмы сцепления композитов с поверхностью эмали.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</w:rPr>
        <w:tab/>
        <w:t xml:space="preserve">Эмаль состоит в основном из неорганических веществ, а именно из разных апатитов, составляющих 86 </w:t>
      </w:r>
      <w:r>
        <w:rPr>
          <w:sz w:val="28"/>
          <w:lang w:val="en-US"/>
        </w:rPr>
        <w:t>Vol.-%</w:t>
      </w:r>
      <w:r>
        <w:rPr>
          <w:sz w:val="28"/>
        </w:rPr>
        <w:t xml:space="preserve"> эмали, кроме того в состав эмали входит незначительное количество органических веществ (2</w:t>
      </w:r>
      <w:r>
        <w:rPr>
          <w:sz w:val="28"/>
          <w:lang w:val="en-US"/>
        </w:rPr>
        <w:t xml:space="preserve"> Vol.-%) и воды (12 Vol.-%).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Буонкоре (1955 г), протравливая поверхность эмали зуба в течение двух минут 85% фосфорной кислотой, обнаружил, что при этом усиливается адгезия метакрилового пломбировочного материала к поверхности зуба. Рождённая таким образом 40 лет тому назад техника травления эмали кислотой лежит в основе современных адгезивных методик реставрации зубов.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В сегодняшнее время используется в качестве травящей гели фосфорная кислота концентрацией от 30 до 40%, которая апплицируется на поверхность эмали в среднем в течение 30-45 сек. В зависимости от резистентности эмали рекомендуется менять время аппликации травящей гели: при низкой резистентности эмали оно сокращается до 15 секунд, а при повышенной оно увеличивается до 60 секунд.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Под воздействием кислот происходит селективное растворение периферических и центральных зон эмалевых призм и преобразование поверхности эмали, которая становится под электронным микроскопом похожа на пчелиные соты или на форму подковы, или же на сочетание обеих форм. В результате механического скашивания эмалевых призм и обработки эмали кислотой увеличивается активная поверхность сцепления с композиционными материалами и улучшается возможность обволакивания поверхностного слоя эмали гидрофобными и вязкими адгезивами. В качестве эмалевых адгезивов применяются ненаполненные или умеренно наполненные смеси диакрилатов, входящие в состав основного вещества композита. Они проникают из-за высокой вязкости медленно на всю глубину протравленной эмали. После полимеризации адгезива образуются в межпризменных участках отростки, сцепляющиеся механически с поверхностью эмали и способствующие, таким образом, микроретенционному сцеплению композита с поверхностью эмали.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i/>
          <w:sz w:val="28"/>
          <w:lang w:val="en-US"/>
        </w:rPr>
        <w:t>Механизмы сцепления композитов с поверхностью дентина.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Дентин состоит на 45</w:t>
      </w:r>
      <w:r>
        <w:rPr>
          <w:sz w:val="28"/>
        </w:rPr>
        <w:t xml:space="preserve"> </w:t>
      </w:r>
      <w:r>
        <w:rPr>
          <w:sz w:val="28"/>
          <w:lang w:val="en-US"/>
        </w:rPr>
        <w:t>Vol.-% из минерализованных составных частей, на 30 Vol.-% из органических структур, 25 Vol.-% составляет вода. Природа живого дентина такова, что его поверхность всегда влажная, а высушивание в клинических условиях практически невыполнимо. Из-за скорости движения жидкости в дентиновых канальцах на поверхности дентина неоднократно происходит полное обновление влаги. В клинических условиях даже после высушивания кариозной полости наблюдается незаметная остаточная влажность, которая может влиять на прочность соединения дентина с композитом. В связи с этим дентиновые адгезивные системы должны быть гидрофильными, т.е. водосовместимыми.</w:t>
      </w:r>
    </w:p>
    <w:p w:rsidR="00CD4342" w:rsidRDefault="00CD4342">
      <w:pPr>
        <w:jc w:val="both"/>
        <w:rPr>
          <w:sz w:val="28"/>
        </w:rPr>
      </w:pPr>
      <w:r>
        <w:rPr>
          <w:sz w:val="28"/>
          <w:lang w:val="en-US"/>
        </w:rPr>
        <w:tab/>
        <w:t>Ключевую роль в механизме сцепления композита с дентином уделяется смазочному слою, образовавшемуся вследствие инструментальной обработки дентина и состоящему из частиц гидроксилапатитов, разрушенных остатков одонтобластов и денатурированных коллагеновых волокон. Этот слой достигает в зависимости от вида препарирования толщины до 5 µм, он закупоривает дентиновые канальцы и покрывает, как прокладкой, интертубулярный дентин. Этот слой называют в литературе смазочным или масляным, в англоязычной литературе – “smear layer</w:t>
      </w:r>
      <w:r>
        <w:rPr>
          <w:sz w:val="28"/>
          <w:lang w:val="uk-UA"/>
        </w:rPr>
        <w:t>”</w:t>
      </w:r>
      <w:r>
        <w:rPr>
          <w:sz w:val="28"/>
        </w:rPr>
        <w:t xml:space="preserve">. </w:t>
      </w:r>
      <w:r>
        <w:rPr>
          <w:sz w:val="28"/>
          <w:lang w:val="en-US"/>
        </w:rPr>
        <w:t>Haller</w:t>
      </w:r>
      <w:r>
        <w:rPr>
          <w:sz w:val="28"/>
        </w:rPr>
        <w:t xml:space="preserve"> (1992 г), анализируя различные системы дентиновых адгезивов и их механизмы сцепления, принципиально различают два подхода: при первом достигается сцепление композита с поверхностью дентина путём сохранения и включения смазочного слоя, а при втором – путём растворения смазочного слоя и поверхностной декальцинации дентина.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>Современные системы дентиновых адгезивов включают обязательную предварительную обработку поверхности дентина так называемыми дентиновыми кондиционерами или праймерами, способствующими проникновению гидрофильных мономеров в поверхностный слой дентина и их химическому сцеплению с гидрофобными мономерами композита.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В первом случае смазочный слой полностью сохраняется на поверхности дентина и пропитывается гидрофильными маловязкими мономерами. Смазочный слой при этом укрепляется и непосредственно используется как связующий слой между дентином и композитом. Дентиновое сцепление возникает за счёт сцепления смазочного слоя со структурными единицами дентина и за счёт мономеров, пропитывающих смазочный слой и соединяющихся с мономерами бонда или композита. По этому принципу действуют следующие дентиновые адгезивные системы: </w:t>
      </w:r>
      <w:r>
        <w:rPr>
          <w:sz w:val="28"/>
          <w:lang w:val="en-US"/>
        </w:rPr>
        <w:t xml:space="preserve">Prisma Universalbond (de Trey) </w:t>
      </w:r>
      <w:r>
        <w:rPr>
          <w:sz w:val="28"/>
        </w:rPr>
        <w:t xml:space="preserve">и </w:t>
      </w:r>
      <w:r>
        <w:rPr>
          <w:sz w:val="28"/>
          <w:lang w:val="en-US"/>
        </w:rPr>
        <w:t>XR Bonding (Kerr)</w:t>
      </w:r>
      <w:r>
        <w:rPr>
          <w:sz w:val="28"/>
        </w:rPr>
        <w:t>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Второй механизм сцепления предусматривает предварительную обработку дентина различными растворами, которые полностью или частично растворяют смазочный слой и также полностью или частично раскрывают дентиновые канальцы. При этом происходит деминерализация поверхностного слоя дентина, обнажение коллагеновых волокон органической матрицы и активации ионов и апатитов дентина. Последующая аппликация праймера обеспечивает проникновение гидрофильных мономеров в раскрытые дентиновые канальцы, пропитывание деминерализованного поверхностного слоя дентина и сцепление с его обнажёнными коллагеновыми волокнами. Такой механизм действия используется, например, в дентиновых адгезивах: </w:t>
      </w:r>
      <w:r>
        <w:rPr>
          <w:sz w:val="28"/>
          <w:lang w:val="en-US"/>
        </w:rPr>
        <w:t>Gluma (Bayer), Denthesive (Kulzer)</w:t>
      </w:r>
      <w:r>
        <w:rPr>
          <w:sz w:val="28"/>
        </w:rPr>
        <w:t xml:space="preserve"> и </w:t>
      </w:r>
      <w:r>
        <w:rPr>
          <w:sz w:val="28"/>
          <w:lang w:val="en-US"/>
        </w:rPr>
        <w:t>Scotchbond Multi Purpose (3 M)</w:t>
      </w:r>
      <w:r>
        <w:rPr>
          <w:sz w:val="28"/>
        </w:rPr>
        <w:t>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Второй механизм сцепления может быть достигнут также при обработке дентина, так называемыми, самокондиционирующими праймерами, в состав которых входит наряду с гидрофильными мономерами та или иная органическая кислота. Под воздействием этих праймеров частично растворяется смазочный слой дентина, и также частично раскрываются дентиновые канальцы. Поверхностный слой интертубулярного дентина  деминерализуется и одновременно пропитывается гидрофильными мономерами. Смазочный слой при этом не смывается, а распыляется, и его осадок выпадает на поверхность дентина. Сцепление композита с дентином достигается за счёт проникновения полимеров в дентинные канальцы и образования полимерных отростков и за счёт импрегнирования поверхностного слоя дентина мономерами, который называют гибридным и которому придают большее значение в механизме сцепления, чем полимерным отросткам. Данный механизм лежит в основе следующих адгезивных систем: </w:t>
      </w:r>
      <w:r>
        <w:rPr>
          <w:sz w:val="28"/>
          <w:lang w:val="en-US"/>
        </w:rPr>
        <w:t xml:space="preserve">A.R.T. – Bond (Coltene), Scotchbond (3 M) </w:t>
      </w:r>
      <w:r>
        <w:rPr>
          <w:sz w:val="28"/>
        </w:rPr>
        <w:t xml:space="preserve">и </w:t>
      </w:r>
      <w:r>
        <w:rPr>
          <w:sz w:val="28"/>
          <w:lang w:val="en-US"/>
        </w:rPr>
        <w:t>Syntac (Vivadent).</w:t>
      </w:r>
    </w:p>
    <w:p w:rsidR="00CD4342" w:rsidRDefault="00CD4342">
      <w:pPr>
        <w:jc w:val="both"/>
        <w:rPr>
          <w:i/>
          <w:sz w:val="28"/>
        </w:rPr>
      </w:pPr>
      <w:r>
        <w:rPr>
          <w:sz w:val="28"/>
        </w:rPr>
        <w:tab/>
      </w:r>
      <w:r>
        <w:rPr>
          <w:i/>
          <w:sz w:val="28"/>
        </w:rPr>
        <w:t xml:space="preserve">Механизм действия адгезивной системы </w:t>
      </w:r>
      <w:r>
        <w:rPr>
          <w:i/>
          <w:sz w:val="28"/>
          <w:lang w:val="en-US"/>
        </w:rPr>
        <w:t>Syntac.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Фирма </w:t>
      </w:r>
      <w:r>
        <w:rPr>
          <w:sz w:val="28"/>
          <w:lang w:val="en-US"/>
        </w:rPr>
        <w:t>Vivadent</w:t>
      </w:r>
      <w:r>
        <w:rPr>
          <w:sz w:val="28"/>
        </w:rPr>
        <w:t xml:space="preserve"> предлагает композиционные пломбировочные материалы </w:t>
      </w:r>
      <w:r>
        <w:rPr>
          <w:sz w:val="28"/>
          <w:lang w:val="en-US"/>
        </w:rPr>
        <w:t xml:space="preserve">Tetric, Heliomolar </w:t>
      </w:r>
      <w:r>
        <w:rPr>
          <w:sz w:val="28"/>
        </w:rPr>
        <w:t xml:space="preserve">и </w:t>
      </w:r>
      <w:r>
        <w:rPr>
          <w:sz w:val="28"/>
          <w:lang w:val="en-US"/>
        </w:rPr>
        <w:t>Helioprogress</w:t>
      </w:r>
      <w:r>
        <w:rPr>
          <w:sz w:val="28"/>
        </w:rPr>
        <w:t xml:space="preserve"> в сочетании с эмалево-дентиновой адгезиновой системой </w:t>
      </w:r>
      <w:r>
        <w:rPr>
          <w:sz w:val="28"/>
          <w:lang w:val="en-US"/>
        </w:rPr>
        <w:t>Syntac</w:t>
      </w:r>
      <w:r>
        <w:rPr>
          <w:sz w:val="28"/>
        </w:rPr>
        <w:t xml:space="preserve">. В состав системы </w:t>
      </w:r>
      <w:r>
        <w:rPr>
          <w:sz w:val="28"/>
          <w:lang w:val="en-US"/>
        </w:rPr>
        <w:t>Syntac входят праймер, адгезив и гелиобонд. Жидкость праймера (Syntac-Primer)</w:t>
      </w:r>
      <w:r>
        <w:rPr>
          <w:sz w:val="28"/>
        </w:rPr>
        <w:t xml:space="preserve"> состоит из следующих составных компонентов </w:t>
      </w:r>
      <w:r>
        <w:rPr>
          <w:sz w:val="28"/>
          <w:lang w:val="en-US"/>
        </w:rPr>
        <w:t>TEGDMA</w:t>
      </w:r>
      <w:r>
        <w:rPr>
          <w:sz w:val="28"/>
        </w:rPr>
        <w:t xml:space="preserve"> (тетраэтиленгликолдиметакрилат) 0,25 гр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>Малеиновая кислота                         0,04 гр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>Ацетон и вода в соотношениях        1:1.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>Жидкость адгезива (</w:t>
      </w:r>
      <w:r>
        <w:rPr>
          <w:sz w:val="28"/>
          <w:lang w:val="en-US"/>
        </w:rPr>
        <w:t>Syntac-Adhesive)</w:t>
      </w:r>
      <w:r>
        <w:rPr>
          <w:sz w:val="28"/>
        </w:rPr>
        <w:t xml:space="preserve"> содержит следующие компоненты: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>Полиэтиленгликолдиметакрилат     0,35 гр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>Глутаральдегид 50%                          0,10 гр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>Вода.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>В состав бонда входят следующие мономеры:</w:t>
      </w:r>
    </w:p>
    <w:p w:rsidR="00CD4342" w:rsidRDefault="00CD4342">
      <w:pPr>
        <w:jc w:val="both"/>
        <w:rPr>
          <w:sz w:val="28"/>
        </w:rPr>
      </w:pPr>
      <w:r>
        <w:rPr>
          <w:sz w:val="28"/>
          <w:lang w:val="en-US"/>
        </w:rPr>
        <w:t xml:space="preserve">Bis-GMA                                              0,60 </w:t>
      </w:r>
      <w:r>
        <w:rPr>
          <w:sz w:val="28"/>
        </w:rPr>
        <w:t>гр</w:t>
      </w:r>
    </w:p>
    <w:p w:rsidR="00CD4342" w:rsidRDefault="00CD4342">
      <w:pPr>
        <w:jc w:val="both"/>
        <w:rPr>
          <w:sz w:val="28"/>
        </w:rPr>
      </w:pPr>
      <w:r>
        <w:rPr>
          <w:sz w:val="28"/>
          <w:lang w:val="en-US"/>
        </w:rPr>
        <w:t>TEGDMA</w:t>
      </w:r>
      <w:r>
        <w:rPr>
          <w:sz w:val="28"/>
        </w:rPr>
        <w:t xml:space="preserve">                                             0,40 гр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При применении системы </w:t>
      </w:r>
      <w:r>
        <w:rPr>
          <w:sz w:val="28"/>
          <w:lang w:val="en-US"/>
        </w:rPr>
        <w:t>Syntac смазочный слой на поверхности дентина предварительно не удаляется, а используется для создания дентиново-композиционного моста. После инструментальной обработки дентина образуется смазочный слой, покрывающий интертубулярный дентин и закупоривающий устья дентиновых канальцев. Капля жидкости Syntac-Primer</w:t>
      </w:r>
      <w:r>
        <w:rPr>
          <w:sz w:val="28"/>
        </w:rPr>
        <w:t xml:space="preserve"> наносится одноразовой кисточкой на поверхность этого дентина и через 15 секунд распыляется. В результате такой обработки частично растворяется смазочный слой, частично раскрываются устья дентиновых канальцев и декальцинируется поверхностный интертубулярный дентин. Одновременно гидрофильные мономеры впитываются в дентиновые канальцы, в изменённый смазочный слой и в поверхностный слой дентина. Затем наносится кисточкой на поверхность дентина раствор </w:t>
      </w:r>
      <w:r>
        <w:rPr>
          <w:sz w:val="28"/>
          <w:lang w:val="en-US"/>
        </w:rPr>
        <w:t>Syntac-Adhesive</w:t>
      </w:r>
      <w:r>
        <w:rPr>
          <w:sz w:val="28"/>
        </w:rPr>
        <w:t xml:space="preserve"> и умеренно высушивается через 15 секунд. При этом мономеры адгезива проникают в дентиновые канальцы и в поверхностный интертубулярный дентин. Глутаральдегид, входящий в состав адгезива, обволакивает обнажённые коллагеновые волокна и формирует органическую матрицу путём фиксации протеинов. При этом наблюдается определённый бактериостатический эффект.</w:t>
      </w:r>
    </w:p>
    <w:p w:rsidR="00CD4342" w:rsidRDefault="00CD4342">
      <w:pPr>
        <w:jc w:val="both"/>
        <w:rPr>
          <w:sz w:val="28"/>
        </w:rPr>
      </w:pPr>
      <w:r>
        <w:rPr>
          <w:sz w:val="28"/>
        </w:rPr>
        <w:tab/>
        <w:t xml:space="preserve">После такой обработки на дентин и эмаль наносится капля жидкости </w:t>
      </w:r>
      <w:r>
        <w:rPr>
          <w:sz w:val="28"/>
          <w:lang w:val="en-US"/>
        </w:rPr>
        <w:t>Heliobond</w:t>
      </w:r>
      <w:r>
        <w:rPr>
          <w:sz w:val="28"/>
        </w:rPr>
        <w:t xml:space="preserve"> и равномерно распределяется воздухом. Гидрофобные мономеры бонда проникают в предварительно подготовленный дентин и соединяются с мономерами праймера и адгезива. Одновременно жидкость бонда проникает в предварительно протравленную поверхность эмали. После полимеризации бонда образуются полимерные отростки, заполняющие устья дентиновых канальцев, межпризменные пространства, и свободные призмы эмали, благодаря чему существенно увеличивается микромеханическое сцепление композита с дентином и эмалью.</w:t>
      </w:r>
    </w:p>
    <w:p w:rsidR="00CD4342" w:rsidRDefault="00CD4342">
      <w:pPr>
        <w:jc w:val="both"/>
        <w:rPr>
          <w:sz w:val="28"/>
          <w:lang w:val="en-US"/>
        </w:rPr>
      </w:pPr>
      <w:r>
        <w:rPr>
          <w:sz w:val="28"/>
        </w:rPr>
        <w:tab/>
        <w:t xml:space="preserve">Известно, что методика применения композитов многоступенчатая и весьма чувствительная к погрешностям во время клинического применения, в связи с чем предпочтительным оказываются методики, которые более просты и менее чувствительны в клинических условиях. Методика применения системы </w:t>
      </w:r>
      <w:r>
        <w:rPr>
          <w:sz w:val="28"/>
          <w:lang w:val="en-US"/>
        </w:rPr>
        <w:t xml:space="preserve">Syntac очень проста и требует меньше времени, чем многие другие. В связи с полимеризационной усадкой, достигающей наибольшей силы в первые минуты после полимеризации, больше ценятся те адгезивные системы, механизм сцепления которых вступает в силу сразу непосредственно после аппликации композита. </w:t>
      </w:r>
    </w:p>
    <w:p w:rsidR="00CD4342" w:rsidRDefault="00CD4342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В связи с содержанием кислот в составе почти всех дентиновых адгезивов, раскрывающих дентиновые канальцы, повышающих проницаемость дентина и допуксающих проницаемость дентина и допуксающих проникновение мономеров в канальцы, широко обсуждаются вопросы токсичности составных частей адгезивов на пульпу. Гистологические исследования пульпы зуба после контакта с различными дентиновыми адгезивами показали, что патологические изменения пульпы непосредственно связаны с бактериальным влиянием на неё из кариозной полости, нежели с токсичностью реставрационного материала. Немаловажным фактором при применении композитов является толщина слоя дентинного адгезива – толщина образовавшегося слоя. </w:t>
      </w: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jc w:val="center"/>
        <w:rPr>
          <w:sz w:val="28"/>
          <w:lang w:val="en-US"/>
        </w:rPr>
      </w:pPr>
      <w:r>
        <w:rPr>
          <w:i/>
          <w:sz w:val="28"/>
          <w:lang w:val="en-US"/>
        </w:rPr>
        <w:t>Состав и методика применения некоторых дентиновых адгезивов: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543"/>
        <w:gridCol w:w="2658"/>
      </w:tblGrid>
      <w:tr w:rsidR="00CD4342">
        <w:tc>
          <w:tcPr>
            <w:tcW w:w="2802" w:type="dxa"/>
          </w:tcPr>
          <w:p w:rsidR="00CD4342" w:rsidRDefault="00CD4342">
            <w:pPr>
              <w:pStyle w:val="1"/>
              <w:rPr>
                <w:sz w:val="24"/>
              </w:rPr>
            </w:pPr>
            <w:r>
              <w:rPr>
                <w:sz w:val="24"/>
              </w:rPr>
              <w:t>Дентиновый адгезив</w:t>
            </w:r>
          </w:p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(фирма)</w:t>
            </w:r>
          </w:p>
        </w:tc>
        <w:tc>
          <w:tcPr>
            <w:tcW w:w="3543" w:type="dxa"/>
            <w:vAlign w:val="center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Состав</w:t>
            </w:r>
          </w:p>
        </w:tc>
        <w:tc>
          <w:tcPr>
            <w:tcW w:w="2658" w:type="dxa"/>
            <w:vAlign w:val="center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Применение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</w:pPr>
            <w:r>
              <w:rPr>
                <w:b/>
                <w:lang w:val="en-US"/>
              </w:rPr>
              <w:t>A.R.T. Bond (Coltene)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>Primer A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Primer B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Bond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</w:pPr>
            <w:r>
              <w:rPr>
                <w:lang w:val="en-US"/>
              </w:rPr>
              <w:t>1</w:t>
            </w:r>
            <w:r>
              <w:t>,6% малеиновая кислота</w:t>
            </w:r>
          </w:p>
          <w:p w:rsidR="00CD4342" w:rsidRDefault="00CD4342">
            <w:pPr>
              <w:jc w:val="both"/>
            </w:pPr>
            <w:r>
              <w:t>99% НЕМА</w:t>
            </w:r>
          </w:p>
          <w:p w:rsidR="00CD4342" w:rsidRDefault="00CD4342">
            <w:pPr>
              <w:jc w:val="both"/>
            </w:pPr>
            <w:r>
              <w:t>0,3% полиметакрилолиго-малеиновая кислота</w:t>
            </w:r>
          </w:p>
          <w:p w:rsidR="00CD4342" w:rsidRDefault="00CD4342">
            <w:pPr>
              <w:jc w:val="both"/>
            </w:pPr>
            <w:r>
              <w:t>1% окись алюминия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t xml:space="preserve">49% </w:t>
            </w:r>
            <w:r>
              <w:rPr>
                <w:lang w:val="en-US"/>
              </w:rPr>
              <w:t>TEGDMA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44% Bis-GMA</w:t>
            </w:r>
          </w:p>
          <w:p w:rsidR="00CD4342" w:rsidRDefault="00CD4342">
            <w:pPr>
              <w:jc w:val="both"/>
            </w:pPr>
            <w:r>
              <w:t>7% полиметакрилолиго-малеиновая кислота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Соотношение 1:1, аппликация в течение 60-90 сек и высушивание в течение 20 сек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1.слой 20 сек и выдувание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2.слой: полимеризация 20 сек.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Denthesive (Kulzer)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       Cleaner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Denthesive A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Denthesive B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Adhesive Bond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</w:pPr>
            <w:r>
              <w:rPr>
                <w:lang w:val="en-US"/>
              </w:rPr>
              <w:t>5% EDTA</w:t>
            </w:r>
          </w:p>
          <w:p w:rsidR="00CD4342" w:rsidRDefault="00CD4342">
            <w:pPr>
              <w:jc w:val="both"/>
            </w:pPr>
            <w:r>
              <w:t>метакрилойлооксиэтил-фосфат моно-метакрилойлокси-этилл-эфир малеиновой кислоты</w:t>
            </w:r>
          </w:p>
          <w:p w:rsidR="00CD4342" w:rsidRDefault="00CD4342">
            <w:pPr>
              <w:jc w:val="both"/>
            </w:pPr>
            <w:r>
              <w:t>41% двуокись кремния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t xml:space="preserve">31% </w:t>
            </w:r>
            <w:r>
              <w:rPr>
                <w:lang w:val="en-US"/>
              </w:rPr>
              <w:t>UEDMA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27% TEGDMA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</w:pPr>
            <w:r>
              <w:t>40 сек пропитывается, промывается и высушивается, соотношение 1:1, 10 сек впитывается, 15 сек раздувается и полимеризуется 20 сек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Gluma (Bayer Dental)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 xml:space="preserve">       Cleanser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Primer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Sealer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</w:pPr>
            <w:r>
              <w:rPr>
                <w:lang w:val="en-US"/>
              </w:rPr>
              <w:t>0,5% M EDTA</w:t>
            </w:r>
          </w:p>
          <w:p w:rsidR="00CD4342" w:rsidRDefault="00CD4342">
            <w:pPr>
              <w:jc w:val="both"/>
            </w:pPr>
            <w:r>
              <w:t>35% НЕМА</w:t>
            </w:r>
          </w:p>
          <w:p w:rsidR="00CD4342" w:rsidRDefault="00CD4342">
            <w:pPr>
              <w:jc w:val="both"/>
            </w:pPr>
            <w:r>
              <w:t>5% глутаральдегид дериваты диметакрилата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 сек втирается, промывается, высушивается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 сек пропитывается, раздувать и 20 сек пол.   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Prisma Universalbond 3</w:t>
            </w:r>
          </w:p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(De Trey Dentsply)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>Dentin Primer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Adhesive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</w:pPr>
            <w:r>
              <w:rPr>
                <w:lang w:val="en-US"/>
              </w:rPr>
              <w:t xml:space="preserve">30% </w:t>
            </w:r>
            <w:r>
              <w:t>НЕМА</w:t>
            </w:r>
          </w:p>
          <w:p w:rsidR="00CD4342" w:rsidRDefault="00CD4342">
            <w:pPr>
              <w:jc w:val="both"/>
            </w:pPr>
            <w:r>
              <w:rPr>
                <w:lang w:val="en-US"/>
              </w:rPr>
              <w:t>6% РЕNTA</w:t>
            </w:r>
          </w:p>
          <w:p w:rsidR="00CD4342" w:rsidRDefault="00CD4342">
            <w:pPr>
              <w:jc w:val="both"/>
            </w:pPr>
            <w:r>
              <w:t>этанол</w:t>
            </w:r>
          </w:p>
          <w:p w:rsidR="00CD4342" w:rsidRDefault="00CD4342">
            <w:pPr>
              <w:jc w:val="both"/>
            </w:pPr>
            <w:r>
              <w:t>55% смола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t xml:space="preserve">39% </w:t>
            </w:r>
            <w:r>
              <w:rPr>
                <w:lang w:val="en-US"/>
              </w:rPr>
              <w:t>TEGDMA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5%PENTA</w:t>
            </w:r>
          </w:p>
          <w:p w:rsidR="00CD4342" w:rsidRDefault="00CD4342">
            <w:pPr>
              <w:jc w:val="both"/>
            </w:pPr>
            <w:r>
              <w:rPr>
                <w:lang w:val="en-US"/>
              </w:rPr>
              <w:t xml:space="preserve">0,7% </w:t>
            </w:r>
            <w:r>
              <w:t>глутаральдегид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 сек впитывается, 5-10 сек высушивается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 сек впитывается, раздувается. 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10 сек полимеризуется  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Scotchbond 2 (3 M)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>Scotchprep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Adhesive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58,5% НЕМА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2,5% малеиновая кислота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62,1% Bis-GMA</w:t>
            </w:r>
          </w:p>
          <w:p w:rsidR="00CD4342" w:rsidRDefault="00CD4342">
            <w:pPr>
              <w:jc w:val="both"/>
            </w:pPr>
            <w:r>
              <w:rPr>
                <w:lang w:val="en-US"/>
              </w:rPr>
              <w:t>37,2% HEMA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30 сек втирается и высушивается 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 сек впитывается и 20 сек полимеризуется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jc w:val="center"/>
              <w:rPr>
                <w:lang w:val="en-US"/>
              </w:rPr>
            </w:pPr>
            <w:r>
              <w:rPr>
                <w:b/>
                <w:lang w:val="en-US"/>
              </w:rPr>
              <w:t>Syntac (Vivadent)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>Primer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Adhesive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Heliobond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</w:pPr>
            <w:r>
              <w:rPr>
                <w:lang w:val="en-US"/>
              </w:rPr>
              <w:t>25% TEGDMA</w:t>
            </w:r>
          </w:p>
          <w:p w:rsidR="00CD4342" w:rsidRDefault="00CD4342">
            <w:pPr>
              <w:jc w:val="both"/>
            </w:pPr>
            <w:r>
              <w:t>4% малеиновая кислота</w:t>
            </w:r>
          </w:p>
          <w:p w:rsidR="00CD4342" w:rsidRDefault="00CD4342">
            <w:pPr>
              <w:jc w:val="both"/>
            </w:pPr>
            <w:r>
              <w:t>35% поли-</w:t>
            </w:r>
            <w:r>
              <w:rPr>
                <w:lang w:val="en-US"/>
              </w:rPr>
              <w:t>EGDMA</w:t>
            </w:r>
          </w:p>
          <w:p w:rsidR="00CD4342" w:rsidRDefault="00CD4342">
            <w:pPr>
              <w:jc w:val="both"/>
            </w:pPr>
            <w:r>
              <w:t>5% глутаральдегид</w:t>
            </w:r>
          </w:p>
          <w:p w:rsidR="00CD4342" w:rsidRDefault="00CD4342">
            <w:pPr>
              <w:jc w:val="both"/>
            </w:pPr>
            <w:r>
              <w:t xml:space="preserve">40% </w:t>
            </w:r>
            <w:r>
              <w:rPr>
                <w:lang w:val="en-US"/>
              </w:rPr>
              <w:t>TEGDMA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15 сек втирается и высушивается 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 сек впитывается и высушивается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 сек полимеризуется</w:t>
            </w:r>
          </w:p>
        </w:tc>
      </w:tr>
      <w:tr w:rsidR="00CD4342">
        <w:tc>
          <w:tcPr>
            <w:tcW w:w="2802" w:type="dxa"/>
          </w:tcPr>
          <w:p w:rsidR="00CD4342" w:rsidRDefault="00CD4342">
            <w:pPr>
              <w:pStyle w:val="3"/>
              <w:rPr>
                <w:sz w:val="24"/>
              </w:rPr>
            </w:pPr>
            <w:r>
              <w:rPr>
                <w:sz w:val="24"/>
              </w:rPr>
              <w:t>XR Bonding System (Kerr)</w:t>
            </w:r>
          </w:p>
          <w:p w:rsidR="00CD4342" w:rsidRDefault="00CD4342">
            <w:pPr>
              <w:pStyle w:val="2"/>
              <w:rPr>
                <w:sz w:val="24"/>
              </w:rPr>
            </w:pPr>
            <w:r>
              <w:rPr>
                <w:sz w:val="24"/>
              </w:rPr>
              <w:t>XR Primer</w:t>
            </w: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XR Bond</w:t>
            </w:r>
          </w:p>
        </w:tc>
        <w:tc>
          <w:tcPr>
            <w:tcW w:w="3543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3,75% диметакрилат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50% этанол и вода</w:t>
            </w:r>
          </w:p>
          <w:p w:rsidR="00CD4342" w:rsidRDefault="00CD4342">
            <w:pPr>
              <w:jc w:val="both"/>
            </w:pPr>
            <w:r>
              <w:rPr>
                <w:lang w:val="en-US"/>
              </w:rPr>
              <w:t>10% диметакрилат, UEDMA</w:t>
            </w:r>
          </w:p>
        </w:tc>
        <w:tc>
          <w:tcPr>
            <w:tcW w:w="2658" w:type="dxa"/>
          </w:tcPr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30 сек втирается и высушивается,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 сек полимеризуется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 сек впитывается и высушивается</w:t>
            </w:r>
          </w:p>
          <w:p w:rsidR="00CD4342" w:rsidRDefault="00CD434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20 сек полимеризуется</w:t>
            </w:r>
          </w:p>
        </w:tc>
      </w:tr>
    </w:tbl>
    <w:p w:rsidR="00CD4342" w:rsidRDefault="00CD4342">
      <w:pPr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  <w:lang w:val="en-US"/>
        </w:rPr>
      </w:pPr>
    </w:p>
    <w:p w:rsidR="00CD4342" w:rsidRDefault="00CD4342">
      <w:pPr>
        <w:ind w:firstLine="720"/>
        <w:jc w:val="both"/>
        <w:rPr>
          <w:sz w:val="28"/>
        </w:rPr>
      </w:pPr>
      <w:r>
        <w:rPr>
          <w:sz w:val="28"/>
          <w:lang w:val="en-US"/>
        </w:rPr>
        <w:t xml:space="preserve">    </w:t>
      </w:r>
      <w:r>
        <w:rPr>
          <w:sz w:val="28"/>
        </w:rPr>
        <w:t xml:space="preserve"> </w:t>
      </w:r>
      <w:bookmarkStart w:id="0" w:name="_GoBack"/>
      <w:bookmarkEnd w:id="0"/>
    </w:p>
    <w:sectPr w:rsidR="00CD4342">
      <w:pgSz w:w="11906" w:h="16838"/>
      <w:pgMar w:top="1418" w:right="1418" w:bottom="141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E66"/>
    <w:rsid w:val="00087E66"/>
    <w:rsid w:val="0034716E"/>
    <w:rsid w:val="00CD4342"/>
    <w:rsid w:val="00E9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BF34B-D153-43F4-8E53-9B7A3E3A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lang w:val="en-US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28"/>
    </w:rPr>
  </w:style>
  <w:style w:type="paragraph" w:styleId="20">
    <w:name w:val="Body Text 2"/>
    <w:basedOn w:val="a"/>
    <w:semiHidden/>
    <w:pPr>
      <w:jc w:val="both"/>
    </w:pPr>
    <w:rPr>
      <w:sz w:val="28"/>
    </w:rPr>
  </w:style>
  <w:style w:type="paragraph" w:styleId="3">
    <w:name w:val="Body Text 3"/>
    <w:basedOn w:val="a"/>
    <w:semiHidden/>
    <w:pPr>
      <w:jc w:val="center"/>
    </w:pPr>
    <w:rPr>
      <w:b/>
      <w:sz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ДЕНТИНОВЫХ АДГЕЗИВОВ ПРИ РЕСТАВРАЦИИ ЗУБОВ КОМПОЗИТАМИ</vt:lpstr>
    </vt:vector>
  </TitlesOfParts>
  <Company>None</Company>
  <LinksUpToDate>false</LinksUpToDate>
  <CharactersWithSpaces>14063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ДЕНТИНОВЫХ АДГЕЗИВОВ ПРИ РЕСТАВРАЦИИ ЗУБОВ КОМПОЗИТАМИ</dc:title>
  <dc:subject/>
  <dc:creator>Владимир</dc:creator>
  <cp:keywords/>
  <cp:lastModifiedBy>admin</cp:lastModifiedBy>
  <cp:revision>2</cp:revision>
  <dcterms:created xsi:type="dcterms:W3CDTF">2014-02-07T07:01:00Z</dcterms:created>
  <dcterms:modified xsi:type="dcterms:W3CDTF">2014-02-07T07:01:00Z</dcterms:modified>
</cp:coreProperties>
</file>