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7E8" w:rsidRPr="005617E8" w:rsidRDefault="005617E8" w:rsidP="005617E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617E8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Таможенная статистика внешней торговли России</w:t>
      </w:r>
      <w:r w:rsidRPr="005617E8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</w:p>
    <w:p w:rsidR="005617E8" w:rsidRPr="005617E8" w:rsidRDefault="005617E8" w:rsidP="005617E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617E8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  </w:t>
      </w:r>
    </w:p>
    <w:p w:rsidR="005617E8" w:rsidRPr="005617E8" w:rsidRDefault="005617E8" w:rsidP="005617E8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617E8">
        <w:rPr>
          <w:rFonts w:ascii="Arial" w:eastAsia="Times New Roman" w:hAnsi="Arial" w:cs="Arial"/>
          <w:b/>
          <w:sz w:val="16"/>
          <w:szCs w:val="20"/>
          <w:lang w:val="ru-RU" w:eastAsia="ru-RU"/>
        </w:rPr>
        <w:t>Таможенная статистика является одним из элементов таможенного дела в Российской Федерации и служит изу</w:t>
      </w:r>
      <w:r w:rsidRPr="005617E8">
        <w:rPr>
          <w:rFonts w:ascii="Arial" w:eastAsia="Times New Roman" w:hAnsi="Arial" w:cs="Arial"/>
          <w:b/>
          <w:sz w:val="16"/>
          <w:szCs w:val="20"/>
          <w:lang w:val="ru-RU" w:eastAsia="ru-RU"/>
        </w:rPr>
        <w:softHyphen/>
        <w:t>чению и анализу количественной стороны явлений и про</w:t>
      </w:r>
      <w:r w:rsidRPr="005617E8">
        <w:rPr>
          <w:rFonts w:ascii="Arial" w:eastAsia="Times New Roman" w:hAnsi="Arial" w:cs="Arial"/>
          <w:b/>
          <w:sz w:val="16"/>
          <w:szCs w:val="20"/>
          <w:lang w:val="ru-RU" w:eastAsia="ru-RU"/>
        </w:rPr>
        <w:softHyphen/>
        <w:t>цессов, происходящих во внешней торговле, а также в различных направлениях оперативной и обеспечивающей деятельности таможенных органов, связанных с учетом и анализом таможенных платежей, борьбой с контрабандой и нарушением таможенных правил, неторговым оборотом, валютным контролем и т. д. Она является составной час</w:t>
      </w:r>
      <w:r w:rsidRPr="005617E8">
        <w:rPr>
          <w:rFonts w:ascii="Arial" w:eastAsia="Times New Roman" w:hAnsi="Arial" w:cs="Arial"/>
          <w:b/>
          <w:sz w:val="16"/>
          <w:szCs w:val="20"/>
          <w:lang w:val="ru-RU" w:eastAsia="ru-RU"/>
        </w:rPr>
        <w:softHyphen/>
        <w:t>тью проводимой в стране статистики ее внешнеэкономи</w:t>
      </w:r>
      <w:r w:rsidRPr="005617E8">
        <w:rPr>
          <w:rFonts w:ascii="Arial" w:eastAsia="Times New Roman" w:hAnsi="Arial" w:cs="Arial"/>
          <w:b/>
          <w:sz w:val="16"/>
          <w:szCs w:val="20"/>
          <w:lang w:val="ru-RU" w:eastAsia="ru-RU"/>
        </w:rPr>
        <w:softHyphen/>
        <w:t>ческих связей.</w:t>
      </w:r>
    </w:p>
    <w:p w:rsidR="005617E8" w:rsidRPr="005617E8" w:rsidRDefault="005617E8" w:rsidP="005617E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t>Задача статистики внешнеэкономических связей зак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>лючается в предоставлении количественной информации о состоянии и развитии внешнеэкономической деятельно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>сти страны в неразрывной связи с ее качественной харак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>теристикой. Объектами ее учета являются товары и услу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>ги, составляющие экспорт и импорт страны, а также все связанные с ними операции. Статистика внешнеэкономи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>ческих связей включает таможенную статистику и стати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>стику услуг во внешнеэкономической деятельности.</w:t>
      </w:r>
    </w:p>
    <w:p w:rsidR="005617E8" w:rsidRPr="005617E8" w:rsidRDefault="005617E8" w:rsidP="005617E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t>В соответствии с п. 11 ст. 10 и ст.ст. 212—215 ТК РФ таможенная статистика подразделяется на таможенную статистику внешнеэкономических связей и специальную таможенную статистику.</w:t>
      </w:r>
    </w:p>
    <w:p w:rsidR="005617E8" w:rsidRPr="005617E8" w:rsidRDefault="005617E8" w:rsidP="005617E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t>Предметом наблюдения и изучения в таможенной ста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>тистике внешней торговли является внешнеторговый обо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>рот страны, то есть экспорт и импорт товаров в их коли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>чественном и стоимостном выражении, а также географи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>ческая направленность экспорта и импорта («товар-стра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>на», «страна-товар»).</w:t>
      </w:r>
    </w:p>
    <w:p w:rsidR="005617E8" w:rsidRPr="005617E8" w:rsidRDefault="005617E8" w:rsidP="005617E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t>Таможенные органы Российской Федерации ведут сбор и обработку сведений о перемещении товаров через тамо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>женную границу, а также представляют и публикуют дан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>ные таможенной статистики в целях обеспечения высших органов государственной власти, иных государственных органов, информацией о состоянии внешней торговли России, контроля за поступлением в федеральный бюд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>жет таможенных пошлин, налогов, валютного контроля; анализа состояния и развития внешней торговли России, ее торгового и платежного балансов и экономики в целом.</w:t>
      </w:r>
    </w:p>
    <w:p w:rsidR="005617E8" w:rsidRPr="005617E8" w:rsidRDefault="005617E8" w:rsidP="005617E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617E8">
        <w:rPr>
          <w:rFonts w:ascii="Arial" w:eastAsia="Times New Roman" w:hAnsi="Arial"/>
          <w:b/>
          <w:bCs/>
          <w:sz w:val="16"/>
          <w:szCs w:val="24"/>
          <w:lang w:val="ru-RU" w:eastAsia="ru-RU"/>
        </w:rPr>
        <w:t xml:space="preserve">Целями 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t>таможенной статистики являются:</w:t>
      </w:r>
    </w:p>
    <w:p w:rsidR="005617E8" w:rsidRPr="005617E8" w:rsidRDefault="005617E8" w:rsidP="005617E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t>• обеспечение высших органов государственной влас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>ти, иных государственных органов, информацией о состо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>янии внешней торговли Российской Федерации;</w:t>
      </w:r>
    </w:p>
    <w:p w:rsidR="005617E8" w:rsidRPr="005617E8" w:rsidRDefault="005617E8" w:rsidP="005617E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t>• контроль за поступлением в федеральный бюджет таможенных пошлин, налогов;</w:t>
      </w:r>
    </w:p>
    <w:p w:rsidR="005617E8" w:rsidRPr="005617E8" w:rsidRDefault="005617E8" w:rsidP="005617E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t>• анализ состояния и развития внешней торговли Рос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>сийской Федерации, ее торгового и платежного балансов и экономики в целом.</w:t>
      </w:r>
    </w:p>
    <w:p w:rsidR="005617E8" w:rsidRPr="005617E8" w:rsidRDefault="005617E8" w:rsidP="005617E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t>Непосредственными объектами наблюдения в таможен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>ной статистике внешней торговли являются экспортные и импортные товары, приведенные в Товарной номенкла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>туре внешнеэкономической деятельности, используемой в России при декларировании товаров в тот или иной тамо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>женный режим. Таможенной статистикой охвачены две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>надцать из пятнадцати предусмотренных ТК РФ таможен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>ных режимов.</w:t>
      </w:r>
    </w:p>
    <w:p w:rsidR="005617E8" w:rsidRPr="005617E8" w:rsidRDefault="005617E8" w:rsidP="005617E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t>Кроме того, в таможенной статистике внешней торгов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 xml:space="preserve">ли ведется </w:t>
      </w:r>
      <w:r w:rsidRPr="005617E8">
        <w:rPr>
          <w:rFonts w:ascii="Arial" w:eastAsia="Times New Roman" w:hAnsi="Arial"/>
          <w:b/>
          <w:bCs/>
          <w:sz w:val="16"/>
          <w:szCs w:val="24"/>
          <w:lang w:val="ru-RU" w:eastAsia="ru-RU"/>
        </w:rPr>
        <w:t>учет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t>:</w:t>
      </w:r>
    </w:p>
    <w:p w:rsidR="005617E8" w:rsidRPr="005617E8" w:rsidRDefault="005617E8" w:rsidP="005617E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t>• вывоза и ввоза немонетарного золота, серебра и дру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>гих драгоценных металлов, которые не выступают в каче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>стве платежного средства;</w:t>
      </w:r>
    </w:p>
    <w:p w:rsidR="005617E8" w:rsidRPr="005617E8" w:rsidRDefault="005617E8" w:rsidP="005617E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t>• вывоза и ввоза ценных бумаг, банкнот и монет, не находящихся в обращении;</w:t>
      </w:r>
    </w:p>
    <w:p w:rsidR="005617E8" w:rsidRPr="005617E8" w:rsidRDefault="005617E8" w:rsidP="005617E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t>• товаров, предоставляемых в счет взносов в фонд технической помощи ООН, а также в качестве даров и безвозмездной помощи;</w:t>
      </w:r>
    </w:p>
    <w:p w:rsidR="005617E8" w:rsidRPr="005617E8" w:rsidRDefault="005617E8" w:rsidP="005617E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t>• бункерного топлива, продовольствия и материалов, проданных для иностранных и купленных у других стран для отечественных судов, самолетов и грузовых автомо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>билей;</w:t>
      </w:r>
    </w:p>
    <w:p w:rsidR="005617E8" w:rsidRPr="005617E8" w:rsidRDefault="005617E8" w:rsidP="005617E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t>• товаров, арендуемых сроком на один год и более по полной стоимости арендуемого товара на момент ввоза (вывоза).</w:t>
      </w:r>
    </w:p>
    <w:p w:rsidR="005617E8" w:rsidRPr="005617E8" w:rsidRDefault="005617E8" w:rsidP="005617E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t>Государственный таможенный комитет России опреде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>ляет объекты статистического наблюдения и учета, поря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>док такого учета, методы учета стран — торговых партне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>ров по импорту и по экспорту, а также порог статистичес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>кого наблюдения и перечень обязательных показателей таможенной статистики внешней торговли.</w:t>
      </w:r>
    </w:p>
    <w:p w:rsidR="005617E8" w:rsidRPr="005617E8" w:rsidRDefault="005617E8" w:rsidP="005617E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617E8">
        <w:rPr>
          <w:rFonts w:ascii="Arial" w:eastAsia="Times New Roman" w:hAnsi="Arial"/>
          <w:b/>
          <w:bCs/>
          <w:sz w:val="16"/>
          <w:szCs w:val="24"/>
          <w:lang w:val="ru-RU" w:eastAsia="ru-RU"/>
        </w:rPr>
        <w:t>Количественный учет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t xml:space="preserve"> наиболее полно отражает объе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>мы международного товарооборота. В таможенной стати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>стике внешней торговли количественный учет товаров ведется по весу нетто (чистый вес товара без внутренней и внешней тары). Кроме данных о количестве экспортных и импортных товаров, таможенная статистика внешней тор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>говли включает их стоимостную оценку.</w:t>
      </w:r>
    </w:p>
    <w:p w:rsidR="005617E8" w:rsidRPr="005617E8" w:rsidRDefault="005617E8" w:rsidP="005617E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617E8">
        <w:rPr>
          <w:rFonts w:ascii="Arial" w:eastAsia="Times New Roman" w:hAnsi="Arial"/>
          <w:b/>
          <w:bCs/>
          <w:sz w:val="16"/>
          <w:szCs w:val="24"/>
          <w:lang w:val="ru-RU" w:eastAsia="ru-RU"/>
        </w:rPr>
        <w:t>Cтатистическое наблюдение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t xml:space="preserve"> за ввозом и вывозом това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>ров с территории Российской Федерации производится на основе данных грузовой таможенной декларации. Уни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>кальность ГТД в этом плане заключается в том, что при ее заполнении используются цифровые коды классифи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>каторов, позволяющие автоматизировать сбор данных.</w:t>
      </w:r>
    </w:p>
    <w:p w:rsidR="005617E8" w:rsidRPr="005617E8" w:rsidRDefault="005617E8" w:rsidP="005617E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617E8">
        <w:rPr>
          <w:rFonts w:ascii="Arial" w:eastAsia="Times New Roman" w:hAnsi="Arial"/>
          <w:b/>
          <w:bCs/>
          <w:sz w:val="16"/>
          <w:szCs w:val="24"/>
          <w:lang w:val="ru-RU" w:eastAsia="ru-RU"/>
        </w:rPr>
        <w:t xml:space="preserve">Учет географического распределения 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t>экспорта и импор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>та товаров производится по странам в соответствии с при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>знаками происхождения и потребления товаров:</w:t>
      </w:r>
    </w:p>
    <w:p w:rsidR="005617E8" w:rsidRPr="005617E8" w:rsidRDefault="005617E8" w:rsidP="005617E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t>• экспорт отражается по стране назначения (потреб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>ления) товара;</w:t>
      </w:r>
    </w:p>
    <w:p w:rsidR="005617E8" w:rsidRPr="005617E8" w:rsidRDefault="005617E8" w:rsidP="005617E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t>• импорт отражается по стране происхождения (про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>изводства) товара.</w:t>
      </w:r>
    </w:p>
    <w:p w:rsidR="005617E8" w:rsidRPr="005617E8" w:rsidRDefault="005617E8" w:rsidP="005617E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t>Если же в момент поставки страна назначения или про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>исхождения товара неизвестна, то экспорт отражается по стране продажи, а импорт — по стране покупки товара. Таковыми странами следует считать: страна продажи (по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>купки) — это страна, на территории которой находится фирма или организация, продавшая или купившая то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>вар, независимо от ее национальной принадлежности.</w:t>
      </w:r>
    </w:p>
    <w:p w:rsidR="005617E8" w:rsidRPr="005617E8" w:rsidRDefault="005617E8" w:rsidP="005617E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t>Русская таможенная статистика внешней торговли имеет довольно продолжительный путь своего историчес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>кого развития. Дату ее зарождения доподлинно устано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softHyphen/>
        <w:t xml:space="preserve">вить очень трудно, но с уверенностью можно сказать, что таможенные книги 1693—1694 годов уже дают довольно развернутую картину внешней и внутренней торговли в России конца </w:t>
      </w:r>
      <w:r w:rsidRPr="005617E8">
        <w:rPr>
          <w:rFonts w:ascii="Arial" w:eastAsia="Times New Roman" w:hAnsi="Arial"/>
          <w:b/>
          <w:sz w:val="16"/>
          <w:szCs w:val="24"/>
          <w:lang w:val="en-US" w:eastAsia="ru-RU"/>
        </w:rPr>
        <w:t>XVTI</w:t>
      </w:r>
      <w:r w:rsidRPr="005617E8">
        <w:rPr>
          <w:rFonts w:ascii="Arial" w:eastAsia="Times New Roman" w:hAnsi="Arial"/>
          <w:b/>
          <w:sz w:val="16"/>
          <w:szCs w:val="24"/>
          <w:lang w:val="ru-RU" w:eastAsia="ru-RU"/>
        </w:rPr>
        <w:t xml:space="preserve"> в.</w:t>
      </w:r>
    </w:p>
    <w:p w:rsidR="00952B97" w:rsidRDefault="00952B97">
      <w:bookmarkStart w:id="0" w:name="_GoBack"/>
      <w:bookmarkEnd w:id="0"/>
    </w:p>
    <w:sectPr w:rsidR="00952B97" w:rsidSect="00952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17E8"/>
    <w:rsid w:val="005617E8"/>
    <w:rsid w:val="008858E5"/>
    <w:rsid w:val="00952B97"/>
    <w:rsid w:val="00A44AE3"/>
    <w:rsid w:val="00B37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8BD60C-3BAB-4D13-8B98-669D6C1FF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B97"/>
    <w:pPr>
      <w:spacing w:after="200" w:line="276" w:lineRule="auto"/>
    </w:pPr>
    <w:rPr>
      <w:sz w:val="22"/>
      <w:szCs w:val="22"/>
      <w:lang w:val="kk-KZ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17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4">
    <w:name w:val="Strong"/>
    <w:uiPriority w:val="22"/>
    <w:qFormat/>
    <w:rsid w:val="005617E8"/>
    <w:rPr>
      <w:b/>
      <w:bCs/>
    </w:rPr>
  </w:style>
  <w:style w:type="paragraph" w:styleId="2">
    <w:name w:val="Body Text Indent 2"/>
    <w:basedOn w:val="a"/>
    <w:link w:val="20"/>
    <w:uiPriority w:val="99"/>
    <w:semiHidden/>
    <w:unhideWhenUsed/>
    <w:rsid w:val="005617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0">
    <w:name w:val="Основной текст с отступом 2 Знак"/>
    <w:link w:val="2"/>
    <w:uiPriority w:val="99"/>
    <w:semiHidden/>
    <w:rsid w:val="005617E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813</Words>
  <Characters>4639</Characters>
  <Application>Microsoft Office Word</Application>
  <DocSecurity>0</DocSecurity>
  <Lines>38</Lines>
  <Paragraphs>10</Paragraphs>
  <ScaleCrop>false</ScaleCrop>
  <Company>Microsoft</Company>
  <LinksUpToDate>false</LinksUpToDate>
  <CharactersWithSpaces>5442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2014-06-22T13:42:00Z</dcterms:created>
  <dcterms:modified xsi:type="dcterms:W3CDTF">2014-06-22T13:42:00Z</dcterms:modified>
</cp:coreProperties>
</file>