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A2" w:rsidRDefault="00CB58A2" w:rsidP="00B778DB">
      <w:pPr>
        <w:jc w:val="center"/>
        <w:rPr>
          <w:noProof/>
          <w:lang w:eastAsia="ru-RU"/>
        </w:rPr>
      </w:pPr>
    </w:p>
    <w:p w:rsidR="004C597A" w:rsidRDefault="004A4146" w:rsidP="00B778DB">
      <w:pPr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АО &quot;ЛУКОЙЛ&quot;" style="width:123.75pt;height:32.25pt;visibility:visible">
            <v:imagedata r:id="rId5" o:title=""/>
          </v:shape>
        </w:pict>
      </w:r>
    </w:p>
    <w:p w:rsidR="004C597A" w:rsidRPr="00033DB9" w:rsidRDefault="004C597A" w:rsidP="00033DB9">
      <w:pPr>
        <w:rPr>
          <w:rFonts w:ascii="Times New Roman" w:hAnsi="Times New Roman"/>
          <w:sz w:val="28"/>
          <w:szCs w:val="28"/>
          <w:u w:val="single"/>
        </w:rPr>
      </w:pPr>
      <w:r w:rsidRPr="00033DB9"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u w:val="single"/>
        </w:rPr>
        <w:t>Общая информация о Компании</w:t>
      </w:r>
    </w:p>
    <w:p w:rsidR="004C597A" w:rsidRPr="00B778DB" w:rsidRDefault="004C597A" w:rsidP="00B778DB">
      <w:pPr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B778DB">
        <w:rPr>
          <w:rStyle w:val="apple-style-span"/>
          <w:rFonts w:ascii="Times New Roman" w:hAnsi="Times New Roman"/>
          <w:color w:val="000000"/>
          <w:sz w:val="24"/>
          <w:szCs w:val="24"/>
        </w:rPr>
        <w:t>ЛУКОЙЛ – одна из крупнейших международных вертикально интегрированных нефтегазовых компаний. Основными видами деятельности Компании являются разведка и добыча нефти и газа, производство нефтепродуктов и нефтехимической продукции, а также сбыт произведенной продукции. Основная часть деятельности Компании в секторе разведки и добычи осуществляется на территории Российской Федерации, основной ресурсной базой является Западная Сибирь. ЛУКОЙЛ владеет современными нефтеперерабатывающими, газоперерабатывающими и нефтехимическими заводами, расположенными в России, Восточной и Западной Европе, а также странах ближнего зарубежья. Продукция Компании реализуется в России, Восточной и Западной Европе, странах ближнего зарубежья и США.</w:t>
      </w:r>
    </w:p>
    <w:p w:rsidR="004C597A" w:rsidRPr="00B778DB" w:rsidRDefault="004C597A" w:rsidP="00B778DB">
      <w:pPr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B778DB">
        <w:rPr>
          <w:rStyle w:val="apple-style-span"/>
          <w:rFonts w:ascii="Times New Roman" w:hAnsi="Times New Roman"/>
          <w:color w:val="000000"/>
          <w:sz w:val="24"/>
          <w:szCs w:val="24"/>
        </w:rPr>
        <w:t>УКОЙЛ является второй крупнейшей частной нефтегазовой компанией в мире по размеру доказанных запасов углеводородов. Доля Компании в общемировых запасах нефти составляет около 1%, в общемировой добыче нефти - около 2,4%. Компания играет ключевую роль в энергетическом секторе России, на ее долю приходится 18,6% общероссийской добычи и 18,9% общероссийской переработки нефти.</w:t>
      </w:r>
    </w:p>
    <w:p w:rsidR="004C597A" w:rsidRPr="00B778DB" w:rsidRDefault="004C597A" w:rsidP="00B778DB">
      <w:pPr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B778DB">
        <w:rPr>
          <w:rStyle w:val="apple-style-span"/>
          <w:rFonts w:ascii="Times New Roman" w:hAnsi="Times New Roman"/>
          <w:color w:val="000000"/>
          <w:sz w:val="24"/>
          <w:szCs w:val="24"/>
        </w:rPr>
        <w:t>По состоянию на начало 2010 года доказанные запасы нефти Компании составляли 13 696 млн барр., доказанные запасы газа – 22 850 млрд фут</w:t>
      </w:r>
      <w:r w:rsidRPr="00B778DB">
        <w:rPr>
          <w:rStyle w:val="apple-style-span"/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B778DB">
        <w:rPr>
          <w:rStyle w:val="apple-style-span"/>
          <w:rFonts w:ascii="Times New Roman" w:hAnsi="Times New Roman"/>
          <w:color w:val="000000"/>
          <w:sz w:val="24"/>
          <w:szCs w:val="24"/>
        </w:rPr>
        <w:t>, что в совокупности составляет 17 504 млн барр. н.э.</w:t>
      </w:r>
    </w:p>
    <w:p w:rsidR="004C597A" w:rsidRPr="00B778DB" w:rsidRDefault="004C597A" w:rsidP="00B778DB">
      <w:pPr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B778DB">
        <w:rPr>
          <w:rStyle w:val="apple-style-span"/>
          <w:rFonts w:ascii="Times New Roman" w:hAnsi="Times New Roman"/>
          <w:color w:val="000000"/>
          <w:sz w:val="24"/>
          <w:szCs w:val="24"/>
        </w:rPr>
        <w:t>Основным регионом нефтедобычи Компании является Западная Сибирь. ЛУКОЙЛ также реализует проекты по разведке и добыче нефти и газа за пределами России: в Казахстане, Египте, Азербайджане, Узбекистане, Саудовской Аравии, Колумбии, Венесуэле, Кот-д’Ивуаре, Гане, Ираке.</w:t>
      </w:r>
    </w:p>
    <w:p w:rsidR="004C597A" w:rsidRPr="00B778DB" w:rsidRDefault="004C597A" w:rsidP="00B778DB">
      <w:pPr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B778DB">
        <w:rPr>
          <w:rStyle w:val="apple-style-span"/>
          <w:rFonts w:ascii="Times New Roman" w:hAnsi="Times New Roman"/>
          <w:color w:val="000000"/>
          <w:sz w:val="24"/>
          <w:szCs w:val="24"/>
        </w:rPr>
        <w:t>В 2008 году в рамках реализации Программы стратегического развития на 2008–2017 годы в ОАО «ЛУКОЙЛ» был создан новый бизнес-сектор – «Электроэнергетика». В него, помимо приобретенного в 2008 году ОАО «ЮГК ТГК-8» и собственных электростанций на месторождениях в России, входят также предприятия, генерирующие электро- и теплоэнергию в Болгарии, Румынии и Украине. Общая выработка электрической энергии организациями сектора в 2009 году составила около 14,7 млрд кВт/ч, выработка тепловой энергии – 16,9 млн Гкал. В долгосрочной перспективе бизнес-сектор «Электроэнергетика» станет важным фактором роста денежных потоков и акционерной стоимости Компании.</w:t>
      </w:r>
    </w:p>
    <w:p w:rsidR="004C597A" w:rsidRDefault="004C597A" w:rsidP="00B778DB">
      <w:pPr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B778DB">
        <w:rPr>
          <w:rStyle w:val="apple-style-span"/>
          <w:rFonts w:ascii="Times New Roman" w:hAnsi="Times New Roman"/>
          <w:color w:val="000000"/>
          <w:sz w:val="24"/>
          <w:szCs w:val="24"/>
        </w:rPr>
        <w:t>По состоянию на начало 2010 года сбытовая сеть Компании охватывала 26 стран мира, включая Россию, страны ближнего зарубежья и государства Европы (Азербайджан, Беларусь, Грузия, Молдова, Украина, Болгария, Венгрия, Финляндия, Эстония, Латвия, Литва, Польша, Сербия, Черногория, Румыния, Македония, Кипр, Турция, Бельгия, Люксембург, Чехия, Словакия, Хорватия, Босния и Герцеговина), а также США, и насчитывала 199 объектов нефтебазового хозяйства с общей резервуарной емкостью 3,13 млн м</w:t>
      </w:r>
      <w:r w:rsidRPr="00B778DB">
        <w:rPr>
          <w:rStyle w:val="apple-style-span"/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B778DB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B778DB">
        <w:rPr>
          <w:rStyle w:val="apple-style-span"/>
          <w:rFonts w:ascii="Times New Roman" w:hAnsi="Times New Roman"/>
          <w:color w:val="000000"/>
          <w:sz w:val="24"/>
          <w:szCs w:val="24"/>
        </w:rPr>
        <w:t>и 6 620 автозаправочных станций (включая франчайзинговые)</w:t>
      </w:r>
    </w:p>
    <w:p w:rsidR="004C597A" w:rsidRDefault="004C597A" w:rsidP="00B778DB">
      <w:pPr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033DB9"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u w:val="single"/>
        </w:rPr>
        <w:t>Миссия</w:t>
      </w:r>
      <w:r w:rsidRPr="00033DB9">
        <w:rPr>
          <w:rFonts w:ascii="Times New Roman" w:hAnsi="Times New Roman"/>
          <w:color w:val="000000"/>
          <w:sz w:val="28"/>
          <w:szCs w:val="28"/>
          <w:u w:val="single"/>
        </w:rPr>
        <w:br/>
      </w:r>
      <w:r w:rsidRPr="00033DB9">
        <w:rPr>
          <w:rFonts w:ascii="Times New Roman" w:hAnsi="Times New Roman"/>
          <w:color w:val="000000"/>
          <w:sz w:val="28"/>
          <w:szCs w:val="28"/>
        </w:rPr>
        <w:br/>
      </w:r>
      <w:r w:rsidRPr="00033DB9">
        <w:rPr>
          <w:rStyle w:val="apple-style-span"/>
          <w:rFonts w:ascii="Times New Roman" w:hAnsi="Times New Roman"/>
          <w:color w:val="000000"/>
          <w:sz w:val="24"/>
          <w:szCs w:val="24"/>
        </w:rPr>
        <w:t>Мы созданы, чтобы энергию природных ресурсов обратить во благо человека</w:t>
      </w:r>
      <w:r>
        <w:rPr>
          <w:rStyle w:val="apple-style-span"/>
          <w:rFonts w:ascii="Times New Roman" w:hAnsi="Times New Roman"/>
          <w:color w:val="000000"/>
          <w:sz w:val="24"/>
          <w:szCs w:val="24"/>
        </w:rPr>
        <w:t>.</w:t>
      </w:r>
    </w:p>
    <w:p w:rsidR="004C597A" w:rsidRDefault="004C597A" w:rsidP="00B778DB">
      <w:pPr>
        <w:rPr>
          <w:rFonts w:ascii="Times New Roman" w:hAnsi="Times New Roman"/>
          <w:color w:val="000000"/>
          <w:sz w:val="24"/>
          <w:szCs w:val="24"/>
        </w:rPr>
      </w:pPr>
      <w:r w:rsidRPr="00033DB9">
        <w:rPr>
          <w:rStyle w:val="apple-style-span"/>
          <w:rFonts w:ascii="Times New Roman" w:hAnsi="Times New Roman"/>
          <w:color w:val="000000"/>
          <w:sz w:val="24"/>
          <w:szCs w:val="24"/>
        </w:rPr>
        <w:t>Способствовать в регионах деятельности Компании долгосрочному экономическому росту, социальной стабильности, содействовать процветанию и прогрессу, обеспечивать сохранение благоприятной окружающей среды и рациональное использование природных ресурсо</w:t>
      </w:r>
      <w:r>
        <w:rPr>
          <w:rStyle w:val="apple-style-span"/>
          <w:rFonts w:ascii="Times New Roman" w:hAnsi="Times New Roman"/>
          <w:color w:val="000000"/>
          <w:sz w:val="24"/>
          <w:szCs w:val="24"/>
        </w:rPr>
        <w:t>в.</w:t>
      </w:r>
    </w:p>
    <w:p w:rsidR="004C597A" w:rsidRPr="00033DB9" w:rsidRDefault="004C597A" w:rsidP="00B778DB">
      <w:pPr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033DB9">
        <w:rPr>
          <w:rStyle w:val="apple-style-span"/>
          <w:rFonts w:ascii="Times New Roman" w:hAnsi="Times New Roman"/>
          <w:color w:val="000000"/>
          <w:sz w:val="24"/>
          <w:szCs w:val="24"/>
        </w:rPr>
        <w:t>Обеспечить стабильный и долгосрочный рост бизнеса, трансформировать ЛУКОЙЛ в лидирующую мировую энергетическую компанию. Быть надежным поставщиком углеводородных ресурсов на глобальном рынке энергопотребления</w:t>
      </w:r>
    </w:p>
    <w:p w:rsidR="004C597A" w:rsidRPr="00033DB9" w:rsidRDefault="004C597A" w:rsidP="00B778DB">
      <w:pPr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033DB9"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u w:val="single"/>
        </w:rPr>
        <w:t>Наши цели</w:t>
      </w:r>
    </w:p>
    <w:p w:rsidR="004C597A" w:rsidRPr="00033DB9" w:rsidRDefault="004C597A" w:rsidP="00033DB9">
      <w:pPr>
        <w:spacing w:after="0" w:line="240" w:lineRule="auto"/>
        <w:ind w:left="284" w:righ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3DB9">
        <w:rPr>
          <w:rFonts w:ascii="Times New Roman" w:hAnsi="Times New Roman"/>
          <w:color w:val="000000"/>
          <w:sz w:val="24"/>
          <w:szCs w:val="24"/>
          <w:lang w:eastAsia="ru-RU"/>
        </w:rPr>
        <w:t>ЛУКОЙЛ считает своей целью создание новой стоимости, поддержание высокой прибыльности и стабильности своего бизнеса, обеспечение акционеров высоким доходом на инвестированный капитал путем повышения стоимости активов Компании и выплаты денежных дивидендов</w:t>
      </w:r>
    </w:p>
    <w:p w:rsidR="004C597A" w:rsidRPr="00033DB9" w:rsidRDefault="004C597A" w:rsidP="00033DB9">
      <w:pPr>
        <w:spacing w:after="0" w:line="240" w:lineRule="auto"/>
        <w:ind w:left="284" w:righ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3DB9">
        <w:rPr>
          <w:rFonts w:ascii="Times New Roman" w:hAnsi="Times New Roman"/>
          <w:color w:val="000000"/>
          <w:sz w:val="24"/>
          <w:szCs w:val="24"/>
          <w:lang w:eastAsia="ru-RU"/>
        </w:rPr>
        <w:t>Для достижения этих целей ЛУКОЙЛ будет использовать все доступные возможности, включая дальнейшие усилия по сокращению затрат, росту эффективности своих операций, улучшению качества производимой продукции и</w:t>
      </w:r>
    </w:p>
    <w:p w:rsidR="004C597A" w:rsidRPr="00033DB9" w:rsidRDefault="004C597A" w:rsidP="00033DB9">
      <w:pPr>
        <w:spacing w:after="0" w:line="240" w:lineRule="auto"/>
        <w:ind w:left="284" w:right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3DB9">
        <w:rPr>
          <w:rFonts w:ascii="Times New Roman" w:hAnsi="Times New Roman"/>
          <w:color w:val="000000"/>
          <w:sz w:val="24"/>
          <w:szCs w:val="24"/>
          <w:lang w:eastAsia="ru-RU"/>
        </w:rPr>
        <w:t>предоставляемых услуг, применению новых прогрессивных технологий</w:t>
      </w:r>
    </w:p>
    <w:p w:rsidR="004C597A" w:rsidRDefault="004C597A" w:rsidP="00B778DB">
      <w:pPr>
        <w:rPr>
          <w:rFonts w:ascii="Times New Roman" w:hAnsi="Times New Roman"/>
          <w:sz w:val="24"/>
          <w:szCs w:val="24"/>
        </w:rPr>
      </w:pPr>
    </w:p>
    <w:p w:rsidR="004C597A" w:rsidRDefault="004C597A" w:rsidP="00B778DB">
      <w:pPr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0A4F7D"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u w:val="single"/>
        </w:rPr>
        <w:t>Пенсионное обеспечение сотрудников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color w:val="000000"/>
          <w:sz w:val="24"/>
          <w:szCs w:val="24"/>
          <w:lang w:eastAsia="ru-RU"/>
        </w:rPr>
        <w:t>Корпоративная система негосударственного пенсионного обеспечения образована в 1994 году и является важной составляющей социальной политики Компании.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color w:val="000000"/>
          <w:sz w:val="24"/>
          <w:szCs w:val="24"/>
          <w:lang w:eastAsia="ru-RU"/>
        </w:rPr>
        <w:br/>
        <w:t>Первые назначения негосударственных пенсий в Компании состоялись в 1997 году.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color w:val="000000"/>
          <w:sz w:val="24"/>
          <w:szCs w:val="24"/>
          <w:lang w:eastAsia="ru-RU"/>
        </w:rPr>
        <w:br/>
        <w:t>По результатам конкурса «Российская организация высокой социальной эффективности» в 2001 году корпоративная система негосударственного пенсионного обеспечения была признана Правительством Российской Федерации лучшей в России .</w:t>
      </w:r>
    </w:p>
    <w:p w:rsidR="004C597A" w:rsidRPr="000A4F7D" w:rsidRDefault="004C597A" w:rsidP="000A4F7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color w:val="000000"/>
          <w:sz w:val="24"/>
          <w:szCs w:val="24"/>
          <w:lang w:eastAsia="ru-RU"/>
        </w:rPr>
        <w:t>Финансирование негосударственных пенсий до 2003 года осуществлялось исключительно работодателем.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color w:val="000000"/>
          <w:sz w:val="24"/>
          <w:szCs w:val="24"/>
          <w:lang w:eastAsia="ru-RU"/>
        </w:rPr>
        <w:br/>
        <w:t>В 2004 году корпоративная пенсионная система была переведена на принципы долевого участия работника и работодателя в формировании негосударственных пенсий:.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sz w:val="24"/>
          <w:szCs w:val="24"/>
          <w:lang w:eastAsia="ru-RU"/>
        </w:rPr>
        <w:t>·          Компания формирует работнику пенсионный капитал эквивалентный средствам, вложенным самим работником;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sz w:val="24"/>
          <w:szCs w:val="24"/>
          <w:lang w:eastAsia="ru-RU"/>
        </w:rPr>
        <w:t>·          размер взноса работника не ограничивается;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sz w:val="24"/>
          <w:szCs w:val="24"/>
          <w:lang w:eastAsia="ru-RU"/>
        </w:rPr>
        <w:t>·          долевой вклад работодателя покрывает сумму взносов работника в пределах определенного Правлением Компании процента от его заработной платы (с 01.01.2004 по 28.02.2009 – 7%, с 01.03.2009 – 2%, с 01.10.2010 – 4%);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sz w:val="24"/>
          <w:szCs w:val="24"/>
          <w:lang w:eastAsia="ru-RU"/>
        </w:rPr>
        <w:t>·          пенсионный капитал формируется работнику при достижении им пенсионного возраста или, в случае наличия стажа работы в организациях Группы «ЛУКОЙЛ» более пяти лет, за определенный Правлением Компании период до достижения работником пенсионного возраста (с 01.03.2009 – за 1 год);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sz w:val="24"/>
          <w:szCs w:val="24"/>
          <w:lang w:eastAsia="ru-RU"/>
        </w:rPr>
        <w:t>·          негосударственная пенсия выплачивается после увольнения работника в связи с выходом на пенсию.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sz w:val="24"/>
          <w:szCs w:val="24"/>
          <w:lang w:eastAsia="ru-RU"/>
        </w:rPr>
        <w:br/>
        <w:t>Вложенные работником на формирование своей будущей негосударственной пенсии средства увеличиваются на этапе накопления за счет инвестиционного дохода и являются собственностью работника.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sz w:val="24"/>
          <w:szCs w:val="24"/>
          <w:lang w:eastAsia="ru-RU"/>
        </w:rPr>
        <w:br/>
        <w:t>С 2008 года учет взносов работодателя в корпоративной пенсионной системе осуществляется на именных счетах работников.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sz w:val="24"/>
          <w:szCs w:val="24"/>
          <w:lang w:eastAsia="ru-RU"/>
        </w:rPr>
        <w:br/>
        <w:t>Негосударственная пенсия работника складывается из взносов работника по индивидуальному пенсионному договору, взносов работодателя по пенсионному договору и инвестиционного дохода, полученного на указанных взносах за время накопления.</w:t>
      </w:r>
    </w:p>
    <w:p w:rsidR="004C597A" w:rsidRPr="000A4F7D" w:rsidRDefault="004C597A" w:rsidP="000A4F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4F7D">
        <w:rPr>
          <w:rFonts w:ascii="Times New Roman" w:hAnsi="Times New Roman"/>
          <w:sz w:val="24"/>
          <w:szCs w:val="24"/>
          <w:lang w:eastAsia="ru-RU"/>
        </w:rPr>
        <w:br/>
        <w:t>По итогам прошедшего года в долевой корпоративной пенсионной системе приняло участие почти половина работников Компании. Сумма их личных взносов превысила 400 млн. руб. В среднем размер пенсионного взноса участника находится в диапазоне от 2 до 3 процентов от его заработной платы.</w:t>
      </w:r>
    </w:p>
    <w:p w:rsidR="004C597A" w:rsidRDefault="004C597A" w:rsidP="000A4F7D">
      <w:pPr>
        <w:spacing w:after="0" w:line="240" w:lineRule="auto"/>
        <w:jc w:val="both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0A4F7D">
        <w:rPr>
          <w:rFonts w:ascii="Tahoma" w:hAnsi="Tahoma" w:cs="Tahoma"/>
          <w:color w:val="000000"/>
          <w:sz w:val="18"/>
          <w:szCs w:val="18"/>
          <w:lang w:eastAsia="ru-RU"/>
        </w:rPr>
        <w:t> </w:t>
      </w:r>
    </w:p>
    <w:p w:rsidR="004C597A" w:rsidRDefault="004C597A" w:rsidP="000A4F7D">
      <w:pPr>
        <w:spacing w:after="0" w:line="240" w:lineRule="auto"/>
        <w:jc w:val="both"/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FA3444">
        <w:rPr>
          <w:rStyle w:val="apple-style-span"/>
          <w:rFonts w:ascii="Times New Roman" w:hAnsi="Times New Roman"/>
          <w:b/>
          <w:bCs/>
          <w:color w:val="000000"/>
          <w:sz w:val="28"/>
          <w:szCs w:val="28"/>
          <w:u w:val="single"/>
        </w:rPr>
        <w:t>Политика Компании</w:t>
      </w:r>
    </w:p>
    <w:p w:rsidR="004C597A" w:rsidRDefault="004C597A" w:rsidP="00FA3444">
      <w:pPr>
        <w:pStyle w:val="bodytext2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4C597A" w:rsidRPr="00FA3444" w:rsidRDefault="004C597A" w:rsidP="00FA3444">
      <w:pPr>
        <w:pStyle w:val="bodytext2"/>
        <w:spacing w:before="0" w:beforeAutospacing="0" w:after="0" w:afterAutospacing="0"/>
        <w:rPr>
          <w:color w:val="000000"/>
          <w:sz w:val="22"/>
          <w:szCs w:val="22"/>
        </w:rPr>
      </w:pPr>
      <w:r w:rsidRPr="00FA3444">
        <w:rPr>
          <w:color w:val="000000"/>
          <w:sz w:val="22"/>
          <w:szCs w:val="22"/>
        </w:rPr>
        <w:t>Стратегическая цель Группы «ЛУКОЙЛ» заключается в динамичном устойчивом развитии, соответствующем лучшим показателям мировых нефтяных компаний по эффективности и конкурентоспособности.</w:t>
      </w:r>
    </w:p>
    <w:p w:rsidR="004C597A" w:rsidRPr="00FA3444" w:rsidRDefault="004C597A" w:rsidP="00FA3444">
      <w:pPr>
        <w:pStyle w:val="bodytext2"/>
        <w:spacing w:before="0" w:beforeAutospacing="0" w:after="0" w:afterAutospacing="0"/>
        <w:rPr>
          <w:color w:val="000000"/>
          <w:sz w:val="22"/>
          <w:szCs w:val="22"/>
        </w:rPr>
      </w:pPr>
      <w:r w:rsidRPr="00FA3444">
        <w:rPr>
          <w:color w:val="000000"/>
          <w:sz w:val="22"/>
          <w:szCs w:val="22"/>
        </w:rPr>
        <w:t> </w:t>
      </w:r>
    </w:p>
    <w:p w:rsidR="004C597A" w:rsidRPr="00FA3444" w:rsidRDefault="004C597A" w:rsidP="00FA3444">
      <w:pPr>
        <w:pStyle w:val="bodytext2"/>
        <w:spacing w:before="0" w:beforeAutospacing="0" w:after="0" w:afterAutospacing="0"/>
        <w:rPr>
          <w:color w:val="000000"/>
          <w:sz w:val="22"/>
          <w:szCs w:val="22"/>
        </w:rPr>
      </w:pPr>
      <w:r w:rsidRPr="00FA3444">
        <w:rPr>
          <w:color w:val="000000"/>
          <w:sz w:val="22"/>
          <w:szCs w:val="22"/>
        </w:rPr>
        <w:t>Социальная ответственность Группы «ЛУКОЙЛ» состоит в создании достойных условий и оплаты труда, обеспечении экологической безопасности, сохранении культурного наследия.</w:t>
      </w:r>
    </w:p>
    <w:p w:rsidR="004C597A" w:rsidRPr="000A4F7D" w:rsidRDefault="004C597A" w:rsidP="000A4F7D">
      <w:pPr>
        <w:spacing w:after="0" w:line="240" w:lineRule="auto"/>
        <w:jc w:val="both"/>
        <w:rPr>
          <w:rFonts w:ascii="Times New Roman" w:hAnsi="Times New Roman"/>
          <w:color w:val="000000"/>
          <w:u w:val="single"/>
          <w:lang w:eastAsia="ru-RU"/>
        </w:rPr>
      </w:pPr>
    </w:p>
    <w:p w:rsidR="004C597A" w:rsidRPr="00FA3444" w:rsidRDefault="004C597A" w:rsidP="00FA3444">
      <w:pPr>
        <w:pStyle w:val="bodytext2"/>
        <w:spacing w:before="0" w:beforeAutospacing="0" w:after="0" w:afterAutospacing="0"/>
        <w:rPr>
          <w:color w:val="000000"/>
          <w:sz w:val="22"/>
          <w:szCs w:val="22"/>
        </w:rPr>
      </w:pPr>
      <w:r w:rsidRPr="00FA3444">
        <w:rPr>
          <w:color w:val="000000"/>
          <w:sz w:val="22"/>
          <w:szCs w:val="22"/>
        </w:rPr>
        <w:t>Приоритетными задачами ОАО «ЛУКОЙЛ» является обеспечение безопасных условий труда работников, защиты здоровья персонала организаций Группы «ЛУКОЙЛ» и населения, проживающего в районах деятельности организаций Группы «ЛУКОЙЛ»,</w:t>
      </w:r>
      <w:r w:rsidRPr="00FA3444">
        <w:rPr>
          <w:rStyle w:val="apple-converted-space"/>
          <w:color w:val="000000"/>
          <w:sz w:val="22"/>
          <w:szCs w:val="22"/>
        </w:rPr>
        <w:t> </w:t>
      </w:r>
      <w:r w:rsidRPr="00FA3444">
        <w:rPr>
          <w:color w:val="000000"/>
          <w:sz w:val="22"/>
          <w:szCs w:val="22"/>
        </w:rPr>
        <w:t>а также сохранение благоприятной окружающей среды.</w:t>
      </w:r>
    </w:p>
    <w:p w:rsidR="004C597A" w:rsidRPr="00FA3444" w:rsidRDefault="004C597A" w:rsidP="00FA3444">
      <w:pPr>
        <w:pStyle w:val="bodytext2"/>
        <w:spacing w:before="0" w:beforeAutospacing="0" w:after="0" w:afterAutospacing="0"/>
        <w:rPr>
          <w:color w:val="000000"/>
          <w:sz w:val="22"/>
          <w:szCs w:val="22"/>
        </w:rPr>
      </w:pPr>
      <w:r w:rsidRPr="00FA3444">
        <w:rPr>
          <w:color w:val="000000"/>
          <w:sz w:val="22"/>
          <w:szCs w:val="22"/>
        </w:rPr>
        <w:t> </w:t>
      </w:r>
    </w:p>
    <w:p w:rsidR="004C597A" w:rsidRPr="00FA3444" w:rsidRDefault="004C597A" w:rsidP="00FA3444">
      <w:pPr>
        <w:pStyle w:val="bodytext2"/>
        <w:spacing w:before="0" w:beforeAutospacing="0" w:after="0" w:afterAutospacing="0"/>
        <w:rPr>
          <w:color w:val="000000"/>
          <w:sz w:val="22"/>
          <w:szCs w:val="22"/>
        </w:rPr>
      </w:pPr>
      <w:r w:rsidRPr="00FA3444">
        <w:rPr>
          <w:color w:val="000000"/>
          <w:sz w:val="22"/>
          <w:szCs w:val="22"/>
        </w:rPr>
        <w:t>Для решения этих задач в Компании создана и успешно функционирует Система управления промышленной безопасностью, охраной труда и окружающей среды, включающая обеспечение требований пожарной безопасности, предупреждения и ликвидации чрезвычайных ситуаций. Она построена в соответствии с действующим российским законодательством, на основе лучшей отечественной и зарубежной практики.</w:t>
      </w:r>
    </w:p>
    <w:p w:rsidR="004C597A" w:rsidRPr="00FA3444" w:rsidRDefault="004C597A" w:rsidP="00FA3444">
      <w:pPr>
        <w:pStyle w:val="bodytext2"/>
        <w:spacing w:before="0" w:beforeAutospacing="0" w:after="0" w:afterAutospacing="0"/>
        <w:rPr>
          <w:color w:val="000000"/>
          <w:sz w:val="22"/>
          <w:szCs w:val="22"/>
        </w:rPr>
      </w:pPr>
    </w:p>
    <w:p w:rsidR="004C597A" w:rsidRPr="00FA3444" w:rsidRDefault="004C597A" w:rsidP="00B778DB">
      <w:pPr>
        <w:rPr>
          <w:rStyle w:val="apple-style-span"/>
          <w:rFonts w:ascii="Times New Roman" w:hAnsi="Times New Roman"/>
          <w:color w:val="000000"/>
        </w:rPr>
      </w:pPr>
      <w:r w:rsidRPr="00FA3444">
        <w:rPr>
          <w:rStyle w:val="apple-style-span"/>
          <w:rFonts w:ascii="Times New Roman" w:hAnsi="Times New Roman"/>
          <w:color w:val="000000"/>
        </w:rPr>
        <w:t>Политика Открытого акционерного общества «Нефтяная компания «ЛУКОЙЛ» в области промышленной безопасности, охраны труда и окружающей среды в</w:t>
      </w:r>
      <w:r w:rsidRPr="00FA3444">
        <w:rPr>
          <w:rStyle w:val="apple-converted-space"/>
          <w:rFonts w:ascii="Times New Roman" w:hAnsi="Times New Roman"/>
          <w:color w:val="000000"/>
        </w:rPr>
        <w:t> </w:t>
      </w:r>
      <w:r w:rsidRPr="00FA3444">
        <w:rPr>
          <w:rStyle w:val="apple-style-span"/>
          <w:rFonts w:ascii="Times New Roman" w:hAnsi="Times New Roman"/>
          <w:color w:val="000000"/>
          <w:lang w:val="en-US"/>
        </w:rPr>
        <w:t>XXI</w:t>
      </w:r>
      <w:r w:rsidRPr="00FA3444">
        <w:rPr>
          <w:rStyle w:val="apple-converted-space"/>
          <w:rFonts w:ascii="Times New Roman" w:hAnsi="Times New Roman"/>
          <w:color w:val="000000"/>
        </w:rPr>
        <w:t> </w:t>
      </w:r>
      <w:r w:rsidRPr="00FA3444">
        <w:rPr>
          <w:rStyle w:val="apple-style-span"/>
          <w:rFonts w:ascii="Times New Roman" w:hAnsi="Times New Roman"/>
          <w:color w:val="000000"/>
        </w:rPr>
        <w:t>веке устанавливает следующие цели: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·         </w:t>
      </w:r>
      <w:r w:rsidRPr="00FA3444">
        <w:rPr>
          <w:rFonts w:ascii="Times New Roman" w:hAnsi="Times New Roman"/>
          <w:color w:val="000000"/>
          <w:lang w:eastAsia="ru-RU"/>
        </w:rPr>
        <w:t>увеличение коэффициента использования нефтяного газа за счет роста газоперерабатывающих и электрогенерирующих мощностей;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·         </w:t>
      </w:r>
      <w:r w:rsidRPr="00FA3444">
        <w:rPr>
          <w:rFonts w:ascii="Times New Roman" w:hAnsi="Times New Roman"/>
          <w:color w:val="000000"/>
          <w:lang w:eastAsia="ru-RU"/>
        </w:rPr>
        <w:t>применение принципа «нулевого сброса» при разработке шельфовых месторождений;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·         </w:t>
      </w:r>
      <w:r w:rsidRPr="00FA3444">
        <w:rPr>
          <w:rFonts w:ascii="Times New Roman" w:hAnsi="Times New Roman"/>
          <w:color w:val="000000"/>
          <w:lang w:eastAsia="ru-RU"/>
        </w:rPr>
        <w:t>увеличение выпуска экологичных видов топлива, соответствующих европейским стандартам;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·          </w:t>
      </w:r>
      <w:r w:rsidRPr="00FA3444">
        <w:rPr>
          <w:rFonts w:ascii="Times New Roman" w:hAnsi="Times New Roman"/>
          <w:color w:val="000000"/>
          <w:lang w:eastAsia="ru-RU"/>
        </w:rPr>
        <w:t>реализация положений Киотского протокола по сокращению выбросов парниковых газов;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·          </w:t>
      </w:r>
      <w:r w:rsidRPr="00FA3444">
        <w:rPr>
          <w:rFonts w:ascii="Times New Roman" w:hAnsi="Times New Roman"/>
          <w:color w:val="000000"/>
          <w:lang w:eastAsia="ru-RU"/>
        </w:rPr>
        <w:t>рациональное использование природных ресурсов, как вовлекаемых в производство, так и находящихся в регионах деятельности организаций Группы «ЛУКОЙЛ», за счет внедрения ресурсосберегающих и энергоэффективных технологий, применения альтернативных источников энергии;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стабилизация и последовательное сокращение количества, а также</w:t>
      </w:r>
      <w:r w:rsidRPr="00FA3444">
        <w:rPr>
          <w:rFonts w:ascii="Times New Roman" w:hAnsi="Times New Roman"/>
          <w:b/>
          <w:bCs/>
          <w:color w:val="000000"/>
          <w:lang w:eastAsia="ru-RU"/>
        </w:rPr>
        <w:t> </w:t>
      </w:r>
      <w:r w:rsidRPr="00FA3444">
        <w:rPr>
          <w:rFonts w:ascii="Times New Roman" w:hAnsi="Times New Roman"/>
          <w:color w:val="000000"/>
          <w:lang w:eastAsia="ru-RU"/>
        </w:rPr>
        <w:t>снижение токсичности выбросов, сбросов загрязняющих веществ и отходов, за счет внедрения новых прогрессивных технологий, оборудования, материалов и повышения уровня автоматизации управления технологическими процессами;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постоянное улучшение состояния промышленной безопасности, охраны труда и окружающей среды, в том числе за счет повышения надежности технологического оборудования, обеспечения его безопасной и безаварийной работы, внедрения новых технологий и автоматизированных противоаварийных систем;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обеспечение готовности органов управления организаций Группы «ЛУКОЙЛ», персонала, аварийно-спасательных служб и формирований к действиям по ликвидации возможных аварий, пожаров и чрезвычайных ситуаций, а также повышения уровня готовности и оснащения противопожарных и аварийно-спасательных формирований;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совершенствование процедур подготовки и реализации программ ОАО «ЛУКОЙЛ», обеспечивающих постоянное выявление и решение наиболее важных задач промышленной, пожарной и экологической безопасности, охраны труда, предупреждения и ликвидации чрезвычайных ситуаций;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снижение техногенной нагрузки на окружающую среду от вновь вводимых объектов посредством улучшения качества подготовки предпроектной и проектной документации;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повышение эффективности производственного контроля, корпоративного надзора и внутреннего аудита за соблюдением законодательных требований промышленной безопасности, охраны труда и окружающей среды на объектах организаций Группы «ЛУКОЙЛ» на основе внедрения современных информационных технологий, методов технической диагностики и дистанционного мониторинга в соответствии с требованиями международных стандартов ISO 14001, ISO 17020, OHSAS 18001.</w:t>
      </w:r>
    </w:p>
    <w:p w:rsidR="004C597A" w:rsidRPr="00FA3444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 </w:t>
      </w:r>
    </w:p>
    <w:p w:rsidR="004C597A" w:rsidRPr="00FA3444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Для достижения поставленных целей ОАО «ЛУКОЙЛ» принимает на себя обязательства:</w:t>
      </w:r>
    </w:p>
    <w:p w:rsidR="004C597A" w:rsidRPr="00FA3444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 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осуществлять весь доступный и практически реализуемый комплекс мер по предупреждению травматизма, аварий и смягчению их последствий;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соблюдать приоритетность планируемых и реализуемых действий и мер, связанных с предупреждением воздействия на персонал и население, окружающую среду, перед мерами по ликвидации последствий такого воздействия;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добиваться последовательного непрерывного улучшения характеристик и показателей воздействия осуществляемой и намечаемой деятельности, продукции и услуг на персонал и население, окружающую среду, а также потребления природных ресурсов в соответствии с современным</w:t>
      </w:r>
      <w:r w:rsidRPr="00FA3444">
        <w:rPr>
          <w:rFonts w:ascii="Times New Roman" w:hAnsi="Times New Roman"/>
          <w:b/>
          <w:bCs/>
          <w:color w:val="000000"/>
          <w:lang w:eastAsia="ru-RU"/>
        </w:rPr>
        <w:t> </w:t>
      </w:r>
      <w:r w:rsidRPr="00FA3444">
        <w:rPr>
          <w:rFonts w:ascii="Times New Roman" w:hAnsi="Times New Roman"/>
          <w:color w:val="000000"/>
          <w:lang w:eastAsia="ru-RU"/>
        </w:rPr>
        <w:t>уровнем развития науки, техники и общества;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проводить постоянную целенаправленную работу по снижению потерь нефти, газа, а также продукции нефте- и газопереработки и предотвращению поступления их в окружающую среду;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внедрять передовые научные разработки и технологии с целью поэтапного сокращения удельного потребления природных ресурсов, материалов и энергии при максимально возможном выпуске продукции;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обеспечивать соблюдение требований российского законодательства, международных соглашений, отраслевых и корпоративных нормативных требований, а также национального законодательства стран, на территории которых осуществляют свою деятельность организации Группы «ЛУКОЙЛ», регламентирующих обеспечение промышленной, пожарной и экологической безопасности, предупреждения и готовности к ликвидации чрезвычайных ситуаций;</w:t>
      </w:r>
    </w:p>
    <w:p w:rsidR="004C597A" w:rsidRPr="00FA3444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проводить оценку воздействия планируемых видов хозяйственной деятельности, продукции и услуг на здоровье персонала и населения, окружающую среду;</w:t>
      </w:r>
    </w:p>
    <w:p w:rsidR="004C597A" w:rsidRPr="00FA3444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осуществлять оценку производственных, профессиональных, пожарных рисков, разработку и реализацию мер по снижению, компенсации непредвиденных потерь;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принимать и реализовывать любые управленческо-производственные решения с обязательным учетом значимых экологических аспектов, производственных и профессиональных рисков;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требовать от всех работников организаций Группы «ЛУКОЙЛ» осуществления работы в соответствии с действующими правилами и нормами промышленной, пожарной и экологической безопасности, охраны труда, предупреждения и готовности к ликвидации чрезвычайных ситуаций. Осуществлять соответствующие меры стимулирования, обучение и повышение квалификации работников Компании и организаций Группы «ЛУКОЙЛ»;</w:t>
      </w:r>
    </w:p>
    <w:p w:rsidR="004C597A" w:rsidRPr="00FA3444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добиваться постоянного улучшения качества окружающей среды в районах деятельности организаций Группы «ЛУКОЙЛ»;</w:t>
      </w:r>
    </w:p>
    <w:p w:rsidR="004C597A" w:rsidRPr="00FA3444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требовать от подрядных организаций, ведущих работы для организаций Группы «ЛУКОЙЛ», соблюдения требований по промышленной, пожарной и экологической безопасности, охраны труда, предупреждения и готовности к ликвидации чрезвычайных ситуаций, которые приняты в организациях Группы «ЛУКОЙЛ»;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публично отчитываться перед акционерами и работниками Компании о деятельности в области промышленной, пожарной и экологической безопасности, охраны труда, предупреждения и готовности к ликвидации чрезвычайных ситуаций;</w:t>
      </w:r>
    </w:p>
    <w:p w:rsidR="004C597A" w:rsidRPr="00FA3444" w:rsidRDefault="004C597A" w:rsidP="00FA3444">
      <w:p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осуществлять периодическое информирование всех заинтересованных лиц (общественность, органы законодательной и исполнительной власти и др.) о деятельности Группы «ЛУКОЙЛ» в области промышленной, пожарной и экологической безопасности, охраны труда, предупреждения и готовности к ликвидации чрезвычайных ситуаций;</w:t>
      </w:r>
    </w:p>
    <w:p w:rsidR="004C597A" w:rsidRPr="00FA3444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осуществлять непрерывное совершенствование Системы промышленной безопасности, охраны труда и окружающей среды, в соответствии с требованиями стандартов</w:t>
      </w:r>
      <w:r w:rsidRPr="00FA3444">
        <w:rPr>
          <w:rFonts w:ascii="Times New Roman" w:hAnsi="Times New Roman"/>
          <w:color w:val="000000"/>
          <w:lang w:val="en-US" w:eastAsia="ru-RU"/>
        </w:rPr>
        <w:t>ISO</w:t>
      </w:r>
      <w:r w:rsidRPr="00FA3444">
        <w:rPr>
          <w:rFonts w:ascii="Times New Roman" w:hAnsi="Times New Roman"/>
          <w:color w:val="000000"/>
          <w:lang w:eastAsia="ru-RU"/>
        </w:rPr>
        <w:t> 14001 и </w:t>
      </w:r>
      <w:r w:rsidRPr="00FA3444">
        <w:rPr>
          <w:rFonts w:ascii="Times New Roman" w:hAnsi="Times New Roman"/>
          <w:color w:val="000000"/>
          <w:lang w:val="en-US" w:eastAsia="ru-RU"/>
        </w:rPr>
        <w:t>OHSAS</w:t>
      </w:r>
      <w:r w:rsidRPr="00FA3444">
        <w:rPr>
          <w:rFonts w:ascii="Times New Roman" w:hAnsi="Times New Roman"/>
          <w:color w:val="000000"/>
          <w:lang w:eastAsia="ru-RU"/>
        </w:rPr>
        <w:t> 18001;</w:t>
      </w:r>
    </w:p>
    <w:p w:rsidR="004C597A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  <w:r w:rsidRPr="00FA3444">
        <w:rPr>
          <w:rFonts w:ascii="Times New Roman" w:hAnsi="Times New Roman"/>
          <w:color w:val="000000"/>
          <w:lang w:eastAsia="ru-RU"/>
        </w:rPr>
        <w:t>·           обеспечить контроль за выполнением обязательств, принятых в рамках Политики.</w:t>
      </w:r>
    </w:p>
    <w:p w:rsidR="004C597A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</w:p>
    <w:p w:rsidR="004C597A" w:rsidRPr="00FA3444" w:rsidRDefault="004C597A" w:rsidP="00FA3444">
      <w:pPr>
        <w:spacing w:after="0" w:line="240" w:lineRule="auto"/>
        <w:ind w:left="426" w:hanging="426"/>
        <w:rPr>
          <w:rFonts w:ascii="Times New Roman" w:hAnsi="Times New Roman"/>
          <w:color w:val="000000"/>
          <w:lang w:eastAsia="ru-RU"/>
        </w:rPr>
      </w:pPr>
    </w:p>
    <w:p w:rsidR="004C597A" w:rsidRPr="009D3707" w:rsidRDefault="004C597A" w:rsidP="00175F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D3707">
        <w:rPr>
          <w:b/>
          <w:sz w:val="28"/>
          <w:szCs w:val="28"/>
        </w:rPr>
        <w:t>рганизационную структуру можно смело назвать Функционально-линейной структурой (штабное управление)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Общее Собрание Акционеров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>Аппарат Совета</w:t>
      </w:r>
    </w:p>
    <w:p w:rsidR="004C597A" w:rsidRDefault="004C597A" w:rsidP="00175F37">
      <w:pPr>
        <w:pStyle w:val="1"/>
        <w:numPr>
          <w:ilvl w:val="0"/>
          <w:numId w:val="1"/>
        </w:numPr>
      </w:pPr>
      <w:r>
        <w:t>Совет директоров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>
        <w:t>Комитет формиро</w:t>
      </w:r>
      <w:r w:rsidRPr="009D3707">
        <w:t>вания директоров и развития</w:t>
      </w:r>
      <w:r>
        <w:t xml:space="preserve"> </w:t>
      </w:r>
      <w:r w:rsidRPr="009D3707">
        <w:t>новых структур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Президент</w:t>
      </w:r>
    </w:p>
    <w:p w:rsidR="004C597A" w:rsidRDefault="004C597A" w:rsidP="00175F37">
      <w:pPr>
        <w:pStyle w:val="1"/>
        <w:numPr>
          <w:ilvl w:val="0"/>
          <w:numId w:val="1"/>
        </w:numPr>
      </w:pPr>
      <w:r>
        <w:t>Советник, Экс</w:t>
      </w:r>
      <w:r w:rsidRPr="009D3707">
        <w:t xml:space="preserve">пертный советник 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 xml:space="preserve">Юридическое </w:t>
      </w:r>
      <w:r>
        <w:t>управление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 xml:space="preserve">Правление 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>Аппарат Президента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Научно-технический</w:t>
      </w:r>
      <w:r>
        <w:t xml:space="preserve"> </w:t>
      </w:r>
      <w:r w:rsidRPr="009D3707">
        <w:t>совет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>Вице-президент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 xml:space="preserve">Руководитель 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 xml:space="preserve">Вице-президент по общим вопросам 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Европейского представительства Компании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 xml:space="preserve">Главный бухгалтер 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>
        <w:t>Вице-президент по внешне</w:t>
      </w:r>
      <w:r w:rsidRPr="009D3707">
        <w:t>экономическим связям и зарубежным проектам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 xml:space="preserve">Первый вице-президент по Коммерции 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Первый вице-президент по</w:t>
      </w:r>
      <w:r>
        <w:t xml:space="preserve"> </w:t>
      </w:r>
      <w:r w:rsidRPr="009D3707">
        <w:t>производству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>Вице-президент по реализации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>Вице-президент по добыче нефти и нефтепродуктов нефти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 xml:space="preserve">Первый вице-президент по </w:t>
      </w:r>
      <w:r>
        <w:t>переработке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>Вице-президен</w:t>
      </w:r>
      <w:r>
        <w:t>т по э</w:t>
      </w:r>
      <w:r w:rsidRPr="009D3707">
        <w:t>кономике, планированию и нефти и нефтепродуктообеспеч</w:t>
      </w:r>
      <w:r>
        <w:t>ению, по ф</w:t>
      </w:r>
      <w:r w:rsidRPr="009D3707">
        <w:t xml:space="preserve">инансам 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>Департамент по геологии и</w:t>
      </w:r>
      <w:r>
        <w:t xml:space="preserve"> </w:t>
      </w:r>
      <w:r w:rsidRPr="009D3707">
        <w:t xml:space="preserve">разведке 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>Вице-президент по экономическому анализу и информации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Департамент оборудования и машиностроения</w:t>
      </w:r>
    </w:p>
    <w:p w:rsidR="004C597A" w:rsidRDefault="004C597A" w:rsidP="00175F37">
      <w:pPr>
        <w:pStyle w:val="1"/>
        <w:numPr>
          <w:ilvl w:val="0"/>
          <w:numId w:val="1"/>
        </w:numPr>
      </w:pPr>
      <w:r w:rsidRPr="009D3707">
        <w:t>Вице-президент по экономике</w:t>
      </w:r>
      <w:r>
        <w:t xml:space="preserve"> и</w:t>
      </w:r>
      <w:r w:rsidRPr="009D3707">
        <w:t xml:space="preserve"> планированию 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Управление охраны окружающей среды и безопасности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Вице-президент по финансам труда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Департамент ценных бумаг ЦДУ</w:t>
      </w:r>
    </w:p>
    <w:p w:rsidR="004C597A" w:rsidRPr="009D3707" w:rsidRDefault="004C597A" w:rsidP="00175F37">
      <w:pPr>
        <w:pStyle w:val="1"/>
        <w:numPr>
          <w:ilvl w:val="0"/>
          <w:numId w:val="1"/>
        </w:numPr>
      </w:pPr>
      <w:r w:rsidRPr="009D3707">
        <w:t>Отдел науки и инжиниринга</w:t>
      </w:r>
    </w:p>
    <w:p w:rsidR="004C597A" w:rsidRDefault="004C597A" w:rsidP="00175F37">
      <w:pPr>
        <w:pBdr>
          <w:bottom w:val="single" w:sz="12" w:space="1" w:color="auto"/>
        </w:pBdr>
      </w:pPr>
      <w:r w:rsidRPr="009D3707">
        <w:t>Схема организационной структуры НК ЛУКОЙЛ подтверждает факт тот, что изменения стратегий и организационная структура находятся в тесной взаимосвязи. Стратегия компании является основным фактором, определяющим ее организационную структуру; многоцелевая стратегия усложняет организационную структуру компании, совершенствуя которую компания обеспечивает эффективность решения стратегических задач. Как известно, можно выде</w:t>
      </w:r>
      <w:r>
        <w:t>лить несколько этапов в развити</w:t>
      </w:r>
      <w:r w:rsidRPr="009D3707">
        <w:t>и фирмы, а именно 6. Нефтяная компания ЛУКОЙЛ находится на высшем уровне своего развития, т.е. компания занимает ведущее место среди НК на национальном рынке, и постепенно завоевывает позиции на мировом, расширяя сеть филиалов и представительств.</w:t>
      </w:r>
    </w:p>
    <w:p w:rsidR="004C597A" w:rsidRPr="00FB5D03" w:rsidRDefault="004C597A" w:rsidP="00FB5D03">
      <w:pPr>
        <w:ind w:firstLine="708"/>
        <w:rPr>
          <w:i/>
          <w:sz w:val="20"/>
          <w:szCs w:val="20"/>
        </w:rPr>
      </w:pPr>
      <w:r w:rsidRPr="00FB5D03">
        <w:rPr>
          <w:i/>
          <w:sz w:val="20"/>
          <w:szCs w:val="20"/>
        </w:rPr>
        <w:t>Компания не остается равнодушной к проблемам участников боевых действий в Дагестане и Чечне: в 1999 г. она оказывала помощь пострадавшим в военных конфликтах, а также большой группе социально незащищенных людей - беженцев из районов боевых действий.</w:t>
      </w:r>
    </w:p>
    <w:p w:rsidR="004C597A" w:rsidRPr="00FB5D03" w:rsidRDefault="004C597A" w:rsidP="00175F37">
      <w:pPr>
        <w:rPr>
          <w:i/>
          <w:sz w:val="20"/>
          <w:szCs w:val="20"/>
        </w:rPr>
      </w:pPr>
      <w:r w:rsidRPr="00FB5D03">
        <w:rPr>
          <w:i/>
          <w:sz w:val="20"/>
          <w:szCs w:val="20"/>
        </w:rPr>
        <w:t>Общий объем помощи, оказанной только Благотворительным фондом "ЛУКОЙЛ" в 1999 г. составил 31 млн рублей.</w:t>
      </w:r>
    </w:p>
    <w:p w:rsidR="004C597A" w:rsidRPr="00FB5D03" w:rsidRDefault="004C597A" w:rsidP="00175F37">
      <w:pPr>
        <w:rPr>
          <w:i/>
          <w:sz w:val="20"/>
          <w:szCs w:val="20"/>
        </w:rPr>
      </w:pPr>
      <w:r w:rsidRPr="00FB5D03">
        <w:rPr>
          <w:i/>
          <w:sz w:val="20"/>
          <w:szCs w:val="20"/>
        </w:rPr>
        <w:t>ЛУКОЙЛ постоянно заботится о своих сотрудниках. Так, организовано медицинское обслуживание, санаторно-курортное лечение и отдых сотрудников Компании и членов их семей.</w:t>
      </w:r>
    </w:p>
    <w:p w:rsidR="004C597A" w:rsidRPr="00FB5D03" w:rsidRDefault="004C597A" w:rsidP="00175F37">
      <w:pPr>
        <w:rPr>
          <w:i/>
          <w:sz w:val="20"/>
          <w:szCs w:val="20"/>
        </w:rPr>
      </w:pPr>
      <w:r w:rsidRPr="00FB5D03">
        <w:rPr>
          <w:i/>
          <w:sz w:val="20"/>
          <w:szCs w:val="20"/>
        </w:rPr>
        <w:t>Страховая компания "Медведь ЛК" обеспечивает добровольное медицинское страхование более 70 тыс. человек.</w:t>
      </w:r>
    </w:p>
    <w:p w:rsidR="004C597A" w:rsidRPr="00FB5D03" w:rsidRDefault="004C597A" w:rsidP="00175F37">
      <w:pPr>
        <w:rPr>
          <w:i/>
          <w:sz w:val="20"/>
          <w:szCs w:val="20"/>
        </w:rPr>
      </w:pPr>
      <w:r w:rsidRPr="00FB5D03">
        <w:rPr>
          <w:i/>
          <w:sz w:val="20"/>
          <w:szCs w:val="20"/>
        </w:rPr>
        <w:t>В 34 обществах Компании действует единая система негосударственного пенсионного обеспечения. Через пенсионный фонд "ЛУКОЙЛ-Гарант" негосударственные пенсии выплачиваются более 1,5 тыс. бывших работников Компании.</w:t>
      </w:r>
    </w:p>
    <w:p w:rsidR="004C597A" w:rsidRPr="00FB5D03" w:rsidRDefault="004C597A" w:rsidP="00175F37">
      <w:pPr>
        <w:pBdr>
          <w:bottom w:val="single" w:sz="12" w:space="1" w:color="auto"/>
        </w:pBdr>
        <w:rPr>
          <w:i/>
          <w:sz w:val="20"/>
          <w:szCs w:val="20"/>
        </w:rPr>
      </w:pPr>
      <w:r w:rsidRPr="00FB5D03">
        <w:rPr>
          <w:i/>
          <w:sz w:val="20"/>
          <w:szCs w:val="20"/>
        </w:rPr>
        <w:t>Руководство ЛУКОЙЛ держит под особым контролем вопросы реализации социальных программ и будет для этого предпринимать все необходимые меры совместно с профсоюзной организацией.</w:t>
      </w:r>
    </w:p>
    <w:p w:rsidR="004C597A" w:rsidRPr="005346E0" w:rsidRDefault="004C597A" w:rsidP="005346E0">
      <w:pPr>
        <w:rPr>
          <w:b/>
        </w:rPr>
      </w:pPr>
      <w:r w:rsidRPr="005346E0">
        <w:rPr>
          <w:b/>
        </w:rPr>
        <w:t xml:space="preserve">ЛУКОЙЛ - компания мирового уровня по объемам добычи           </w:t>
      </w:r>
    </w:p>
    <w:p w:rsidR="004C597A" w:rsidRPr="005346E0" w:rsidRDefault="004C597A" w:rsidP="005346E0">
      <w:pPr>
        <w:rPr>
          <w:u w:val="single"/>
        </w:rPr>
      </w:pPr>
      <w:r>
        <w:t xml:space="preserve">     </w:t>
      </w:r>
      <w:r w:rsidRPr="005346E0">
        <w:rPr>
          <w:u w:val="single"/>
        </w:rPr>
        <w:t>Рост добычи нефти</w:t>
      </w:r>
    </w:p>
    <w:p w:rsidR="004C597A" w:rsidRDefault="004C597A" w:rsidP="005346E0">
      <w:pPr>
        <w:pStyle w:val="1"/>
        <w:numPr>
          <w:ilvl w:val="0"/>
          <w:numId w:val="3"/>
        </w:numPr>
      </w:pPr>
      <w:r>
        <w:t>Добыча растет ежегодно начиная с 1995</w:t>
      </w:r>
    </w:p>
    <w:p w:rsidR="004C597A" w:rsidRDefault="004C597A" w:rsidP="005346E0">
      <w:pPr>
        <w:pStyle w:val="1"/>
        <w:numPr>
          <w:ilvl w:val="0"/>
          <w:numId w:val="3"/>
        </w:numPr>
      </w:pPr>
      <w:r>
        <w:t>33% роста за 5 - летний период</w:t>
      </w:r>
    </w:p>
    <w:p w:rsidR="004C597A" w:rsidRDefault="004C597A" w:rsidP="005346E0">
      <w:pPr>
        <w:pStyle w:val="1"/>
        <w:numPr>
          <w:ilvl w:val="0"/>
          <w:numId w:val="3"/>
        </w:numPr>
      </w:pPr>
      <w:r>
        <w:t>Общий ежегодный рост (накопительным итогом) - 7.9%</w:t>
      </w:r>
    </w:p>
    <w:p w:rsidR="004C597A" w:rsidRDefault="004C597A" w:rsidP="005346E0">
      <w:pPr>
        <w:pStyle w:val="1"/>
        <w:numPr>
          <w:ilvl w:val="0"/>
          <w:numId w:val="3"/>
        </w:numPr>
      </w:pPr>
      <w:r>
        <w:t>Текущая доля добычи за пределами России составляет всего 3% от общей добычи</w:t>
      </w:r>
    </w:p>
    <w:p w:rsidR="004C597A" w:rsidRDefault="004C597A" w:rsidP="005346E0">
      <w:pPr>
        <w:pStyle w:val="1"/>
        <w:numPr>
          <w:ilvl w:val="0"/>
          <w:numId w:val="3"/>
        </w:numPr>
      </w:pPr>
      <w:r>
        <w:t>Однако, темпы роста добычи в 2000 году очень высоки</w:t>
      </w:r>
    </w:p>
    <w:p w:rsidR="004C597A" w:rsidRDefault="004C597A" w:rsidP="005346E0">
      <w:pPr>
        <w:pStyle w:val="1"/>
        <w:numPr>
          <w:ilvl w:val="0"/>
          <w:numId w:val="3"/>
        </w:numPr>
      </w:pPr>
      <w:r>
        <w:t>Добыча за пределами России возросла более чем в 3 раза по сравнению с 1997г.</w:t>
      </w:r>
    </w:p>
    <w:p w:rsidR="004C597A" w:rsidRDefault="004A4146" w:rsidP="005346E0">
      <w:r>
        <w:rPr>
          <w:noProof/>
          <w:lang w:eastAsia="ru-RU"/>
        </w:rPr>
        <w:pict>
          <v:shape id="_x0000_i1026" type="#_x0000_t75" alt="image043.gif" style="width:292.5pt;height:198pt;visibility:visible">
            <v:imagedata r:id="rId6" o:title=""/>
          </v:shape>
        </w:pict>
      </w:r>
    </w:p>
    <w:p w:rsidR="004C597A" w:rsidRDefault="004C597A" w:rsidP="005346E0"/>
    <w:p w:rsidR="004C597A" w:rsidRPr="005346E0" w:rsidRDefault="004C597A" w:rsidP="005346E0">
      <w:pPr>
        <w:rPr>
          <w:b/>
          <w:u w:val="single"/>
        </w:rPr>
      </w:pPr>
      <w:r w:rsidRPr="005346E0">
        <w:rPr>
          <w:b/>
          <w:u w:val="single"/>
        </w:rPr>
        <w:t>ЛУКОЙЛ - компания мирового уровня по объемам запасов</w:t>
      </w:r>
    </w:p>
    <w:p w:rsidR="004C597A" w:rsidRDefault="004C597A" w:rsidP="005346E0">
      <w:r>
        <w:t>По результатам оценки компанией Miller &amp; Lents (США) доказанные запасы нефти и газового конденсата НК "ЛУКОЙЛ" на 31 декабря 2000 года составили 14,243 млрд. баррелей (2 млрд. тонн), природного газа - 3,625 трлн. куб. футов (100 млрд. куб. м).</w:t>
      </w:r>
    </w:p>
    <w:p w:rsidR="004C597A" w:rsidRDefault="004C597A" w:rsidP="005346E0">
      <w:r>
        <w:t>По доказанным запасам нефти ЛУКОЙЛ продолжает сохранять первое место в мире среди акционерных обществ открытого типа, по запасам нефти и газа - четвертое место. Данная оценка не включает в себя запасы углеводородов на Северном Каспии и в Ираке.</w:t>
      </w:r>
    </w:p>
    <w:p w:rsidR="004C597A" w:rsidRDefault="004C597A" w:rsidP="005346E0">
      <w:r>
        <w:t>Обеспеченность текущей добычи доказанными запасами в целом по НК "ЛУКОЙЛ" составляет 27 лет. Согласно российской классификации, остаточные извлекаемые запасы нефти категорий АВС1 на балансе дочерних и зависимых обществ Компании в России на 31 декабря 2000 года оцениваются в 2,5 млрд. тонн. Запасы нефти по морским и зарубежным проектам в эквиваленте категорий АВС1 оцениваются в 1,24 млрд. тонн.</w:t>
      </w:r>
    </w:p>
    <w:p w:rsidR="004C597A" w:rsidRDefault="004C597A" w:rsidP="005346E0">
      <w:r>
        <w:t>Основным ресурсным регионом для Компании остается Западная Сибирь, где сосредоточены более 60% ее запасов. Треть всех запасов НК "ЛУКОЙЛ" расположена в европейской части России. Возрастает роль зарубежной ресурсной базы Компании, прежде всего месторождений углеводородов в Азербайджане и Казахстане. Объемы запасов в этих регионах деятельности НК "ЛУКОЙЛ" значительно возрастут после создания необходимой транспортной инфраструктуры, прежде всего после ввода в эксплуатацию первой очереди Каспийского трубопровода в 2001 году.</w:t>
      </w:r>
    </w:p>
    <w:p w:rsidR="004C597A" w:rsidRDefault="004C597A" w:rsidP="005346E0">
      <w:r>
        <w:t>Наша стратегия нацелена на завоевание новых иностранных рынков. Результат - превращение в диверсифицированную нефтегазовую корпорацию международного класса.</w:t>
      </w:r>
    </w:p>
    <w:p w:rsidR="004C597A" w:rsidRPr="00E60BA6" w:rsidRDefault="004C597A" w:rsidP="005346E0">
      <w:pPr>
        <w:rPr>
          <w:b/>
          <w:sz w:val="28"/>
          <w:szCs w:val="28"/>
        </w:rPr>
      </w:pPr>
      <w:r w:rsidRPr="005346E0">
        <w:rPr>
          <w:b/>
          <w:sz w:val="28"/>
          <w:szCs w:val="28"/>
        </w:rPr>
        <w:t xml:space="preserve">Изменение цен на нефтепродукты на АЗС ООО «ЛУКОЙЛ-Пермнефтепродукт» </w:t>
      </w:r>
    </w:p>
    <w:p w:rsidR="004C597A" w:rsidRDefault="004C597A" w:rsidP="005346E0">
      <w:r>
        <w:t xml:space="preserve">           С 21 июня 2008 года ООО «ЛУКОЙЛ-Пермнефтепродукт» устанавливает новый уровень цен на автобензины и дизельное топливо при реализации через АЗС «ЛУКОЙЛ» в Пермском крае, Кировской и Свердловской областях.</w:t>
      </w:r>
    </w:p>
    <w:p w:rsidR="004C597A" w:rsidRDefault="004C597A" w:rsidP="005346E0">
      <w:r>
        <w:t xml:space="preserve">          Рост розничных цен на нефтепродукты с начала 2008 г. наблюдается  на АЗС во всех регионах России, а также в большинстве развитых стран мира. Повышение цен на топливо в Свердловской области с начала года происходило около 7 раз и в целом составило 16,5%. Рост цен наблюдается по всем крупным операторам розничного рынка региона (ОАО "Екатеринбургнефтепродукт", ОАО "Свердловскнефтепродукт" и другим).</w:t>
      </w:r>
    </w:p>
    <w:p w:rsidR="004C597A" w:rsidRDefault="004C597A" w:rsidP="005346E0">
      <w:r>
        <w:t xml:space="preserve">         Уровень цен на АЗС «ЛУКОЙЛ» в Свердловской области по-прежнему остается ниже, чем в большинстве регионов страны (см. Таблицу 2), притом что качество автобензинов и дизельного топлива постоянно улучшается. С начала 2008 г. все АЗС «ЛУКОЙЛ» осуществляют реализацию автобензинов только стандарта «Евро» с улучшенными характеристиками. Применение суперчистых дизельных топлив, которые ООО «ЛУКОЙЛ-Пермнефтеоргсинтез» стало выпускать после пуска в 2004 году комплекса глубокой переработки нефти, дает существенный экологический эффект. Стоимость данного проекта составила 11 млрд. рублей. В целом на мероприятия по обеспечению экологической безопасности в 2007 году Группой «ЛУКОЙЛ» было затрачено 15,3 млрд. рублей; 46,4 % от этой суммы или 7,09 млрд. рублей дочерние предприятия Компании направили на охрану атмосферного воздуха. При этом по итогам 2007 года ООО «ЛУКОЙЛ-Пермнефтепродукт» было признано лучшим среди сбытовых предприятий Компании на корпоративном смотре- конкурсе  «Охрана окружающей среды».  </w:t>
      </w:r>
    </w:p>
    <w:p w:rsidR="004C597A" w:rsidRDefault="004C597A" w:rsidP="005346E0">
      <w:r>
        <w:t xml:space="preserve">         Вопреки сложившемуся мнению цены на бензин зачастую растут медленнее, чем на другие товары и услуги. Так, по Свердловской области стоимость минимального набора продуктов питания в расчете на одного человека в месяц за 1 квартал 2008 г. значительно выросла. С начала года также наблюдался заметный рост цен на реализованную сельхозпродукцию.</w:t>
      </w:r>
    </w:p>
    <w:p w:rsidR="004C597A" w:rsidRDefault="004C597A" w:rsidP="005346E0">
      <w:r>
        <w:t xml:space="preserve">         Цены на АЗС не только растут, но, когда рынок и внутренняя экономика позволяют, снижаются. Так, в Свердловской области 19 февраля 2007 г. цены на АЗС ООО «ЛУКОЙЛ-Пермнефтепродукт» были снижены на 1 рубль и сохранялись на этом уровне до 2 августа 2007 года.</w:t>
      </w:r>
    </w:p>
    <w:p w:rsidR="004C597A" w:rsidRDefault="004C597A" w:rsidP="005346E0">
      <w:r>
        <w:t xml:space="preserve">        Основная причина изменения цен на АЗС предприятия – рост оптовых цен на топливо, которые с января 2008 г. увеличились следующим образом:</w:t>
      </w:r>
    </w:p>
    <w:p w:rsidR="004C597A" w:rsidRDefault="004C597A" w:rsidP="00E60BA6">
      <w:pPr>
        <w:pStyle w:val="1"/>
        <w:numPr>
          <w:ilvl w:val="0"/>
          <w:numId w:val="4"/>
        </w:numPr>
      </w:pPr>
      <w:r>
        <w:t xml:space="preserve">Бензин Нормаль-80 – 17,4%; </w:t>
      </w:r>
    </w:p>
    <w:p w:rsidR="004C597A" w:rsidRDefault="004C597A" w:rsidP="00E60BA6">
      <w:pPr>
        <w:pStyle w:val="1"/>
        <w:numPr>
          <w:ilvl w:val="0"/>
          <w:numId w:val="4"/>
        </w:numPr>
      </w:pPr>
      <w:r>
        <w:t>Бензин Регуляр ЕВРО-92 – 25,1%, при этом рост цен на АЗС «ЛУКОЙЛ»– 15,1%;</w:t>
      </w:r>
    </w:p>
    <w:p w:rsidR="004C597A" w:rsidRDefault="004C597A" w:rsidP="00E60BA6">
      <w:pPr>
        <w:pStyle w:val="1"/>
        <w:numPr>
          <w:ilvl w:val="0"/>
          <w:numId w:val="4"/>
        </w:numPr>
      </w:pPr>
      <w:r>
        <w:t>Бензин Премиум ЕВРО-95 – 15,8 %, при этом рост цен на АЗС «ЛУКОЙЛ»–14,0%;</w:t>
      </w:r>
    </w:p>
    <w:p w:rsidR="004C597A" w:rsidRDefault="004C597A" w:rsidP="00E60BA6">
      <w:pPr>
        <w:pStyle w:val="1"/>
        <w:numPr>
          <w:ilvl w:val="0"/>
          <w:numId w:val="4"/>
        </w:numPr>
      </w:pPr>
      <w:r>
        <w:t>топливо дизельное ЕВРО – 14,8%.</w:t>
      </w:r>
    </w:p>
    <w:p w:rsidR="004C597A" w:rsidRDefault="004C597A" w:rsidP="005346E0"/>
    <w:p w:rsidR="004C597A" w:rsidRDefault="004C597A" w:rsidP="005346E0">
      <w:r>
        <w:t xml:space="preserve">           Среди основных причин роста оптовых цен на топливо можно выделить следующие:</w:t>
      </w:r>
    </w:p>
    <w:p w:rsidR="004C597A" w:rsidRDefault="004C597A" w:rsidP="00E60BA6">
      <w:pPr>
        <w:pStyle w:val="1"/>
        <w:numPr>
          <w:ilvl w:val="0"/>
          <w:numId w:val="5"/>
        </w:numPr>
      </w:pPr>
      <w:r>
        <w:t>рост мировых цен на нефть и нефтепродукты, которые продолжают достигать исторических максимумов. Котировка нефти Brent (dtd) на 09.06.2008 – 135,38 $/bbl, при этом рост относительно января 2008 составил 40,3%. Таким образом, экспортная конъюнктура становится все более привлекательной для российских производителей, что стимулирует экспорт нефти и нефтепродуктов из России и отражается на конъюнктуре внутреннего рынка;</w:t>
      </w:r>
    </w:p>
    <w:p w:rsidR="004C597A" w:rsidRDefault="004C597A" w:rsidP="00E60BA6">
      <w:pPr>
        <w:pStyle w:val="1"/>
        <w:numPr>
          <w:ilvl w:val="0"/>
          <w:numId w:val="5"/>
        </w:numPr>
      </w:pPr>
      <w:r>
        <w:t>опережающий рост цен на потребляемые компаниями ресурсы, в 1 квартале 2008 года в Свердловской области наблюдался заметный рост тарифов на энергоносители и грузовые перевозки,тарифы РЖД на перевозку нефтепродуктов – на 11,1 %;</w:t>
      </w:r>
    </w:p>
    <w:p w:rsidR="004C597A" w:rsidRDefault="004C597A" w:rsidP="00E60BA6">
      <w:pPr>
        <w:pStyle w:val="1"/>
        <w:numPr>
          <w:ilvl w:val="0"/>
          <w:numId w:val="5"/>
        </w:numPr>
      </w:pPr>
      <w:r>
        <w:t>рост цен на металлопродукцию в целом по РФ за период январь-май 2008 года составил 65%;</w:t>
      </w:r>
    </w:p>
    <w:p w:rsidR="004C597A" w:rsidRDefault="004C597A" w:rsidP="005346E0">
      <w:r>
        <w:t xml:space="preserve">            Одной из главных причин высоких цен на бензин является высокая налоговая нагрузка на нефтяные компании: сегодня налоги составляют в цене бензина 60-70 % стоимости, в том числе налог на добычу полезных ископаемых (НДПИ) и экспортные пошлины. Последние повысились с  1 июня как на нефть, так и на все нефтепродукты. В свою очередь доля управляемых производителем затрат не превышает 15%. Остальные затраты сформированы налоговой и тарифной политикой государства.</w:t>
      </w:r>
    </w:p>
    <w:p w:rsidR="004C597A" w:rsidRDefault="004C597A" w:rsidP="005346E0">
      <w:r>
        <w:t xml:space="preserve">           Таким образом, затраты нефтяных компаний и АЗС зависят в основном от макроэкономических параметров, в то время как государство может влиять на розничные цены за счет изменения НДПИ, акцизов и экспортных пошлин.</w:t>
      </w:r>
    </w:p>
    <w:p w:rsidR="004C597A" w:rsidRDefault="004C597A" w:rsidP="005346E0"/>
    <w:p w:rsidR="004C597A" w:rsidRDefault="004C597A" w:rsidP="005346E0"/>
    <w:p w:rsidR="004C597A" w:rsidRDefault="004C597A" w:rsidP="00175F37"/>
    <w:p w:rsidR="004C597A" w:rsidRPr="009D3707" w:rsidRDefault="004C597A" w:rsidP="00175F37"/>
    <w:p w:rsidR="004C597A" w:rsidRDefault="004C597A" w:rsidP="00B778DB">
      <w:pPr>
        <w:rPr>
          <w:rFonts w:ascii="Times New Roman" w:hAnsi="Times New Roman"/>
          <w:sz w:val="28"/>
          <w:szCs w:val="28"/>
          <w:u w:val="single"/>
        </w:rPr>
      </w:pPr>
    </w:p>
    <w:p w:rsidR="004C597A" w:rsidRPr="000A4F7D" w:rsidRDefault="004C597A" w:rsidP="00B778DB">
      <w:pPr>
        <w:rPr>
          <w:rFonts w:ascii="Times New Roman" w:hAnsi="Times New Roman"/>
          <w:sz w:val="28"/>
          <w:szCs w:val="28"/>
          <w:u w:val="single"/>
        </w:rPr>
      </w:pPr>
      <w:bookmarkStart w:id="0" w:name="_GoBack"/>
      <w:bookmarkEnd w:id="0"/>
    </w:p>
    <w:sectPr w:rsidR="004C597A" w:rsidRPr="000A4F7D" w:rsidSect="00DB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A0B16"/>
    <w:multiLevelType w:val="hybridMultilevel"/>
    <w:tmpl w:val="17C0A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C72D5"/>
    <w:multiLevelType w:val="hybridMultilevel"/>
    <w:tmpl w:val="346A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00B52"/>
    <w:multiLevelType w:val="hybridMultilevel"/>
    <w:tmpl w:val="DA22D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D1949"/>
    <w:multiLevelType w:val="hybridMultilevel"/>
    <w:tmpl w:val="6C66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2A5F3B"/>
    <w:multiLevelType w:val="hybridMultilevel"/>
    <w:tmpl w:val="5B86A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8DB"/>
    <w:rsid w:val="00033DB9"/>
    <w:rsid w:val="000A4F7D"/>
    <w:rsid w:val="00175F37"/>
    <w:rsid w:val="00337858"/>
    <w:rsid w:val="004A4146"/>
    <w:rsid w:val="004C597A"/>
    <w:rsid w:val="005346E0"/>
    <w:rsid w:val="0065476E"/>
    <w:rsid w:val="009D3707"/>
    <w:rsid w:val="00A23C9C"/>
    <w:rsid w:val="00B778DB"/>
    <w:rsid w:val="00BA7E2D"/>
    <w:rsid w:val="00BC301C"/>
    <w:rsid w:val="00BD40F8"/>
    <w:rsid w:val="00C42AA5"/>
    <w:rsid w:val="00CB58A2"/>
    <w:rsid w:val="00DB3A14"/>
    <w:rsid w:val="00E42381"/>
    <w:rsid w:val="00E60BA6"/>
    <w:rsid w:val="00FA3444"/>
    <w:rsid w:val="00FB5D03"/>
    <w:rsid w:val="00FE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25B7B66-844E-45B5-9819-F7118540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A1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B77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B778DB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B778DB"/>
    <w:rPr>
      <w:rFonts w:cs="Times New Roman"/>
    </w:rPr>
  </w:style>
  <w:style w:type="character" w:customStyle="1" w:styleId="apple-converted-space">
    <w:name w:val="apple-converted-space"/>
    <w:basedOn w:val="a0"/>
    <w:rsid w:val="00B778DB"/>
    <w:rPr>
      <w:rFonts w:cs="Times New Roman"/>
    </w:rPr>
  </w:style>
  <w:style w:type="paragraph" w:styleId="a5">
    <w:name w:val="Normal (Web)"/>
    <w:basedOn w:val="a"/>
    <w:semiHidden/>
    <w:rsid w:val="00033DB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0A4F7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locked/>
    <w:rsid w:val="000A4F7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bodytext2">
    <w:name w:val="bodytext2"/>
    <w:basedOn w:val="a"/>
    <w:rsid w:val="00FA344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75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3398</Words>
  <Characters>19374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22727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настя</dc:creator>
  <cp:keywords/>
  <dc:description/>
  <cp:lastModifiedBy>admin</cp:lastModifiedBy>
  <cp:revision>2</cp:revision>
  <dcterms:created xsi:type="dcterms:W3CDTF">2014-05-10T08:13:00Z</dcterms:created>
  <dcterms:modified xsi:type="dcterms:W3CDTF">2014-05-10T08:13:00Z</dcterms:modified>
</cp:coreProperties>
</file>