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A55" w:rsidRDefault="00852A55" w:rsidP="0003253A">
      <w:pPr>
        <w:tabs>
          <w:tab w:val="left" w:pos="3795"/>
        </w:tabs>
        <w:jc w:val="center"/>
        <w:rPr>
          <w:b/>
          <w:bCs/>
          <w:sz w:val="28"/>
          <w:szCs w:val="28"/>
        </w:rPr>
      </w:pPr>
    </w:p>
    <w:p w:rsidR="0036490D" w:rsidRDefault="0036490D" w:rsidP="0003253A">
      <w:pPr>
        <w:tabs>
          <w:tab w:val="left" w:pos="3795"/>
        </w:tabs>
        <w:jc w:val="center"/>
        <w:rPr>
          <w:b/>
          <w:sz w:val="28"/>
          <w:szCs w:val="28"/>
        </w:rPr>
      </w:pPr>
      <w:r w:rsidRPr="00BE434F">
        <w:rPr>
          <w:b/>
          <w:bCs/>
          <w:sz w:val="28"/>
          <w:szCs w:val="28"/>
        </w:rPr>
        <w:t>Глава</w:t>
      </w:r>
      <w:r>
        <w:rPr>
          <w:b/>
          <w:bCs/>
          <w:sz w:val="28"/>
          <w:szCs w:val="28"/>
        </w:rPr>
        <w:t xml:space="preserve"> 2</w:t>
      </w:r>
      <w:r w:rsidRPr="00BE434F">
        <w:rPr>
          <w:b/>
          <w:bCs/>
          <w:sz w:val="28"/>
          <w:szCs w:val="28"/>
        </w:rPr>
        <w:t>.</w:t>
      </w:r>
      <w:r w:rsidR="00B11950">
        <w:rPr>
          <w:b/>
          <w:bCs/>
          <w:sz w:val="28"/>
          <w:szCs w:val="28"/>
        </w:rPr>
        <w:t xml:space="preserve"> </w:t>
      </w:r>
      <w:r w:rsidR="00B11950" w:rsidRPr="00B11950">
        <w:rPr>
          <w:rFonts w:ascii="Times New Roman CYR" w:hAnsi="Times New Roman CYR" w:cs="Times New Roman CYR"/>
          <w:b/>
          <w:sz w:val="28"/>
          <w:szCs w:val="28"/>
        </w:rPr>
        <w:t>Анализ динамики индекса РТС</w:t>
      </w:r>
      <w:r w:rsidR="00905D60">
        <w:rPr>
          <w:rFonts w:ascii="Times New Roman CYR" w:hAnsi="Times New Roman CYR" w:cs="Times New Roman CYR"/>
          <w:b/>
          <w:sz w:val="28"/>
          <w:szCs w:val="28"/>
        </w:rPr>
        <w:t>.</w:t>
      </w:r>
    </w:p>
    <w:p w:rsidR="0003253A" w:rsidRDefault="00905D60" w:rsidP="00377ED6">
      <w:pPr>
        <w:numPr>
          <w:ilvl w:val="1"/>
          <w:numId w:val="12"/>
        </w:numPr>
        <w:tabs>
          <w:tab w:val="left" w:pos="3795"/>
        </w:tabs>
        <w:jc w:val="center"/>
        <w:rPr>
          <w:b/>
          <w:sz w:val="28"/>
          <w:szCs w:val="28"/>
        </w:rPr>
      </w:pPr>
      <w:r>
        <w:rPr>
          <w:b/>
          <w:sz w:val="28"/>
          <w:szCs w:val="28"/>
        </w:rPr>
        <w:t xml:space="preserve"> </w:t>
      </w:r>
      <w:r w:rsidR="0003253A" w:rsidRPr="00C137A3">
        <w:rPr>
          <w:b/>
          <w:sz w:val="28"/>
          <w:szCs w:val="28"/>
        </w:rPr>
        <w:t>Характеристика динамики индекса РТС</w:t>
      </w:r>
      <w:r>
        <w:rPr>
          <w:b/>
          <w:sz w:val="28"/>
          <w:szCs w:val="28"/>
        </w:rPr>
        <w:t>.</w:t>
      </w:r>
    </w:p>
    <w:p w:rsidR="000E1C02" w:rsidRDefault="000E1C02" w:rsidP="000E1C02">
      <w:pPr>
        <w:pStyle w:val="a7"/>
        <w:spacing w:line="360" w:lineRule="auto"/>
        <w:ind w:firstLine="720"/>
        <w:jc w:val="both"/>
      </w:pPr>
    </w:p>
    <w:p w:rsidR="000E1C02" w:rsidRDefault="000E1C02" w:rsidP="000E1C02">
      <w:pPr>
        <w:pStyle w:val="a7"/>
        <w:spacing w:line="360" w:lineRule="auto"/>
        <w:ind w:firstLine="720"/>
        <w:jc w:val="both"/>
        <w:rPr>
          <w:sz w:val="28"/>
          <w:szCs w:val="28"/>
        </w:rPr>
      </w:pPr>
      <w:r w:rsidRPr="000E1C02">
        <w:rPr>
          <w:sz w:val="28"/>
          <w:szCs w:val="28"/>
        </w:rPr>
        <w:t>Российская Торговая Система  - первая и до сих пор единственная реально функционирующая система внебиржевой торговли ценными бумагами в России. Более того, Российская Торговая Система  - самая крупная торговая площадка, специализирующаяся исключительно на торговле корпоративными ценными бумагами; ни одна российская биржа, даже такие крупные, как Московская Межбанковская Валютная Биржа, Московская Фондовая Биржа и другие, в сфере торговли корпоративными ценными бумагами не составляют заметной конкуренции этой  внебиржевой системе, ни по числу эмитентов акции, которых котируются на этих торговых площадках, ни по числу участников торгов, ни по объемам торгов. И хотя биржевой сектор рынка пытается в последнее время  увеличить объемы торговли корпоративными бумагами, внебиржевой сектор в лице Российской Торговой Системы остается лидером в данной сфере.</w:t>
      </w:r>
    </w:p>
    <w:p w:rsidR="000E1C02" w:rsidRPr="000E1C02" w:rsidRDefault="000E1C02" w:rsidP="000E1C02">
      <w:pPr>
        <w:autoSpaceDE w:val="0"/>
        <w:autoSpaceDN w:val="0"/>
        <w:adjustRightInd w:val="0"/>
        <w:spacing w:line="360" w:lineRule="auto"/>
        <w:rPr>
          <w:bCs/>
          <w:sz w:val="28"/>
          <w:szCs w:val="28"/>
        </w:rPr>
      </w:pPr>
      <w:r>
        <w:rPr>
          <w:sz w:val="28"/>
          <w:szCs w:val="28"/>
        </w:rPr>
        <w:t xml:space="preserve">В нашем анализе будет проанализирован индекс </w:t>
      </w:r>
      <w:r>
        <w:rPr>
          <w:sz w:val="28"/>
          <w:szCs w:val="28"/>
          <w:lang w:val="en-US"/>
        </w:rPr>
        <w:t>RTSI</w:t>
      </w:r>
      <w:r>
        <w:rPr>
          <w:sz w:val="28"/>
          <w:szCs w:val="28"/>
        </w:rPr>
        <w:t xml:space="preserve">, так как  </w:t>
      </w:r>
      <w:r w:rsidRPr="000E1C02">
        <w:rPr>
          <w:bCs/>
          <w:sz w:val="28"/>
          <w:szCs w:val="28"/>
        </w:rPr>
        <w:t>он является ведущим</w:t>
      </w:r>
    </w:p>
    <w:p w:rsidR="000E1C02" w:rsidRPr="000E1C02" w:rsidRDefault="000E1C02" w:rsidP="000E1C02">
      <w:pPr>
        <w:autoSpaceDE w:val="0"/>
        <w:autoSpaceDN w:val="0"/>
        <w:adjustRightInd w:val="0"/>
        <w:spacing w:line="360" w:lineRule="auto"/>
        <w:rPr>
          <w:bCs/>
          <w:sz w:val="28"/>
          <w:szCs w:val="28"/>
        </w:rPr>
      </w:pPr>
      <w:r w:rsidRPr="000E1C02">
        <w:rPr>
          <w:bCs/>
          <w:sz w:val="28"/>
          <w:szCs w:val="28"/>
        </w:rPr>
        <w:t>индикатором рынка ценных бумаг России. Индекс РТС</w:t>
      </w:r>
      <w:r>
        <w:rPr>
          <w:bCs/>
          <w:sz w:val="28"/>
          <w:szCs w:val="28"/>
        </w:rPr>
        <w:t xml:space="preserve"> </w:t>
      </w:r>
      <w:r w:rsidRPr="000E1C02">
        <w:rPr>
          <w:bCs/>
          <w:sz w:val="28"/>
          <w:szCs w:val="28"/>
        </w:rPr>
        <w:t>рассчитывается на основании цен 50 ликвидных акций</w:t>
      </w:r>
      <w:r>
        <w:rPr>
          <w:bCs/>
          <w:sz w:val="28"/>
          <w:szCs w:val="28"/>
        </w:rPr>
        <w:t xml:space="preserve"> </w:t>
      </w:r>
      <w:r w:rsidRPr="000E1C02">
        <w:rPr>
          <w:bCs/>
          <w:sz w:val="28"/>
          <w:szCs w:val="28"/>
        </w:rPr>
        <w:t>наиболее капитализированных российских эмитентов.</w:t>
      </w:r>
    </w:p>
    <w:p w:rsidR="000E1C02" w:rsidRPr="000E1C02" w:rsidRDefault="000E1C02" w:rsidP="000E1C02">
      <w:pPr>
        <w:autoSpaceDE w:val="0"/>
        <w:autoSpaceDN w:val="0"/>
        <w:adjustRightInd w:val="0"/>
        <w:spacing w:line="360" w:lineRule="auto"/>
        <w:rPr>
          <w:sz w:val="28"/>
          <w:szCs w:val="28"/>
        </w:rPr>
      </w:pPr>
      <w:r w:rsidRPr="000E1C02">
        <w:rPr>
          <w:sz w:val="28"/>
          <w:szCs w:val="28"/>
        </w:rPr>
        <w:t>Индекс РТС признается большинством участников российского рынка,</w:t>
      </w:r>
    </w:p>
    <w:p w:rsidR="000E1C02" w:rsidRPr="000E1C02" w:rsidRDefault="000E1C02" w:rsidP="000E1C02">
      <w:pPr>
        <w:autoSpaceDE w:val="0"/>
        <w:autoSpaceDN w:val="0"/>
        <w:adjustRightInd w:val="0"/>
        <w:spacing w:line="360" w:lineRule="auto"/>
        <w:rPr>
          <w:sz w:val="28"/>
          <w:szCs w:val="28"/>
        </w:rPr>
      </w:pPr>
      <w:r w:rsidRPr="000E1C02">
        <w:rPr>
          <w:sz w:val="28"/>
          <w:szCs w:val="28"/>
        </w:rPr>
        <w:t>зарубежными инвесторами и инвестиционными компаниями в качестве основного</w:t>
      </w:r>
    </w:p>
    <w:p w:rsidR="000E1C02" w:rsidRPr="000E1C02" w:rsidRDefault="000E1C02" w:rsidP="000E1C02">
      <w:pPr>
        <w:autoSpaceDE w:val="0"/>
        <w:autoSpaceDN w:val="0"/>
        <w:adjustRightInd w:val="0"/>
        <w:spacing w:line="360" w:lineRule="auto"/>
        <w:rPr>
          <w:sz w:val="28"/>
          <w:szCs w:val="28"/>
        </w:rPr>
      </w:pPr>
      <w:r w:rsidRPr="000E1C02">
        <w:rPr>
          <w:sz w:val="28"/>
          <w:szCs w:val="28"/>
        </w:rPr>
        <w:t>индикатора фондового рынка России, адекватно отражающего его состояние</w:t>
      </w:r>
    </w:p>
    <w:p w:rsidR="000E1C02" w:rsidRPr="000E1C02" w:rsidRDefault="000E1C02" w:rsidP="000E1C02">
      <w:pPr>
        <w:autoSpaceDE w:val="0"/>
        <w:autoSpaceDN w:val="0"/>
        <w:adjustRightInd w:val="0"/>
        <w:spacing w:line="360" w:lineRule="auto"/>
        <w:rPr>
          <w:sz w:val="28"/>
          <w:szCs w:val="28"/>
        </w:rPr>
      </w:pPr>
      <w:r w:rsidRPr="000E1C02">
        <w:rPr>
          <w:sz w:val="28"/>
          <w:szCs w:val="28"/>
        </w:rPr>
        <w:t>и динамику.</w:t>
      </w:r>
      <w:r w:rsidR="00204724">
        <w:rPr>
          <w:sz w:val="28"/>
          <w:szCs w:val="28"/>
        </w:rPr>
        <w:t xml:space="preserve"> </w:t>
      </w:r>
      <w:r w:rsidRPr="000E1C02">
        <w:rPr>
          <w:sz w:val="28"/>
          <w:szCs w:val="28"/>
        </w:rPr>
        <w:t>Это первый Индекс, в основе которого лежали цены реальных</w:t>
      </w:r>
    </w:p>
    <w:p w:rsidR="000E1C02" w:rsidRPr="000E1C02" w:rsidRDefault="000E1C02" w:rsidP="000E1C02">
      <w:pPr>
        <w:autoSpaceDE w:val="0"/>
        <w:autoSpaceDN w:val="0"/>
        <w:adjustRightInd w:val="0"/>
        <w:spacing w:line="360" w:lineRule="auto"/>
        <w:rPr>
          <w:sz w:val="28"/>
          <w:szCs w:val="28"/>
        </w:rPr>
      </w:pPr>
      <w:r w:rsidRPr="000E1C02">
        <w:rPr>
          <w:sz w:val="28"/>
          <w:szCs w:val="28"/>
        </w:rPr>
        <w:t>сделок, заключенных в торговой системе. История расчета Индекса РТС</w:t>
      </w:r>
    </w:p>
    <w:p w:rsidR="000E1C02" w:rsidRPr="000E1C02" w:rsidRDefault="000E1C02" w:rsidP="000E1C02">
      <w:pPr>
        <w:autoSpaceDE w:val="0"/>
        <w:autoSpaceDN w:val="0"/>
        <w:adjustRightInd w:val="0"/>
        <w:spacing w:line="360" w:lineRule="auto"/>
        <w:rPr>
          <w:sz w:val="28"/>
          <w:szCs w:val="28"/>
        </w:rPr>
      </w:pPr>
      <w:r w:rsidRPr="000E1C02">
        <w:rPr>
          <w:sz w:val="28"/>
          <w:szCs w:val="28"/>
        </w:rPr>
        <w:t>охватывает практически весь период существования организованного российского</w:t>
      </w:r>
      <w:r w:rsidR="00905D60">
        <w:rPr>
          <w:sz w:val="28"/>
          <w:szCs w:val="28"/>
        </w:rPr>
        <w:t xml:space="preserve"> </w:t>
      </w:r>
      <w:r w:rsidRPr="000E1C02">
        <w:rPr>
          <w:sz w:val="28"/>
          <w:szCs w:val="28"/>
        </w:rPr>
        <w:t>рынка ценных бумаг.</w:t>
      </w:r>
    </w:p>
    <w:p w:rsidR="000E1C02" w:rsidRPr="00905D60" w:rsidRDefault="000E1C02" w:rsidP="000E1C02">
      <w:pPr>
        <w:autoSpaceDE w:val="0"/>
        <w:autoSpaceDN w:val="0"/>
        <w:adjustRightInd w:val="0"/>
        <w:spacing w:line="360" w:lineRule="auto"/>
        <w:rPr>
          <w:rFonts w:ascii="HelveticaNeueCyr-Light" w:hAnsi="HelveticaNeueCyr-Light" w:cs="HelveticaNeueCyr-Light"/>
          <w:sz w:val="28"/>
          <w:szCs w:val="28"/>
        </w:rPr>
      </w:pPr>
      <w:r w:rsidRPr="000E1C02">
        <w:rPr>
          <w:rFonts w:ascii="HelveticaNeueCyr-Light" w:hAnsi="HelveticaNeueCyr-Light" w:cs="HelveticaNeueCyr-Light"/>
          <w:sz w:val="28"/>
          <w:szCs w:val="28"/>
        </w:rPr>
        <w:t>Суммарная капитализация акций, включенных в список для расчета Индекса по</w:t>
      </w:r>
      <w:r w:rsidR="00905D60">
        <w:rPr>
          <w:rFonts w:ascii="HelveticaNeueCyr-Light" w:hAnsi="HelveticaNeueCyr-Light" w:cs="HelveticaNeueCyr-Light"/>
          <w:sz w:val="28"/>
          <w:szCs w:val="28"/>
        </w:rPr>
        <w:t xml:space="preserve"> </w:t>
      </w:r>
      <w:r w:rsidRPr="000E1C02">
        <w:rPr>
          <w:rFonts w:ascii="HelveticaNeueCyr-Light" w:hAnsi="HelveticaNeueCyr-Light" w:cs="HelveticaNeueCyr-Light"/>
          <w:color w:val="000000"/>
          <w:sz w:val="28"/>
          <w:szCs w:val="28"/>
        </w:rPr>
        <w:t>состоянию на 1 сентября 1995 года, не превышала USD13 млрд (по итогам 2009</w:t>
      </w:r>
      <w:r w:rsidR="00905D60">
        <w:rPr>
          <w:rFonts w:ascii="HelveticaNeueCyr-Light" w:hAnsi="HelveticaNeueCyr-Light" w:cs="HelveticaNeueCyr-Light"/>
          <w:sz w:val="28"/>
          <w:szCs w:val="28"/>
        </w:rPr>
        <w:t xml:space="preserve"> </w:t>
      </w:r>
      <w:r w:rsidRPr="000E1C02">
        <w:rPr>
          <w:rFonts w:ascii="HelveticaNeueCyr-Light" w:hAnsi="HelveticaNeueCyr-Light" w:cs="HelveticaNeueCyr-Light"/>
          <w:color w:val="000000"/>
          <w:sz w:val="28"/>
          <w:szCs w:val="28"/>
        </w:rPr>
        <w:t>года — более USD 650 млрд). Начальное значение Индекса РТС было определено</w:t>
      </w:r>
      <w:r w:rsidR="00905D60">
        <w:rPr>
          <w:rFonts w:ascii="HelveticaNeueCyr-Light" w:hAnsi="HelveticaNeueCyr-Light" w:cs="HelveticaNeueCyr-Light"/>
          <w:sz w:val="28"/>
          <w:szCs w:val="28"/>
        </w:rPr>
        <w:t xml:space="preserve"> </w:t>
      </w:r>
      <w:r w:rsidRPr="000E1C02">
        <w:rPr>
          <w:rFonts w:ascii="HelveticaNeueCyr-Light" w:hAnsi="HelveticaNeueCyr-Light" w:cs="HelveticaNeueCyr-Light"/>
          <w:color w:val="000000"/>
          <w:sz w:val="28"/>
          <w:szCs w:val="28"/>
        </w:rPr>
        <w:t>в 100 пунктов.</w:t>
      </w:r>
      <w:r w:rsidR="00204724">
        <w:rPr>
          <w:rFonts w:ascii="HelveticaNeueCyr-Light" w:hAnsi="HelveticaNeueCyr-Light" w:cs="HelveticaNeueCyr-Light"/>
          <w:color w:val="000000"/>
          <w:sz w:val="28"/>
          <w:szCs w:val="28"/>
        </w:rPr>
        <w:t xml:space="preserve"> </w:t>
      </w:r>
    </w:p>
    <w:p w:rsidR="000E1C02" w:rsidRPr="000E1C02" w:rsidRDefault="000E1C02" w:rsidP="000E1C02">
      <w:pPr>
        <w:autoSpaceDE w:val="0"/>
        <w:autoSpaceDN w:val="0"/>
        <w:adjustRightInd w:val="0"/>
        <w:spacing w:line="360" w:lineRule="auto"/>
        <w:rPr>
          <w:rFonts w:ascii="HelveticaNeueCyr-Light" w:hAnsi="HelveticaNeueCyr-Light" w:cs="HelveticaNeueCyr-Light"/>
          <w:color w:val="000000"/>
          <w:sz w:val="28"/>
          <w:szCs w:val="28"/>
        </w:rPr>
      </w:pPr>
      <w:r w:rsidRPr="000E1C02">
        <w:rPr>
          <w:rFonts w:ascii="HelveticaNeueCyr-Light" w:hAnsi="HelveticaNeueCyr-Light" w:cs="HelveticaNeueCyr-Light"/>
          <w:color w:val="000000"/>
          <w:sz w:val="28"/>
          <w:szCs w:val="28"/>
        </w:rPr>
        <w:t>Методика расчета Индекса РТС соответствует российским и иностранным</w:t>
      </w:r>
    </w:p>
    <w:p w:rsidR="000E1C02" w:rsidRPr="00204724" w:rsidRDefault="000E1C02" w:rsidP="00204724">
      <w:pPr>
        <w:autoSpaceDE w:val="0"/>
        <w:autoSpaceDN w:val="0"/>
        <w:adjustRightInd w:val="0"/>
        <w:spacing w:line="360" w:lineRule="auto"/>
        <w:rPr>
          <w:rFonts w:ascii="HelveticaNeueCyr-Light" w:hAnsi="HelveticaNeueCyr-Light" w:cs="HelveticaNeueCyr-Light"/>
          <w:color w:val="000000"/>
          <w:sz w:val="28"/>
          <w:szCs w:val="28"/>
        </w:rPr>
      </w:pPr>
      <w:r w:rsidRPr="000E1C02">
        <w:rPr>
          <w:rFonts w:ascii="HelveticaNeueCyr-Light" w:hAnsi="HelveticaNeueCyr-Light" w:cs="HelveticaNeueCyr-Light"/>
          <w:color w:val="000000"/>
          <w:sz w:val="28"/>
          <w:szCs w:val="28"/>
        </w:rPr>
        <w:t>нормативным требованиям, предъявляемым к фондовым индексам, что является</w:t>
      </w:r>
      <w:r w:rsid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rPr>
        <w:t>дополнительной гарантией для инвесторов. При расчете Индекса РТС соблюдаются</w:t>
      </w:r>
      <w:r w:rsid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rPr>
        <w:t>все требования Федеральной службы по финансовым рынкам Российской</w:t>
      </w:r>
      <w:r w:rsid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rPr>
        <w:t>Федерации. Индекс РТС соответствует также директивам Европейского парламента</w:t>
      </w:r>
      <w:r w:rsid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rPr>
        <w:t>и</w:t>
      </w:r>
      <w:r w:rsidRP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rPr>
        <w:t>требованиям</w:t>
      </w:r>
      <w:r w:rsidRP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rPr>
        <w:t>директив</w:t>
      </w:r>
      <w:r w:rsidRP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rPr>
        <w:t>Евросоюза</w:t>
      </w:r>
      <w:r w:rsidRP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lang w:val="en-US"/>
        </w:rPr>
        <w:t>UCITS</w:t>
      </w:r>
      <w:r w:rsidRP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lang w:val="en-US"/>
        </w:rPr>
        <w:t>Undertakings</w:t>
      </w:r>
      <w:r w:rsidRP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lang w:val="en-US"/>
        </w:rPr>
        <w:t>for</w:t>
      </w:r>
      <w:r w:rsidRP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lang w:val="en-US"/>
        </w:rPr>
        <w:t>Collective</w:t>
      </w:r>
      <w:r w:rsidRP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lang w:val="en-US"/>
        </w:rPr>
        <w:t>Investment</w:t>
      </w:r>
      <w:r w:rsid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rPr>
        <w:t>in Tradable Securities) к диверсификации базы расчета индекса, адекватности</w:t>
      </w:r>
      <w:r w:rsidR="00905D60">
        <w:rPr>
          <w:rFonts w:ascii="HelveticaNeueCyr-Light" w:hAnsi="HelveticaNeueCyr-Light" w:cs="HelveticaNeueCyr-Light"/>
          <w:color w:val="000000"/>
          <w:sz w:val="28"/>
          <w:szCs w:val="28"/>
        </w:rPr>
        <w:t xml:space="preserve"> </w:t>
      </w:r>
      <w:r w:rsidRPr="000E1C02">
        <w:rPr>
          <w:rFonts w:ascii="HelveticaNeueCyr-Light" w:hAnsi="HelveticaNeueCyr-Light" w:cs="HelveticaNeueCyr-Light"/>
          <w:color w:val="000000"/>
          <w:sz w:val="28"/>
          <w:szCs w:val="28"/>
        </w:rPr>
        <w:t>индикатора рынку и общедоступности.</w:t>
      </w:r>
    </w:p>
    <w:p w:rsidR="00FC0C58" w:rsidRPr="00C137A3" w:rsidRDefault="00FC0C58" w:rsidP="00FC0C58">
      <w:pPr>
        <w:tabs>
          <w:tab w:val="left" w:pos="3795"/>
        </w:tabs>
        <w:jc w:val="right"/>
        <w:rPr>
          <w:sz w:val="28"/>
          <w:szCs w:val="28"/>
        </w:rPr>
      </w:pPr>
      <w:r w:rsidRPr="00C137A3">
        <w:rPr>
          <w:sz w:val="28"/>
          <w:szCs w:val="28"/>
        </w:rPr>
        <w:t>Таблица 1</w:t>
      </w:r>
    </w:p>
    <w:p w:rsidR="00FC0C58" w:rsidRPr="00C137A3" w:rsidRDefault="00FC0C58" w:rsidP="00FC0C58">
      <w:pPr>
        <w:tabs>
          <w:tab w:val="left" w:pos="3795"/>
        </w:tabs>
        <w:jc w:val="center"/>
        <w:rPr>
          <w:sz w:val="28"/>
          <w:szCs w:val="28"/>
        </w:rPr>
      </w:pPr>
      <w:r w:rsidRPr="00C137A3">
        <w:rPr>
          <w:sz w:val="28"/>
          <w:szCs w:val="28"/>
        </w:rPr>
        <w:t>Исходные данные. Индекс РТС</w:t>
      </w:r>
      <w:r w:rsidR="00C137A3">
        <w:rPr>
          <w:sz w:val="28"/>
          <w:szCs w:val="28"/>
        </w:rPr>
        <w:t>, пункты.</w:t>
      </w:r>
    </w:p>
    <w:tbl>
      <w:tblPr>
        <w:tblW w:w="9335" w:type="dxa"/>
        <w:jc w:val="center"/>
        <w:tblLook w:val="0000" w:firstRow="0" w:lastRow="0" w:firstColumn="0" w:lastColumn="0" w:noHBand="0" w:noVBand="0"/>
      </w:tblPr>
      <w:tblGrid>
        <w:gridCol w:w="960"/>
        <w:gridCol w:w="706"/>
        <w:gridCol w:w="706"/>
        <w:gridCol w:w="706"/>
        <w:gridCol w:w="707"/>
        <w:gridCol w:w="720"/>
        <w:gridCol w:w="795"/>
        <w:gridCol w:w="825"/>
        <w:gridCol w:w="795"/>
        <w:gridCol w:w="825"/>
        <w:gridCol w:w="795"/>
        <w:gridCol w:w="795"/>
      </w:tblGrid>
      <w:tr w:rsidR="00FC0C58" w:rsidRPr="00812B34">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 </w:t>
            </w:r>
          </w:p>
        </w:tc>
        <w:tc>
          <w:tcPr>
            <w:tcW w:w="706"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2000</w:t>
            </w:r>
          </w:p>
        </w:tc>
        <w:tc>
          <w:tcPr>
            <w:tcW w:w="706"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2001</w:t>
            </w:r>
          </w:p>
        </w:tc>
        <w:tc>
          <w:tcPr>
            <w:tcW w:w="706"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2002</w:t>
            </w:r>
          </w:p>
        </w:tc>
        <w:tc>
          <w:tcPr>
            <w:tcW w:w="707"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2003</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2004</w:t>
            </w:r>
          </w:p>
        </w:tc>
        <w:tc>
          <w:tcPr>
            <w:tcW w:w="795"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2005</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2006</w:t>
            </w:r>
          </w:p>
        </w:tc>
        <w:tc>
          <w:tcPr>
            <w:tcW w:w="795"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2007</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2008</w:t>
            </w:r>
          </w:p>
        </w:tc>
        <w:tc>
          <w:tcPr>
            <w:tcW w:w="795" w:type="dxa"/>
            <w:tcBorders>
              <w:top w:val="single" w:sz="4" w:space="0" w:color="auto"/>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2009</w:t>
            </w:r>
          </w:p>
        </w:tc>
        <w:tc>
          <w:tcPr>
            <w:tcW w:w="795" w:type="dxa"/>
            <w:tcBorders>
              <w:top w:val="single" w:sz="4" w:space="0" w:color="auto"/>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2010</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январь</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172,31</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173,53</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287,53</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345,56</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611,1</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637,21</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1315,96</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1842,93</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1906,97</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535,04</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1473,81</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февраль</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170,93</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164,76</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290,75</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383,23</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670,14</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716,42</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1453,44</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1858,14</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2063,94</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544,58</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1410,85</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март</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231,88</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169,46</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350,75</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360,33</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752,66</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669,07</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1434,99</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1935,72</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2053,93</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689,63</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1572,48</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апрель</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226,87</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180,68</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386,1</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422,37</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631,11</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670,36</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1657,28</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1935,51</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2122,5</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832,87</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1572,84</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май</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190,21</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208,8</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391,26</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467,1</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581,07</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674,44</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1461,22</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1780,33</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2459,88</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1087,59</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1384,59</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июнь</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171,4</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216,11</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353,79</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503,51</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583,32</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706,38</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1494,63</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1897,7</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2303,34</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987,02</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1339,35</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июль</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194,09</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196,12</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326,23</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457,02</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540,27</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778,93</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1551,09</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1993,96</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1966,68</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1017,47</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1479,73</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август</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239,99</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205,41</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332,9</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530,94</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584,65</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882,03</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1626,69</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1919,89</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1646,14</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1066,53</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1421,21</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сентябрь</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199,08</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180,25</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334,06</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566,62</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631,65</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1007,76</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1549,99</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2071,8</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1211,84</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1254,52</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r w:rsidRPr="00812B34">
              <w:rPr>
                <w:rFonts w:ascii="Arial CYR" w:hAnsi="Arial CYR" w:cs="Arial CYR"/>
                <w:sz w:val="16"/>
                <w:szCs w:val="16"/>
              </w:rPr>
              <w:t>1507,66</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октябрь</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189</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204,04</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358,65</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506,12</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663,67</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934,99</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1613,57</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2223,06</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773,37</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1348,54</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jc w:val="right"/>
              <w:rPr>
                <w:rFonts w:ascii="Arial CYR" w:hAnsi="Arial CYR" w:cs="Arial CYR"/>
                <w:sz w:val="16"/>
                <w:szCs w:val="16"/>
              </w:rPr>
            </w:pP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ноябрь</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143,42</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226,49</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361,15</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529,27</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627,98</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1037,26</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1776,68</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2220,11</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658,14</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1374,93</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rPr>
                <w:rFonts w:ascii="Arial CYR" w:hAnsi="Arial CYR" w:cs="Arial CYR"/>
                <w:sz w:val="16"/>
                <w:szCs w:val="16"/>
              </w:rPr>
            </w:pPr>
            <w:r w:rsidRPr="00812B34">
              <w:rPr>
                <w:rFonts w:ascii="Arial CYR" w:hAnsi="Arial CYR" w:cs="Arial CYR"/>
                <w:sz w:val="16"/>
                <w:szCs w:val="16"/>
              </w:rPr>
              <w:t> </w:t>
            </w:r>
          </w:p>
        </w:tc>
      </w:tr>
      <w:tr w:rsidR="00FC0C58" w:rsidRPr="00812B3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FC0C58" w:rsidRPr="00812B34" w:rsidRDefault="00FC0C58">
            <w:pPr>
              <w:rPr>
                <w:rFonts w:ascii="Arial CYR" w:hAnsi="Arial CYR" w:cs="Arial CYR"/>
                <w:sz w:val="16"/>
                <w:szCs w:val="16"/>
              </w:rPr>
            </w:pPr>
            <w:r w:rsidRPr="00812B34">
              <w:rPr>
                <w:rFonts w:ascii="Arial CYR" w:hAnsi="Arial CYR" w:cs="Arial CYR"/>
                <w:sz w:val="16"/>
                <w:szCs w:val="16"/>
              </w:rPr>
              <w:t>декабрь</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143,29</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260,05</w:t>
            </w:r>
          </w:p>
        </w:tc>
        <w:tc>
          <w:tcPr>
            <w:tcW w:w="706"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359,07</w:t>
            </w:r>
          </w:p>
        </w:tc>
        <w:tc>
          <w:tcPr>
            <w:tcW w:w="707"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567,25</w:t>
            </w:r>
          </w:p>
        </w:tc>
        <w:tc>
          <w:tcPr>
            <w:tcW w:w="720"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614,11</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1125,6</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1921,92</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2290,51</w:t>
            </w:r>
          </w:p>
        </w:tc>
        <w:tc>
          <w:tcPr>
            <w:tcW w:w="82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631,89</w:t>
            </w:r>
          </w:p>
        </w:tc>
        <w:tc>
          <w:tcPr>
            <w:tcW w:w="795" w:type="dxa"/>
            <w:tcBorders>
              <w:top w:val="nil"/>
              <w:left w:val="nil"/>
              <w:bottom w:val="single" w:sz="4" w:space="0" w:color="auto"/>
              <w:right w:val="single" w:sz="4" w:space="0" w:color="auto"/>
            </w:tcBorders>
            <w:shd w:val="clear" w:color="auto" w:fill="auto"/>
            <w:noWrap/>
            <w:vAlign w:val="bottom"/>
          </w:tcPr>
          <w:p w:rsidR="00FC0C58" w:rsidRPr="00812B34" w:rsidRDefault="00FC0C58">
            <w:pPr>
              <w:jc w:val="right"/>
              <w:rPr>
                <w:rFonts w:ascii="Arial CYR" w:hAnsi="Arial CYR" w:cs="Arial CYR"/>
                <w:sz w:val="16"/>
                <w:szCs w:val="16"/>
              </w:rPr>
            </w:pPr>
            <w:r w:rsidRPr="00812B34">
              <w:rPr>
                <w:rFonts w:ascii="Arial CYR" w:hAnsi="Arial CYR" w:cs="Arial CYR"/>
                <w:sz w:val="16"/>
                <w:szCs w:val="16"/>
              </w:rPr>
              <w:t>1444,61</w:t>
            </w:r>
          </w:p>
        </w:tc>
        <w:tc>
          <w:tcPr>
            <w:tcW w:w="795" w:type="dxa"/>
            <w:tcBorders>
              <w:top w:val="nil"/>
              <w:left w:val="nil"/>
              <w:bottom w:val="single" w:sz="4" w:space="0" w:color="auto"/>
              <w:right w:val="single" w:sz="4" w:space="0" w:color="auto"/>
            </w:tcBorders>
            <w:vAlign w:val="bottom"/>
          </w:tcPr>
          <w:p w:rsidR="00FC0C58" w:rsidRPr="00812B34" w:rsidRDefault="00FC0C58" w:rsidP="002210CC">
            <w:pPr>
              <w:rPr>
                <w:rFonts w:ascii="Arial CYR" w:hAnsi="Arial CYR" w:cs="Arial CYR"/>
                <w:sz w:val="16"/>
                <w:szCs w:val="16"/>
              </w:rPr>
            </w:pPr>
            <w:r w:rsidRPr="00812B34">
              <w:rPr>
                <w:rFonts w:ascii="Arial CYR" w:hAnsi="Arial CYR" w:cs="Arial CYR"/>
                <w:sz w:val="16"/>
                <w:szCs w:val="16"/>
              </w:rPr>
              <w:t> </w:t>
            </w:r>
          </w:p>
        </w:tc>
      </w:tr>
    </w:tbl>
    <w:p w:rsidR="00AE0A5F" w:rsidRPr="00AE0A5F" w:rsidRDefault="00AE0A5F" w:rsidP="00AE0A5F"/>
    <w:p w:rsidR="00AE0A5F" w:rsidRPr="00204724" w:rsidRDefault="00204724" w:rsidP="00204724">
      <w:pPr>
        <w:tabs>
          <w:tab w:val="left" w:pos="2715"/>
        </w:tabs>
        <w:rPr>
          <w:sz w:val="28"/>
          <w:szCs w:val="28"/>
        </w:rPr>
      </w:pPr>
      <w:r w:rsidRPr="00204724">
        <w:rPr>
          <w:sz w:val="28"/>
          <w:szCs w:val="28"/>
        </w:rPr>
        <w:t xml:space="preserve">Проанализируем графическое изображение индекса. Для этого воспользуемся пакетом </w:t>
      </w:r>
      <w:r w:rsidRPr="00204724">
        <w:rPr>
          <w:sz w:val="28"/>
          <w:szCs w:val="28"/>
          <w:lang w:val="en-US"/>
        </w:rPr>
        <w:t>Excel</w:t>
      </w:r>
      <w:r w:rsidRPr="00204724">
        <w:rPr>
          <w:sz w:val="28"/>
          <w:szCs w:val="28"/>
        </w:rPr>
        <w:t>.</w:t>
      </w:r>
    </w:p>
    <w:bookmarkStart w:id="0" w:name="_MON_1347899521"/>
    <w:bookmarkEnd w:id="0"/>
    <w:bookmarkStart w:id="1" w:name="_MON_1347899499"/>
    <w:bookmarkEnd w:id="1"/>
    <w:p w:rsidR="00DB45EE" w:rsidRDefault="00DB45EE" w:rsidP="00DB45EE">
      <w:pPr>
        <w:tabs>
          <w:tab w:val="left" w:pos="3795"/>
        </w:tabs>
        <w:jc w:val="center"/>
        <w:rPr>
          <w:b/>
        </w:rPr>
      </w:pPr>
      <w:r>
        <w:object w:dxaOrig="9405" w:dyaOrig="5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252pt" o:ole="">
            <v:imagedata r:id="rId7" o:title=""/>
          </v:shape>
          <o:OLEObject Type="Embed" ProgID="Excel.Sheet.8" ShapeID="_x0000_i1025" DrawAspect="Content" ObjectID="_1472234009" r:id="rId8">
            <o:FieldCodes>\s</o:FieldCodes>
          </o:OLEObject>
        </w:object>
      </w:r>
      <w:r w:rsidRPr="004246F7">
        <w:rPr>
          <w:b/>
        </w:rPr>
        <w:t xml:space="preserve"> </w:t>
      </w:r>
    </w:p>
    <w:p w:rsidR="00DB45EE" w:rsidRPr="00C137A3" w:rsidRDefault="00DB45EE" w:rsidP="00DB45EE">
      <w:pPr>
        <w:tabs>
          <w:tab w:val="left" w:pos="3795"/>
        </w:tabs>
        <w:jc w:val="center"/>
        <w:rPr>
          <w:sz w:val="28"/>
          <w:szCs w:val="28"/>
        </w:rPr>
      </w:pPr>
      <w:r w:rsidRPr="00C137A3">
        <w:rPr>
          <w:b/>
          <w:sz w:val="28"/>
          <w:szCs w:val="28"/>
        </w:rPr>
        <w:t>Рис.1</w:t>
      </w:r>
      <w:r w:rsidRPr="00C137A3">
        <w:rPr>
          <w:sz w:val="28"/>
          <w:szCs w:val="28"/>
        </w:rPr>
        <w:t xml:space="preserve"> Графическое изображение исходных данных</w:t>
      </w:r>
      <w:r w:rsidR="00C137A3">
        <w:rPr>
          <w:sz w:val="28"/>
          <w:szCs w:val="28"/>
        </w:rPr>
        <w:t xml:space="preserve"> (в пунктах).</w:t>
      </w:r>
    </w:p>
    <w:p w:rsidR="00FC0C58" w:rsidRDefault="00FC0C58" w:rsidP="00AE0A5F">
      <w:pPr>
        <w:tabs>
          <w:tab w:val="left" w:pos="2715"/>
        </w:tabs>
      </w:pPr>
    </w:p>
    <w:p w:rsidR="00DB45EE" w:rsidRPr="00BD0655" w:rsidRDefault="00DB45EE" w:rsidP="00BD0655">
      <w:pPr>
        <w:tabs>
          <w:tab w:val="left" w:pos="2715"/>
        </w:tabs>
        <w:spacing w:line="360" w:lineRule="auto"/>
        <w:rPr>
          <w:sz w:val="28"/>
          <w:szCs w:val="28"/>
        </w:rPr>
      </w:pPr>
      <w:r w:rsidRPr="00BD0655">
        <w:rPr>
          <w:sz w:val="28"/>
          <w:szCs w:val="28"/>
        </w:rPr>
        <w:t>Анализируя динамику индекса РТС за 10 лет можно выделить 4 периода.</w:t>
      </w:r>
    </w:p>
    <w:p w:rsidR="00DB45EE" w:rsidRPr="00BD0655" w:rsidRDefault="00DB45EE" w:rsidP="00BD0655">
      <w:pPr>
        <w:tabs>
          <w:tab w:val="left" w:pos="2715"/>
        </w:tabs>
        <w:spacing w:line="360" w:lineRule="auto"/>
        <w:rPr>
          <w:sz w:val="28"/>
          <w:szCs w:val="28"/>
        </w:rPr>
      </w:pPr>
      <w:r w:rsidRPr="00BD0655">
        <w:rPr>
          <w:sz w:val="28"/>
          <w:szCs w:val="28"/>
        </w:rPr>
        <w:t>Первый длится до середины 2005 года и характеризуется устойчивым равномерным ростом до уровня 706,38 в июне.</w:t>
      </w:r>
    </w:p>
    <w:p w:rsidR="00DB45EE" w:rsidRPr="00BD0655" w:rsidRDefault="00DB45EE" w:rsidP="00BD0655">
      <w:pPr>
        <w:tabs>
          <w:tab w:val="left" w:pos="2715"/>
        </w:tabs>
        <w:spacing w:line="360" w:lineRule="auto"/>
        <w:rPr>
          <w:sz w:val="28"/>
          <w:szCs w:val="28"/>
        </w:rPr>
      </w:pPr>
      <w:r w:rsidRPr="00BD0655">
        <w:rPr>
          <w:sz w:val="28"/>
          <w:szCs w:val="28"/>
        </w:rPr>
        <w:t xml:space="preserve">Второй начинается в июле скачком на 72 пункта до 778,93 в июле </w:t>
      </w:r>
      <w:r w:rsidR="002210CC" w:rsidRPr="00BD0655">
        <w:rPr>
          <w:sz w:val="28"/>
          <w:szCs w:val="28"/>
        </w:rPr>
        <w:t xml:space="preserve">2005 </w:t>
      </w:r>
      <w:r w:rsidRPr="00BD0655">
        <w:rPr>
          <w:sz w:val="28"/>
          <w:szCs w:val="28"/>
        </w:rPr>
        <w:t>и заканчивается в августе в июле 2008 года. Период включает максимальное значение за всю историю наблюдений 2459,88 пунктов в мае. Характеризуется стремительным темпом роста</w:t>
      </w:r>
      <w:r w:rsidR="000053B2" w:rsidRPr="00BD0655">
        <w:rPr>
          <w:sz w:val="28"/>
          <w:szCs w:val="28"/>
        </w:rPr>
        <w:t>. Общий прирост за перио</w:t>
      </w:r>
      <w:r w:rsidR="00FF4604" w:rsidRPr="00BD0655">
        <w:rPr>
          <w:sz w:val="28"/>
          <w:szCs w:val="28"/>
        </w:rPr>
        <w:t>д</w:t>
      </w:r>
      <w:r w:rsidR="000053B2" w:rsidRPr="00BD0655">
        <w:rPr>
          <w:sz w:val="28"/>
          <w:szCs w:val="28"/>
        </w:rPr>
        <w:t xml:space="preserve"> составил </w:t>
      </w:r>
      <w:r w:rsidR="00FF4604" w:rsidRPr="00BD0655">
        <w:rPr>
          <w:sz w:val="28"/>
          <w:szCs w:val="28"/>
        </w:rPr>
        <w:t>195,71%   (2303,34 / 778,93).</w:t>
      </w:r>
    </w:p>
    <w:p w:rsidR="00BD0655" w:rsidRPr="00BD0655" w:rsidRDefault="00FF4604" w:rsidP="00BD0655">
      <w:pPr>
        <w:tabs>
          <w:tab w:val="left" w:pos="2715"/>
        </w:tabs>
        <w:spacing w:line="360" w:lineRule="auto"/>
        <w:rPr>
          <w:sz w:val="28"/>
          <w:szCs w:val="28"/>
        </w:rPr>
      </w:pPr>
      <w:r w:rsidRPr="00BD0655">
        <w:rPr>
          <w:sz w:val="28"/>
          <w:szCs w:val="28"/>
        </w:rPr>
        <w:t xml:space="preserve">Третий характеризуется лавинообразным падением под влиянием мирового кризиса с августа 2008 до </w:t>
      </w:r>
      <w:r w:rsidR="00A4644D" w:rsidRPr="00BD0655">
        <w:rPr>
          <w:sz w:val="28"/>
          <w:szCs w:val="28"/>
        </w:rPr>
        <w:t>февраль</w:t>
      </w:r>
      <w:r w:rsidRPr="00BD0655">
        <w:rPr>
          <w:sz w:val="28"/>
          <w:szCs w:val="28"/>
        </w:rPr>
        <w:t xml:space="preserve"> 2009. Рынок «просел» в 3,61 раза</w:t>
      </w:r>
      <w:r w:rsidR="00A4644D" w:rsidRPr="00BD0655">
        <w:rPr>
          <w:sz w:val="28"/>
          <w:szCs w:val="28"/>
        </w:rPr>
        <w:t xml:space="preserve"> (1966,68/544,58)</w:t>
      </w:r>
      <w:r w:rsidRPr="00BD0655">
        <w:rPr>
          <w:sz w:val="28"/>
          <w:szCs w:val="28"/>
        </w:rPr>
        <w:t>.</w:t>
      </w:r>
    </w:p>
    <w:p w:rsidR="00A4644D" w:rsidRPr="00BD0655" w:rsidRDefault="00A4644D" w:rsidP="00BD0655">
      <w:pPr>
        <w:tabs>
          <w:tab w:val="left" w:pos="2715"/>
        </w:tabs>
        <w:spacing w:line="360" w:lineRule="auto"/>
        <w:rPr>
          <w:sz w:val="28"/>
          <w:szCs w:val="28"/>
        </w:rPr>
      </w:pPr>
      <w:r w:rsidRPr="00BD0655">
        <w:rPr>
          <w:sz w:val="28"/>
          <w:szCs w:val="28"/>
        </w:rPr>
        <w:t>Заключительный этап начинается с марта 2009 года и длится до сих пор. Характерен ростом значения индекса с 689,63 пунктов в марте до 1507,66 в сентябре, что составило 227,49% (1507,66/ 689,63)</w:t>
      </w:r>
      <w:r w:rsidR="00BD0655" w:rsidRPr="00BD0655">
        <w:rPr>
          <w:sz w:val="28"/>
          <w:szCs w:val="28"/>
        </w:rPr>
        <w:t>.</w:t>
      </w:r>
    </w:p>
    <w:p w:rsidR="00BD0655" w:rsidRDefault="00377ED6" w:rsidP="0003253A">
      <w:pPr>
        <w:tabs>
          <w:tab w:val="left" w:pos="2715"/>
        </w:tabs>
        <w:spacing w:line="360" w:lineRule="auto"/>
        <w:jc w:val="center"/>
        <w:rPr>
          <w:b/>
          <w:sz w:val="28"/>
          <w:szCs w:val="28"/>
        </w:rPr>
      </w:pPr>
      <w:r>
        <w:rPr>
          <w:b/>
          <w:sz w:val="28"/>
          <w:szCs w:val="28"/>
        </w:rPr>
        <w:t>2</w:t>
      </w:r>
      <w:r w:rsidR="00905D60">
        <w:rPr>
          <w:b/>
          <w:sz w:val="28"/>
          <w:szCs w:val="28"/>
        </w:rPr>
        <w:t>.2</w:t>
      </w:r>
      <w:r w:rsidR="00C137A3">
        <w:rPr>
          <w:b/>
          <w:sz w:val="28"/>
          <w:szCs w:val="28"/>
        </w:rPr>
        <w:t xml:space="preserve"> </w:t>
      </w:r>
      <w:r w:rsidR="0003253A" w:rsidRPr="0003253A">
        <w:rPr>
          <w:b/>
          <w:sz w:val="28"/>
          <w:szCs w:val="28"/>
        </w:rPr>
        <w:t>Анализ компонент, присутствующих в ряду.</w:t>
      </w:r>
    </w:p>
    <w:p w:rsidR="0003253A" w:rsidRPr="0003253A" w:rsidRDefault="0003253A" w:rsidP="0003253A">
      <w:pPr>
        <w:tabs>
          <w:tab w:val="left" w:pos="2715"/>
        </w:tabs>
        <w:spacing w:line="360" w:lineRule="auto"/>
        <w:rPr>
          <w:sz w:val="28"/>
          <w:szCs w:val="28"/>
        </w:rPr>
      </w:pPr>
      <w:r>
        <w:rPr>
          <w:sz w:val="28"/>
          <w:szCs w:val="28"/>
        </w:rPr>
        <w:t>Для выявления компонент временного ряда рассмотрим автокорреляционную функцию.</w:t>
      </w:r>
    </w:p>
    <w:p w:rsidR="00BD0655" w:rsidRPr="00BD0655" w:rsidRDefault="00BD0655" w:rsidP="00BD0655">
      <w:pPr>
        <w:tabs>
          <w:tab w:val="left" w:pos="2715"/>
        </w:tabs>
        <w:spacing w:line="360" w:lineRule="auto"/>
        <w:jc w:val="center"/>
        <w:rPr>
          <w:sz w:val="28"/>
          <w:szCs w:val="28"/>
          <w:lang w:val="en-US"/>
        </w:rPr>
      </w:pPr>
      <w:r>
        <w:object w:dxaOrig="8805" w:dyaOrig="6604">
          <v:shape id="_x0000_i1026" type="#_x0000_t75" style="width:440.25pt;height:330pt" o:ole="">
            <v:imagedata r:id="rId9" o:title=""/>
          </v:shape>
          <o:OLEObject Type="Embed" ProgID="STATISTICA.Graph" ShapeID="_x0000_i1026" DrawAspect="Content" ObjectID="_1472234010" r:id="rId10">
            <o:FieldCodes>\s</o:FieldCodes>
          </o:OLEObject>
        </w:object>
      </w:r>
    </w:p>
    <w:p w:rsidR="00BD0655" w:rsidRPr="00BD0655" w:rsidRDefault="00BD0655" w:rsidP="00BD0655">
      <w:pPr>
        <w:spacing w:line="360" w:lineRule="auto"/>
        <w:jc w:val="center"/>
        <w:rPr>
          <w:sz w:val="28"/>
          <w:szCs w:val="28"/>
        </w:rPr>
      </w:pPr>
      <w:r w:rsidRPr="00BD0655">
        <w:rPr>
          <w:b/>
          <w:sz w:val="28"/>
          <w:szCs w:val="28"/>
        </w:rPr>
        <w:t>Рис.2</w:t>
      </w:r>
      <w:r w:rsidRPr="00BD0655">
        <w:rPr>
          <w:sz w:val="28"/>
          <w:szCs w:val="28"/>
        </w:rPr>
        <w:t xml:space="preserve"> Графическое изображение автокорреляционной функции ряда</w:t>
      </w:r>
    </w:p>
    <w:p w:rsidR="00BD0655" w:rsidRPr="00BD0655" w:rsidRDefault="00BD0655" w:rsidP="00BD0655">
      <w:pPr>
        <w:spacing w:line="360" w:lineRule="auto"/>
        <w:rPr>
          <w:sz w:val="28"/>
          <w:szCs w:val="28"/>
        </w:rPr>
      </w:pPr>
    </w:p>
    <w:p w:rsidR="00BD0655" w:rsidRDefault="00BD0655" w:rsidP="00905D60">
      <w:pPr>
        <w:spacing w:line="360" w:lineRule="auto"/>
        <w:rPr>
          <w:sz w:val="28"/>
          <w:szCs w:val="28"/>
        </w:rPr>
      </w:pPr>
      <w:r w:rsidRPr="00BD0655">
        <w:rPr>
          <w:sz w:val="28"/>
          <w:szCs w:val="28"/>
        </w:rPr>
        <w:t xml:space="preserve">Из автокорреляционных функций видно, что в ряду присутствует ярко выраженная систематическая компонента. Функции очень равномерно и медленно затухают, значимые коэффициенты сохраняются до 30го лага. Выбросов  на лагах, кратных периоду сезонности, нет. Следовательно, </w:t>
      </w:r>
      <w:r w:rsidR="00586C95">
        <w:rPr>
          <w:sz w:val="28"/>
          <w:szCs w:val="28"/>
        </w:rPr>
        <w:t xml:space="preserve">ярко выраженная </w:t>
      </w:r>
      <w:r w:rsidR="00905D60">
        <w:rPr>
          <w:sz w:val="28"/>
          <w:szCs w:val="28"/>
        </w:rPr>
        <w:t xml:space="preserve">сезонная компонента отсутствует. </w:t>
      </w:r>
    </w:p>
    <w:p w:rsidR="00905D60" w:rsidRDefault="00905D60" w:rsidP="00905D60">
      <w:pPr>
        <w:spacing w:line="360" w:lineRule="auto"/>
        <w:rPr>
          <w:sz w:val="28"/>
          <w:szCs w:val="28"/>
        </w:rPr>
      </w:pPr>
    </w:p>
    <w:p w:rsidR="00905D60" w:rsidRPr="001E4C95" w:rsidRDefault="00377ED6" w:rsidP="00905D60">
      <w:pPr>
        <w:spacing w:line="360" w:lineRule="auto"/>
        <w:jc w:val="center"/>
        <w:rPr>
          <w:b/>
          <w:sz w:val="28"/>
          <w:szCs w:val="28"/>
        </w:rPr>
      </w:pPr>
      <w:r>
        <w:rPr>
          <w:b/>
          <w:sz w:val="28"/>
          <w:szCs w:val="28"/>
        </w:rPr>
        <w:t>2</w:t>
      </w:r>
      <w:r w:rsidR="00905D60">
        <w:rPr>
          <w:b/>
          <w:sz w:val="28"/>
          <w:szCs w:val="28"/>
        </w:rPr>
        <w:t xml:space="preserve">.3 </w:t>
      </w:r>
      <w:r w:rsidR="00905D60" w:rsidRPr="001E4C95">
        <w:rPr>
          <w:b/>
          <w:sz w:val="28"/>
          <w:szCs w:val="28"/>
        </w:rPr>
        <w:t>Проверка ряда на стационарность.</w:t>
      </w:r>
    </w:p>
    <w:p w:rsidR="00905D60" w:rsidRPr="001E4C95" w:rsidRDefault="00905D60" w:rsidP="00905D60">
      <w:pPr>
        <w:spacing w:line="360" w:lineRule="auto"/>
        <w:ind w:firstLine="708"/>
        <w:jc w:val="both"/>
        <w:rPr>
          <w:sz w:val="28"/>
          <w:szCs w:val="28"/>
        </w:rPr>
      </w:pPr>
      <w:r w:rsidRPr="001E4C95">
        <w:rPr>
          <w:sz w:val="28"/>
          <w:szCs w:val="28"/>
        </w:rPr>
        <w:t xml:space="preserve">Для того чтобы проверить является ли ряд стационарным, построим первые разности цен на квартиры </w:t>
      </w:r>
    </w:p>
    <w:p w:rsidR="00905D60" w:rsidRPr="001E4C95" w:rsidRDefault="00905D60" w:rsidP="00905D60">
      <w:pPr>
        <w:spacing w:line="360" w:lineRule="auto"/>
        <w:rPr>
          <w:sz w:val="28"/>
          <w:szCs w:val="28"/>
        </w:rPr>
      </w:pPr>
      <w:r w:rsidRPr="001E4C95">
        <w:rPr>
          <w:sz w:val="28"/>
          <w:szCs w:val="28"/>
        </w:rPr>
        <w:t xml:space="preserve"> Первые разности определяются по формуле </w:t>
      </w:r>
      <w:r w:rsidRPr="001E4C95">
        <w:rPr>
          <w:sz w:val="28"/>
          <w:szCs w:val="28"/>
        </w:rPr>
        <w:object w:dxaOrig="1540" w:dyaOrig="360">
          <v:shape id="_x0000_i1027" type="#_x0000_t75" style="width:77.25pt;height:18pt" o:ole="">
            <v:imagedata r:id="rId11" o:title=""/>
          </v:shape>
          <o:OLEObject Type="Embed" ProgID="Equation.DSMT4" ShapeID="_x0000_i1027" DrawAspect="Content" ObjectID="_1472234011" r:id="rId12"/>
        </w:object>
      </w:r>
      <w:r w:rsidRPr="001E4C95">
        <w:rPr>
          <w:sz w:val="28"/>
          <w:szCs w:val="28"/>
        </w:rPr>
        <w:t>.</w:t>
      </w:r>
    </w:p>
    <w:p w:rsidR="00905D60" w:rsidRPr="00101A7A" w:rsidRDefault="00905D60" w:rsidP="00905D60">
      <w:pPr>
        <w:jc w:val="center"/>
      </w:pPr>
      <w:r>
        <w:object w:dxaOrig="8137" w:dyaOrig="4234">
          <v:shape id="_x0000_i1028" type="#_x0000_t75" style="width:406.5pt;height:211.5pt" o:ole="">
            <v:imagedata r:id="rId13" o:title=""/>
          </v:shape>
          <o:OLEObject Type="Embed" ProgID="STATISTICA.Graph" ShapeID="_x0000_i1028" DrawAspect="Content" ObjectID="_1472234012" r:id="rId14">
            <o:FieldCodes>\s</o:FieldCodes>
          </o:OLEObject>
        </w:object>
      </w:r>
    </w:p>
    <w:p w:rsidR="00905D60" w:rsidRPr="00F54CA5" w:rsidRDefault="00905D60" w:rsidP="00905D60">
      <w:pPr>
        <w:tabs>
          <w:tab w:val="left" w:pos="2940"/>
        </w:tabs>
        <w:jc w:val="center"/>
      </w:pPr>
      <w:r w:rsidRPr="00C137A3">
        <w:rPr>
          <w:b/>
          <w:sz w:val="28"/>
          <w:szCs w:val="28"/>
        </w:rPr>
        <w:t>Рис. 3</w:t>
      </w:r>
      <w:r w:rsidRPr="00C137A3">
        <w:rPr>
          <w:sz w:val="28"/>
          <w:szCs w:val="28"/>
        </w:rPr>
        <w:t xml:space="preserve"> Графическое изображение ряда первых</w:t>
      </w:r>
      <w:r>
        <w:t xml:space="preserve"> </w:t>
      </w:r>
      <w:r w:rsidRPr="00C137A3">
        <w:rPr>
          <w:sz w:val="28"/>
          <w:szCs w:val="28"/>
        </w:rPr>
        <w:t>разностей</w:t>
      </w:r>
      <w:r>
        <w:object w:dxaOrig="8503" w:dyaOrig="5193">
          <v:shape id="_x0000_i1029" type="#_x0000_t75" style="width:425.25pt;height:259.5pt" o:ole="">
            <v:imagedata r:id="rId15" o:title=""/>
          </v:shape>
          <o:OLEObject Type="Embed" ProgID="STATISTICA.Graph" ShapeID="_x0000_i1029" DrawAspect="Content" ObjectID="_1472234013" r:id="rId16">
            <o:FieldCodes>\s</o:FieldCodes>
          </o:OLEObject>
        </w:object>
      </w:r>
    </w:p>
    <w:p w:rsidR="00905D60" w:rsidRPr="00C137A3" w:rsidRDefault="00905D60" w:rsidP="00905D60">
      <w:pPr>
        <w:jc w:val="center"/>
        <w:rPr>
          <w:sz w:val="28"/>
          <w:szCs w:val="28"/>
        </w:rPr>
      </w:pPr>
      <w:r w:rsidRPr="00C137A3">
        <w:rPr>
          <w:b/>
          <w:sz w:val="28"/>
          <w:szCs w:val="28"/>
        </w:rPr>
        <w:t>Рис. 4</w:t>
      </w:r>
      <w:r w:rsidRPr="00C137A3">
        <w:rPr>
          <w:sz w:val="28"/>
          <w:szCs w:val="28"/>
        </w:rPr>
        <w:t xml:space="preserve"> Автокорреляционная функция первых разностей</w:t>
      </w:r>
    </w:p>
    <w:p w:rsidR="00905D60" w:rsidRDefault="00905D60" w:rsidP="00905D60"/>
    <w:p w:rsidR="00905D60" w:rsidRPr="006B705C" w:rsidRDefault="00992E4F" w:rsidP="00905D60">
      <w:pPr>
        <w:jc w:val="center"/>
        <w:rPr>
          <w:lang w:val="en-US"/>
        </w:rPr>
      </w:pPr>
      <w:r>
        <w:pict>
          <v:shape id="_x0000_i1030" type="#_x0000_t75" style="width:347.25pt;height:258.75pt">
            <v:imagedata r:id="rId17" o:title=""/>
          </v:shape>
        </w:pict>
      </w:r>
    </w:p>
    <w:p w:rsidR="00905D60" w:rsidRPr="00C137A3" w:rsidRDefault="00905D60" w:rsidP="00905D60">
      <w:pPr>
        <w:tabs>
          <w:tab w:val="left" w:pos="3990"/>
        </w:tabs>
        <w:jc w:val="center"/>
        <w:rPr>
          <w:sz w:val="28"/>
          <w:szCs w:val="28"/>
        </w:rPr>
      </w:pPr>
      <w:r w:rsidRPr="00C137A3">
        <w:rPr>
          <w:b/>
          <w:sz w:val="28"/>
          <w:szCs w:val="28"/>
        </w:rPr>
        <w:t>Рис. 5</w:t>
      </w:r>
      <w:r w:rsidRPr="00C137A3">
        <w:rPr>
          <w:sz w:val="28"/>
          <w:szCs w:val="28"/>
        </w:rPr>
        <w:t xml:space="preserve"> Автокорреляционная функция сезонных разностей</w:t>
      </w:r>
    </w:p>
    <w:p w:rsidR="00905D60" w:rsidRPr="000813AF" w:rsidRDefault="00905D60" w:rsidP="00905D60">
      <w:pPr>
        <w:tabs>
          <w:tab w:val="left" w:pos="3990"/>
        </w:tabs>
        <w:jc w:val="center"/>
      </w:pPr>
    </w:p>
    <w:p w:rsidR="00905D60" w:rsidRDefault="00905D60" w:rsidP="00905D60">
      <w:pPr>
        <w:spacing w:line="360" w:lineRule="auto"/>
        <w:rPr>
          <w:sz w:val="28"/>
          <w:szCs w:val="28"/>
        </w:rPr>
      </w:pPr>
      <w:r w:rsidRPr="00A71D5B">
        <w:rPr>
          <w:sz w:val="28"/>
          <w:szCs w:val="28"/>
        </w:rPr>
        <w:t xml:space="preserve">Временной ряд нельзя назвать стационарным, так как имеются значимые коэффициенты автокорреляционной функции. Из графиков автокорреляционных функций сезонных и первых разностей видно, что сезонная компонента устранена не полностью. В автокорреляционной функции первых разностей </w:t>
      </w:r>
      <w:r>
        <w:rPr>
          <w:sz w:val="28"/>
          <w:szCs w:val="28"/>
        </w:rPr>
        <w:t>индекса</w:t>
      </w:r>
      <w:r w:rsidRPr="00A71D5B">
        <w:rPr>
          <w:sz w:val="28"/>
          <w:szCs w:val="28"/>
        </w:rPr>
        <w:t xml:space="preserve"> сохранились значимые выбросы, кратные периоду сезонности, а в функции сезонных разностей коэффициенты остались значимыми до 20 лага, что свидетельствует о том, что функция </w:t>
      </w:r>
      <w:r>
        <w:rPr>
          <w:sz w:val="28"/>
          <w:szCs w:val="28"/>
        </w:rPr>
        <w:t>индекса РТС</w:t>
      </w:r>
      <w:r w:rsidRPr="00A71D5B">
        <w:rPr>
          <w:sz w:val="28"/>
          <w:szCs w:val="28"/>
        </w:rPr>
        <w:t xml:space="preserve"> нелинейная и для приведения динамического ряда к стационарному виду необходимо подобрать другую функцию.</w:t>
      </w:r>
    </w:p>
    <w:p w:rsidR="00905D60" w:rsidRPr="001E4C95" w:rsidRDefault="00377ED6" w:rsidP="00905D60">
      <w:pPr>
        <w:spacing w:line="360" w:lineRule="auto"/>
        <w:jc w:val="center"/>
        <w:rPr>
          <w:b/>
          <w:sz w:val="28"/>
          <w:szCs w:val="28"/>
        </w:rPr>
      </w:pPr>
      <w:r>
        <w:rPr>
          <w:b/>
          <w:sz w:val="28"/>
          <w:szCs w:val="28"/>
        </w:rPr>
        <w:t>2</w:t>
      </w:r>
      <w:r w:rsidR="00711EFC">
        <w:rPr>
          <w:b/>
          <w:sz w:val="28"/>
          <w:szCs w:val="28"/>
        </w:rPr>
        <w:t>.4</w:t>
      </w:r>
      <w:r w:rsidR="00905D60">
        <w:rPr>
          <w:b/>
          <w:sz w:val="28"/>
          <w:szCs w:val="28"/>
        </w:rPr>
        <w:t xml:space="preserve"> </w:t>
      </w:r>
      <w:r w:rsidR="00905D60" w:rsidRPr="001E4C95">
        <w:rPr>
          <w:b/>
          <w:sz w:val="28"/>
          <w:szCs w:val="28"/>
        </w:rPr>
        <w:t>Выявление общей тенденции</w:t>
      </w:r>
      <w:r w:rsidR="00905D60">
        <w:rPr>
          <w:b/>
          <w:sz w:val="28"/>
          <w:szCs w:val="28"/>
        </w:rPr>
        <w:t xml:space="preserve"> индекса РТС.</w:t>
      </w:r>
    </w:p>
    <w:p w:rsidR="00905D60" w:rsidRDefault="00905D60" w:rsidP="00905D60">
      <w:pPr>
        <w:spacing w:line="360" w:lineRule="auto"/>
        <w:rPr>
          <w:sz w:val="28"/>
          <w:szCs w:val="28"/>
        </w:rPr>
      </w:pPr>
      <w:r w:rsidRPr="00A71D5B">
        <w:rPr>
          <w:sz w:val="28"/>
          <w:szCs w:val="28"/>
        </w:rPr>
        <w:t xml:space="preserve">Для выявления общей тенденции временного ряда воспользуемся </w:t>
      </w:r>
      <w:r w:rsidRPr="00A71D5B">
        <w:rPr>
          <w:b/>
          <w:sz w:val="28"/>
          <w:szCs w:val="28"/>
        </w:rPr>
        <w:t>методом скользящих средних.</w:t>
      </w:r>
      <w:r>
        <w:rPr>
          <w:sz w:val="28"/>
          <w:szCs w:val="28"/>
        </w:rPr>
        <w:t xml:space="preserve"> </w:t>
      </w:r>
      <w:r w:rsidRPr="00A71D5B">
        <w:rPr>
          <w:sz w:val="28"/>
          <w:szCs w:val="28"/>
        </w:rPr>
        <w:t xml:space="preserve">Рассмотрим простые скользящие средние. При их расчете средняя относится к середине периода сглаживания. Основным достоинством простой скользящей средней является то, что динамический ряд скользящих средних гораздо более плавный, чем исходный ряд, поэтому при корректном выборе периода сглаживания скользящее среднее лучше отражает закономерности. Так как ряд </w:t>
      </w:r>
      <w:r>
        <w:rPr>
          <w:sz w:val="28"/>
          <w:szCs w:val="28"/>
        </w:rPr>
        <w:t>не</w:t>
      </w:r>
      <w:r w:rsidRPr="00A71D5B">
        <w:rPr>
          <w:sz w:val="28"/>
          <w:szCs w:val="28"/>
        </w:rPr>
        <w:t xml:space="preserve"> имеет плавную тенденцию, можно в</w:t>
      </w:r>
      <w:r>
        <w:rPr>
          <w:sz w:val="28"/>
          <w:szCs w:val="28"/>
        </w:rPr>
        <w:t xml:space="preserve">зять период сглаживания равным 7 </w:t>
      </w:r>
      <w:r w:rsidRPr="00A71D5B">
        <w:rPr>
          <w:sz w:val="28"/>
          <w:szCs w:val="28"/>
        </w:rPr>
        <w:t>месяцам.</w:t>
      </w:r>
    </w:p>
    <w:p w:rsidR="00905D60" w:rsidRDefault="00905D60" w:rsidP="00905D60">
      <w:pPr>
        <w:spacing w:line="360" w:lineRule="auto"/>
        <w:rPr>
          <w:sz w:val="28"/>
          <w:szCs w:val="28"/>
        </w:rPr>
      </w:pPr>
      <w:r>
        <w:object w:dxaOrig="9285" w:dyaOrig="5880">
          <v:shape id="_x0000_i1031" type="#_x0000_t75" style="width:464.25pt;height:294pt" o:ole="">
            <v:imagedata r:id="rId18" o:title=""/>
          </v:shape>
          <o:OLEObject Type="Embed" ProgID="Excel.Sheet.8" ShapeID="_x0000_i1031" DrawAspect="Content" ObjectID="_1472234014" r:id="rId19">
            <o:FieldCodes>\s</o:FieldCodes>
          </o:OLEObject>
        </w:object>
      </w:r>
    </w:p>
    <w:p w:rsidR="00905D60" w:rsidRPr="00C137A3" w:rsidRDefault="00905D60" w:rsidP="00905D60">
      <w:pPr>
        <w:spacing w:line="360" w:lineRule="auto"/>
        <w:jc w:val="center"/>
        <w:rPr>
          <w:sz w:val="28"/>
          <w:szCs w:val="28"/>
        </w:rPr>
      </w:pPr>
      <w:r w:rsidRPr="00C137A3">
        <w:rPr>
          <w:b/>
          <w:sz w:val="28"/>
          <w:szCs w:val="28"/>
        </w:rPr>
        <w:t>Рис.4</w:t>
      </w:r>
      <w:r w:rsidRPr="00C137A3">
        <w:rPr>
          <w:sz w:val="28"/>
          <w:szCs w:val="28"/>
        </w:rPr>
        <w:t>. Пятимесячная скользящая средняя</w:t>
      </w:r>
    </w:p>
    <w:p w:rsidR="00905D60" w:rsidRPr="00C137A3" w:rsidRDefault="00905D60" w:rsidP="00905D60">
      <w:pPr>
        <w:spacing w:line="360" w:lineRule="auto"/>
        <w:ind w:firstLine="708"/>
        <w:jc w:val="center"/>
        <w:rPr>
          <w:sz w:val="28"/>
          <w:szCs w:val="28"/>
        </w:rPr>
      </w:pPr>
    </w:p>
    <w:p w:rsidR="00905D60" w:rsidRPr="00C137A3" w:rsidRDefault="00905D60" w:rsidP="00905D60">
      <w:pPr>
        <w:spacing w:line="360" w:lineRule="auto"/>
        <w:ind w:firstLine="708"/>
        <w:jc w:val="both"/>
        <w:rPr>
          <w:sz w:val="28"/>
          <w:szCs w:val="28"/>
        </w:rPr>
      </w:pPr>
      <w:r>
        <w:rPr>
          <w:sz w:val="28"/>
          <w:szCs w:val="28"/>
        </w:rPr>
        <w:t>По графику скользящей средней</w:t>
      </w:r>
      <w:r w:rsidRPr="00C137A3">
        <w:rPr>
          <w:sz w:val="28"/>
          <w:szCs w:val="28"/>
        </w:rPr>
        <w:t xml:space="preserve"> можно сделать вывод о том, что ряд принял более плавный характер. Так сгладились незначительные колебания индекса в марте 2004 года, марте 2006, а также колебания  2 половины  2007 года и скачок в </w:t>
      </w:r>
      <w:r>
        <w:rPr>
          <w:sz w:val="28"/>
          <w:szCs w:val="28"/>
        </w:rPr>
        <w:t>июн</w:t>
      </w:r>
      <w:r w:rsidRPr="00C137A3">
        <w:rPr>
          <w:sz w:val="28"/>
          <w:szCs w:val="28"/>
        </w:rPr>
        <w:t>е 2008. Тенденция приняла более плавный характер. Таким образом, в тенденции временного ряда можно выделить четыре основных периода: 1) март 2000 – лето 2005 – плавный равномерный рост индекса; 2) июль 2005 – сентябрь 2008 – резкий рост индекса до уровня 2459,88  (максимум); 3) сентябрь 2008 – январь 2009 – период падения индекса под влиянием кризиса; 4) февраль 2009 – сентябрь 2009 – период резкого роста индекса  с наименьшего значения в январе-535,04 до августовского 1421,21</w:t>
      </w:r>
    </w:p>
    <w:p w:rsidR="00905D60" w:rsidRPr="00A71D5B" w:rsidRDefault="00905D60" w:rsidP="00905D60">
      <w:pPr>
        <w:tabs>
          <w:tab w:val="left" w:pos="4065"/>
        </w:tabs>
      </w:pPr>
    </w:p>
    <w:p w:rsidR="00905D60" w:rsidRPr="00C137A3" w:rsidRDefault="00905D60" w:rsidP="00905D60"/>
    <w:p w:rsidR="00905D60" w:rsidRPr="00C137A3" w:rsidRDefault="00905D60" w:rsidP="00905D60">
      <w:pPr>
        <w:sectPr w:rsidR="00905D60" w:rsidRPr="00C137A3">
          <w:pgSz w:w="11906" w:h="16838"/>
          <w:pgMar w:top="1134" w:right="850" w:bottom="1134" w:left="1701" w:header="708" w:footer="708" w:gutter="0"/>
          <w:cols w:space="708"/>
          <w:docGrid w:linePitch="360"/>
        </w:sectPr>
      </w:pPr>
    </w:p>
    <w:p w:rsidR="00905D60" w:rsidRDefault="00905D60" w:rsidP="00905D60">
      <w:pPr>
        <w:tabs>
          <w:tab w:val="left" w:pos="3990"/>
        </w:tabs>
      </w:pPr>
    </w:p>
    <w:p w:rsidR="00905D60" w:rsidRPr="00C137A3" w:rsidRDefault="00711EFC" w:rsidP="00377ED6">
      <w:pPr>
        <w:numPr>
          <w:ilvl w:val="1"/>
          <w:numId w:val="11"/>
        </w:numPr>
        <w:spacing w:line="360" w:lineRule="auto"/>
        <w:jc w:val="center"/>
        <w:rPr>
          <w:b/>
          <w:sz w:val="28"/>
          <w:szCs w:val="28"/>
        </w:rPr>
      </w:pPr>
      <w:r>
        <w:rPr>
          <w:b/>
          <w:sz w:val="28"/>
          <w:szCs w:val="28"/>
        </w:rPr>
        <w:t xml:space="preserve"> </w:t>
      </w:r>
      <w:r w:rsidR="00905D60" w:rsidRPr="00C137A3">
        <w:rPr>
          <w:b/>
          <w:sz w:val="28"/>
          <w:szCs w:val="28"/>
        </w:rPr>
        <w:t>Построение модели тенденции</w:t>
      </w:r>
      <w:r w:rsidR="00905D60">
        <w:rPr>
          <w:b/>
          <w:sz w:val="28"/>
          <w:szCs w:val="28"/>
        </w:rPr>
        <w:t xml:space="preserve"> и прогнозирование.</w:t>
      </w:r>
    </w:p>
    <w:p w:rsidR="00905D60" w:rsidRPr="00C137A3" w:rsidRDefault="00905D60" w:rsidP="00905D60">
      <w:pPr>
        <w:tabs>
          <w:tab w:val="left" w:pos="3990"/>
        </w:tabs>
        <w:spacing w:line="360" w:lineRule="auto"/>
        <w:rPr>
          <w:sz w:val="28"/>
          <w:szCs w:val="28"/>
        </w:rPr>
      </w:pPr>
      <w:r w:rsidRPr="00C137A3">
        <w:rPr>
          <w:sz w:val="28"/>
          <w:szCs w:val="28"/>
        </w:rPr>
        <w:t>Рассмотрев все возможные функции, был сделан вывод, что наиболее точно отражает характер тенденции временного ряда экспоненциальная функция</w:t>
      </w:r>
    </w:p>
    <w:p w:rsidR="00905D60" w:rsidRPr="003C64AC" w:rsidRDefault="00905D60" w:rsidP="00711EFC">
      <w:pPr>
        <w:tabs>
          <w:tab w:val="left" w:pos="3990"/>
        </w:tabs>
        <w:jc w:val="center"/>
        <w:rPr>
          <w:lang w:val="en-US"/>
        </w:rPr>
      </w:pPr>
      <w:r>
        <w:object w:dxaOrig="8805" w:dyaOrig="6604">
          <v:shape id="_x0000_i1032" type="#_x0000_t75" style="width:440.25pt;height:330pt" o:ole="">
            <v:imagedata r:id="rId20" o:title=""/>
          </v:shape>
          <o:OLEObject Type="Embed" ProgID="STATISTICA.Graph" ShapeID="_x0000_i1032" DrawAspect="Content" ObjectID="_1472234015" r:id="rId21">
            <o:FieldCodes>\s</o:FieldCodes>
          </o:OLEObject>
        </w:object>
      </w:r>
    </w:p>
    <w:p w:rsidR="00905D60" w:rsidRPr="00C137A3" w:rsidRDefault="00905D60" w:rsidP="00905D60">
      <w:pPr>
        <w:jc w:val="center"/>
        <w:rPr>
          <w:sz w:val="28"/>
          <w:szCs w:val="28"/>
        </w:rPr>
      </w:pPr>
      <w:r w:rsidRPr="00C137A3">
        <w:rPr>
          <w:b/>
          <w:sz w:val="28"/>
          <w:szCs w:val="28"/>
        </w:rPr>
        <w:t>Рис. 5.</w:t>
      </w:r>
      <w:r w:rsidRPr="00C137A3">
        <w:rPr>
          <w:sz w:val="28"/>
          <w:szCs w:val="28"/>
        </w:rPr>
        <w:t xml:space="preserve"> Экспоненциальная функция индекса РТС</w:t>
      </w:r>
    </w:p>
    <w:p w:rsidR="00905D60" w:rsidRPr="00C137A3" w:rsidRDefault="00905D60" w:rsidP="00905D60">
      <w:pPr>
        <w:tabs>
          <w:tab w:val="left" w:pos="3795"/>
        </w:tabs>
        <w:jc w:val="right"/>
        <w:rPr>
          <w:sz w:val="28"/>
          <w:szCs w:val="28"/>
        </w:rPr>
      </w:pPr>
      <w:r>
        <w:rPr>
          <w:sz w:val="28"/>
          <w:szCs w:val="28"/>
        </w:rPr>
        <w:t>Таблица 2</w:t>
      </w:r>
    </w:p>
    <w:p w:rsidR="00905D60" w:rsidRPr="00C137A3" w:rsidRDefault="00905D60" w:rsidP="00905D60">
      <w:pPr>
        <w:jc w:val="center"/>
        <w:rPr>
          <w:sz w:val="28"/>
          <w:szCs w:val="28"/>
        </w:rPr>
      </w:pPr>
      <w:r w:rsidRPr="00C137A3">
        <w:rPr>
          <w:sz w:val="28"/>
          <w:szCs w:val="28"/>
        </w:rPr>
        <w:t>Ошибки модели.</w:t>
      </w:r>
    </w:p>
    <w:tbl>
      <w:tblPr>
        <w:tblW w:w="9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476"/>
        <w:gridCol w:w="1634"/>
        <w:gridCol w:w="1701"/>
        <w:gridCol w:w="1276"/>
        <w:gridCol w:w="1352"/>
      </w:tblGrid>
      <w:tr w:rsidR="00905D60">
        <w:trPr>
          <w:jc w:val="center"/>
        </w:trPr>
        <w:tc>
          <w:tcPr>
            <w:tcW w:w="1985" w:type="dxa"/>
          </w:tcPr>
          <w:p w:rsidR="00905D60" w:rsidRPr="001C616A" w:rsidRDefault="00905D60" w:rsidP="00905D60">
            <w:pPr>
              <w:jc w:val="center"/>
              <w:rPr>
                <w:b/>
                <w:sz w:val="20"/>
                <w:szCs w:val="20"/>
              </w:rPr>
            </w:pPr>
            <w:r w:rsidRPr="00C137A3">
              <w:rPr>
                <w:b/>
                <w:sz w:val="20"/>
                <w:szCs w:val="20"/>
              </w:rPr>
              <w:t>Показатель</w:t>
            </w:r>
          </w:p>
        </w:tc>
        <w:tc>
          <w:tcPr>
            <w:tcW w:w="1476" w:type="dxa"/>
          </w:tcPr>
          <w:p w:rsidR="00905D60" w:rsidRPr="001E5DA8" w:rsidRDefault="00905D60" w:rsidP="00905D60">
            <w:pPr>
              <w:jc w:val="both"/>
              <w:rPr>
                <w:b/>
                <w:sz w:val="20"/>
                <w:szCs w:val="20"/>
              </w:rPr>
            </w:pPr>
            <w:r w:rsidRPr="004C5978">
              <w:rPr>
                <w:b/>
                <w:sz w:val="20"/>
                <w:szCs w:val="20"/>
                <w:lang w:val="en-US"/>
              </w:rPr>
              <w:t>SE</w:t>
            </w:r>
          </w:p>
        </w:tc>
        <w:tc>
          <w:tcPr>
            <w:tcW w:w="1634" w:type="dxa"/>
          </w:tcPr>
          <w:p w:rsidR="00905D60" w:rsidRPr="001E5DA8" w:rsidRDefault="00905D60" w:rsidP="00905D60">
            <w:pPr>
              <w:jc w:val="center"/>
              <w:rPr>
                <w:b/>
                <w:sz w:val="20"/>
                <w:szCs w:val="20"/>
              </w:rPr>
            </w:pPr>
            <w:r w:rsidRPr="004C5978">
              <w:rPr>
                <w:b/>
                <w:sz w:val="20"/>
                <w:szCs w:val="20"/>
              </w:rPr>
              <w:t xml:space="preserve"> </w:t>
            </w:r>
            <w:r w:rsidRPr="004C5978">
              <w:rPr>
                <w:b/>
                <w:sz w:val="20"/>
                <w:szCs w:val="20"/>
                <w:lang w:val="en-US"/>
              </w:rPr>
              <w:t>MAD</w:t>
            </w:r>
          </w:p>
        </w:tc>
        <w:tc>
          <w:tcPr>
            <w:tcW w:w="1701" w:type="dxa"/>
          </w:tcPr>
          <w:p w:rsidR="00905D60" w:rsidRPr="004C5978" w:rsidRDefault="00905D60" w:rsidP="00905D60">
            <w:pPr>
              <w:jc w:val="center"/>
              <w:rPr>
                <w:b/>
                <w:sz w:val="20"/>
                <w:szCs w:val="20"/>
              </w:rPr>
            </w:pPr>
            <w:r>
              <w:rPr>
                <w:b/>
                <w:sz w:val="20"/>
                <w:szCs w:val="20"/>
              </w:rPr>
              <w:t xml:space="preserve"> </w:t>
            </w:r>
            <w:r w:rsidRPr="004C5978">
              <w:rPr>
                <w:b/>
                <w:sz w:val="20"/>
                <w:szCs w:val="20"/>
                <w:lang w:val="en-US"/>
              </w:rPr>
              <w:t>MSE</w:t>
            </w:r>
          </w:p>
        </w:tc>
        <w:tc>
          <w:tcPr>
            <w:tcW w:w="1276" w:type="dxa"/>
          </w:tcPr>
          <w:p w:rsidR="00905D60" w:rsidRPr="004C5978" w:rsidRDefault="00905D60" w:rsidP="00905D60">
            <w:pPr>
              <w:jc w:val="center"/>
              <w:rPr>
                <w:b/>
                <w:sz w:val="20"/>
                <w:szCs w:val="20"/>
              </w:rPr>
            </w:pPr>
            <w:r w:rsidRPr="004C5978">
              <w:rPr>
                <w:b/>
                <w:sz w:val="20"/>
                <w:szCs w:val="20"/>
                <w:lang w:val="en-US"/>
              </w:rPr>
              <w:t>MAPE</w:t>
            </w:r>
          </w:p>
        </w:tc>
        <w:tc>
          <w:tcPr>
            <w:tcW w:w="1352" w:type="dxa"/>
          </w:tcPr>
          <w:p w:rsidR="00905D60" w:rsidRPr="00977A56" w:rsidRDefault="00905D60" w:rsidP="00905D60">
            <w:pPr>
              <w:jc w:val="center"/>
              <w:rPr>
                <w:b/>
                <w:sz w:val="20"/>
                <w:szCs w:val="20"/>
              </w:rPr>
            </w:pPr>
            <w:r w:rsidRPr="004C5978">
              <w:rPr>
                <w:b/>
                <w:sz w:val="20"/>
                <w:szCs w:val="20"/>
                <w:lang w:val="en-US"/>
              </w:rPr>
              <w:t>MPE</w:t>
            </w:r>
          </w:p>
        </w:tc>
      </w:tr>
      <w:tr w:rsidR="00905D60">
        <w:trPr>
          <w:jc w:val="center"/>
        </w:trPr>
        <w:tc>
          <w:tcPr>
            <w:tcW w:w="1985" w:type="dxa"/>
          </w:tcPr>
          <w:p w:rsidR="00905D60" w:rsidRPr="006577B7" w:rsidRDefault="00905D60" w:rsidP="00905D60">
            <w:pPr>
              <w:jc w:val="center"/>
              <w:rPr>
                <w:sz w:val="20"/>
                <w:szCs w:val="20"/>
              </w:rPr>
            </w:pPr>
            <w:r>
              <w:rPr>
                <w:sz w:val="20"/>
                <w:szCs w:val="20"/>
              </w:rPr>
              <w:t>Индекс РТС</w:t>
            </w:r>
          </w:p>
        </w:tc>
        <w:tc>
          <w:tcPr>
            <w:tcW w:w="14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524,31</w:t>
            </w:r>
          </w:p>
        </w:tc>
        <w:tc>
          <w:tcPr>
            <w:tcW w:w="1634"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370,31</w:t>
            </w:r>
          </w:p>
        </w:tc>
        <w:tc>
          <w:tcPr>
            <w:tcW w:w="1701"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270678,5</w:t>
            </w:r>
          </w:p>
        </w:tc>
        <w:tc>
          <w:tcPr>
            <w:tcW w:w="12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0,35</w:t>
            </w:r>
          </w:p>
        </w:tc>
        <w:tc>
          <w:tcPr>
            <w:tcW w:w="1352"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0,358</w:t>
            </w:r>
          </w:p>
        </w:tc>
      </w:tr>
    </w:tbl>
    <w:p w:rsidR="00905D60" w:rsidRDefault="00905D60" w:rsidP="00905D60">
      <w:pPr>
        <w:ind w:firstLine="709"/>
        <w:rPr>
          <w:sz w:val="28"/>
          <w:szCs w:val="28"/>
        </w:rPr>
      </w:pPr>
    </w:p>
    <w:p w:rsidR="00905D60" w:rsidRPr="00BB52C5" w:rsidRDefault="00905D60" w:rsidP="00905D60">
      <w:pPr>
        <w:spacing w:line="360" w:lineRule="auto"/>
        <w:ind w:firstLine="709"/>
        <w:rPr>
          <w:sz w:val="28"/>
          <w:szCs w:val="28"/>
        </w:rPr>
      </w:pPr>
      <w:r w:rsidRPr="00BB52C5">
        <w:rPr>
          <w:sz w:val="28"/>
          <w:szCs w:val="28"/>
        </w:rPr>
        <w:t xml:space="preserve">Для прогноза на </w:t>
      </w:r>
      <w:r w:rsidRPr="00BB52C5">
        <w:rPr>
          <w:sz w:val="28"/>
          <w:szCs w:val="28"/>
          <w:lang w:val="en-US"/>
        </w:rPr>
        <w:t>t</w:t>
      </w:r>
      <w:r w:rsidRPr="00BB52C5">
        <w:rPr>
          <w:sz w:val="28"/>
          <w:szCs w:val="28"/>
        </w:rPr>
        <w:t xml:space="preserve"> шагов вперед (в нашем случае на 1 шаг) необходимо задать значения переменных </w:t>
      </w:r>
      <w:r w:rsidRPr="00BB52C5">
        <w:rPr>
          <w:position w:val="-12"/>
          <w:sz w:val="28"/>
          <w:szCs w:val="28"/>
        </w:rPr>
        <w:object w:dxaOrig="480" w:dyaOrig="360">
          <v:shape id="_x0000_i1033" type="#_x0000_t75" style="width:33pt;height:24.75pt" o:ole="">
            <v:imagedata r:id="rId22" o:title=""/>
          </v:shape>
          <o:OLEObject Type="Embed" ProgID="Equation.DSMT4" ShapeID="_x0000_i1033" DrawAspect="Content" ObjectID="_1472234016" r:id="rId23"/>
        </w:object>
      </w:r>
      <w:r w:rsidRPr="00BB52C5">
        <w:rPr>
          <w:sz w:val="28"/>
          <w:szCs w:val="28"/>
        </w:rPr>
        <w:t xml:space="preserve"> Поскольку у нас нет данных о будущих значениях индекса РСТ, то получим их путем прогноза </w:t>
      </w:r>
    </w:p>
    <w:p w:rsidR="00905D60" w:rsidRPr="00BB52C5" w:rsidRDefault="00905D60" w:rsidP="00905D60">
      <w:pPr>
        <w:spacing w:line="360" w:lineRule="auto"/>
        <w:rPr>
          <w:sz w:val="28"/>
          <w:szCs w:val="28"/>
        </w:rPr>
      </w:pPr>
      <w:r w:rsidRPr="00BB52C5">
        <w:rPr>
          <w:sz w:val="28"/>
          <w:szCs w:val="28"/>
        </w:rPr>
        <w:t xml:space="preserve">Значение  </w:t>
      </w:r>
      <w:r w:rsidRPr="00BB52C5">
        <w:rPr>
          <w:rFonts w:ascii="Arial CYR" w:hAnsi="Arial CYR" w:cs="Arial CYR"/>
          <w:color w:val="000000"/>
          <w:kern w:val="1"/>
          <w:sz w:val="28"/>
          <w:szCs w:val="28"/>
        </w:rPr>
        <w:t>= 196,83*exp(0,02*t)</w:t>
      </w:r>
    </w:p>
    <w:p w:rsidR="00905D60" w:rsidRPr="00BB52C5" w:rsidRDefault="00905D60" w:rsidP="00905D60">
      <w:pPr>
        <w:tabs>
          <w:tab w:val="left" w:pos="1660"/>
        </w:tabs>
        <w:spacing w:line="360" w:lineRule="auto"/>
        <w:rPr>
          <w:sz w:val="28"/>
          <w:szCs w:val="28"/>
        </w:rPr>
      </w:pPr>
      <w:r w:rsidRPr="00BB52C5">
        <w:rPr>
          <w:sz w:val="28"/>
          <w:szCs w:val="28"/>
        </w:rPr>
        <w:t>Находим прогноз будущих значений индекса РТС</w:t>
      </w:r>
    </w:p>
    <w:p w:rsidR="00905D60" w:rsidRPr="00BB52C5" w:rsidRDefault="00905D60" w:rsidP="00905D60">
      <w:pPr>
        <w:tabs>
          <w:tab w:val="left" w:pos="1660"/>
        </w:tabs>
        <w:spacing w:line="360" w:lineRule="auto"/>
        <w:rPr>
          <w:sz w:val="28"/>
          <w:szCs w:val="28"/>
        </w:rPr>
      </w:pPr>
      <w:r w:rsidRPr="00BB52C5">
        <w:rPr>
          <w:sz w:val="28"/>
          <w:szCs w:val="28"/>
        </w:rPr>
        <w:t xml:space="preserve"> Подставляем</w:t>
      </w:r>
    </w:p>
    <w:p w:rsidR="00905D60" w:rsidRPr="00BB52C5" w:rsidRDefault="00905D60" w:rsidP="00905D60">
      <w:pPr>
        <w:tabs>
          <w:tab w:val="left" w:pos="1660"/>
        </w:tabs>
        <w:spacing w:line="360" w:lineRule="auto"/>
        <w:rPr>
          <w:sz w:val="28"/>
          <w:szCs w:val="28"/>
        </w:rPr>
      </w:pPr>
      <w:r w:rsidRPr="00BB52C5">
        <w:rPr>
          <w:sz w:val="28"/>
          <w:szCs w:val="28"/>
        </w:rPr>
        <w:t xml:space="preserve"> </w:t>
      </w:r>
      <w:r w:rsidRPr="00BB52C5">
        <w:rPr>
          <w:sz w:val="28"/>
          <w:szCs w:val="28"/>
          <w:lang w:val="en-US"/>
        </w:rPr>
        <w:t>t</w:t>
      </w:r>
      <w:r w:rsidRPr="00BB52C5">
        <w:rPr>
          <w:sz w:val="28"/>
          <w:szCs w:val="28"/>
        </w:rPr>
        <w:t xml:space="preserve"> =131,132,133 (так как у нас130 наблюдений)</w:t>
      </w:r>
    </w:p>
    <w:p w:rsidR="00905D60" w:rsidRPr="00BB52C5" w:rsidRDefault="00905D60" w:rsidP="00905D60">
      <w:pPr>
        <w:spacing w:line="360" w:lineRule="auto"/>
        <w:rPr>
          <w:sz w:val="28"/>
          <w:szCs w:val="28"/>
        </w:rPr>
      </w:pPr>
      <w:r w:rsidRPr="00BB52C5">
        <w:rPr>
          <w:sz w:val="28"/>
          <w:szCs w:val="28"/>
        </w:rPr>
        <w:t xml:space="preserve">Значение131 </w:t>
      </w:r>
      <w:r w:rsidRPr="00BB52C5">
        <w:rPr>
          <w:rFonts w:ascii="Arial CYR" w:hAnsi="Arial CYR" w:cs="Arial CYR"/>
          <w:color w:val="000000"/>
          <w:kern w:val="1"/>
          <w:sz w:val="28"/>
          <w:szCs w:val="28"/>
        </w:rPr>
        <w:t>= 196,83*exp(0,02*t)=2703,60</w:t>
      </w:r>
      <w:r w:rsidRPr="00BB52C5">
        <w:rPr>
          <w:sz w:val="28"/>
          <w:szCs w:val="28"/>
        </w:rPr>
        <w:t>.</w:t>
      </w:r>
    </w:p>
    <w:p w:rsidR="00905D60" w:rsidRPr="00BB52C5" w:rsidRDefault="00905D60" w:rsidP="00905D60">
      <w:pPr>
        <w:spacing w:line="360" w:lineRule="auto"/>
        <w:rPr>
          <w:sz w:val="28"/>
          <w:szCs w:val="28"/>
        </w:rPr>
      </w:pPr>
      <w:r w:rsidRPr="00BB52C5">
        <w:rPr>
          <w:sz w:val="28"/>
          <w:szCs w:val="28"/>
        </w:rPr>
        <w:t xml:space="preserve">Значение132 </w:t>
      </w:r>
      <w:r w:rsidRPr="00BB52C5">
        <w:rPr>
          <w:rFonts w:ascii="Arial CYR" w:hAnsi="Arial CYR" w:cs="Arial CYR"/>
          <w:color w:val="000000"/>
          <w:kern w:val="1"/>
          <w:sz w:val="28"/>
          <w:szCs w:val="28"/>
        </w:rPr>
        <w:t>= 196,83*exp(0,02*t)=2758,22</w:t>
      </w:r>
      <w:r w:rsidRPr="00BB52C5">
        <w:rPr>
          <w:sz w:val="28"/>
          <w:szCs w:val="28"/>
        </w:rPr>
        <w:t>.</w:t>
      </w:r>
    </w:p>
    <w:p w:rsidR="00905D60" w:rsidRPr="00BB52C5" w:rsidRDefault="00905D60" w:rsidP="00905D60">
      <w:pPr>
        <w:spacing w:line="360" w:lineRule="auto"/>
        <w:rPr>
          <w:sz w:val="28"/>
          <w:szCs w:val="28"/>
        </w:rPr>
      </w:pPr>
      <w:r w:rsidRPr="00BB52C5">
        <w:rPr>
          <w:sz w:val="28"/>
          <w:szCs w:val="28"/>
        </w:rPr>
        <w:t xml:space="preserve">Значение133 </w:t>
      </w:r>
      <w:r w:rsidRPr="00BB52C5">
        <w:rPr>
          <w:rFonts w:ascii="Arial CYR" w:hAnsi="Arial CYR" w:cs="Arial CYR"/>
          <w:color w:val="000000"/>
          <w:kern w:val="1"/>
          <w:sz w:val="28"/>
          <w:szCs w:val="28"/>
        </w:rPr>
        <w:t>= 196,83*exp(0,02*t)=2813,94</w:t>
      </w:r>
      <w:r w:rsidRPr="00BB52C5">
        <w:rPr>
          <w:sz w:val="28"/>
          <w:szCs w:val="28"/>
        </w:rPr>
        <w:t>.</w:t>
      </w:r>
    </w:p>
    <w:p w:rsidR="00905D60" w:rsidRPr="00BB52C5" w:rsidRDefault="00905D60" w:rsidP="00905D60">
      <w:pPr>
        <w:spacing w:line="360" w:lineRule="auto"/>
        <w:ind w:firstLine="708"/>
        <w:jc w:val="both"/>
        <w:rPr>
          <w:sz w:val="28"/>
          <w:szCs w:val="28"/>
        </w:rPr>
      </w:pPr>
      <w:r w:rsidRPr="00BB52C5">
        <w:rPr>
          <w:sz w:val="28"/>
          <w:szCs w:val="28"/>
        </w:rPr>
        <w:t>Так как в ряду отсутствует сезонность и очевидно, что данная</w:t>
      </w:r>
      <w:r>
        <w:rPr>
          <w:sz w:val="28"/>
          <w:szCs w:val="28"/>
        </w:rPr>
        <w:t xml:space="preserve"> модель</w:t>
      </w:r>
      <w:r w:rsidRPr="00BB52C5">
        <w:rPr>
          <w:sz w:val="28"/>
          <w:szCs w:val="28"/>
        </w:rPr>
        <w:t xml:space="preserve"> </w:t>
      </w:r>
      <w:r>
        <w:rPr>
          <w:sz w:val="28"/>
          <w:szCs w:val="28"/>
        </w:rPr>
        <w:t>не подходи</w:t>
      </w:r>
      <w:r w:rsidRPr="00BB52C5">
        <w:rPr>
          <w:sz w:val="28"/>
          <w:szCs w:val="28"/>
        </w:rPr>
        <w:t>т для построения прогноза, то рассмотрим другие модели, выберем наилучшую модель для и построим прогноз.</w:t>
      </w:r>
    </w:p>
    <w:p w:rsidR="00905D60" w:rsidRDefault="00905D60" w:rsidP="00905D60"/>
    <w:p w:rsidR="00905D60" w:rsidRPr="00A71D5B" w:rsidRDefault="00377ED6" w:rsidP="00905D60">
      <w:pPr>
        <w:spacing w:line="360" w:lineRule="auto"/>
        <w:ind w:firstLine="709"/>
        <w:rPr>
          <w:b/>
          <w:sz w:val="28"/>
          <w:szCs w:val="28"/>
        </w:rPr>
      </w:pPr>
      <w:r>
        <w:rPr>
          <w:b/>
          <w:sz w:val="28"/>
          <w:szCs w:val="28"/>
        </w:rPr>
        <w:t>2</w:t>
      </w:r>
      <w:r w:rsidR="00711EFC">
        <w:rPr>
          <w:b/>
          <w:sz w:val="28"/>
          <w:szCs w:val="28"/>
        </w:rPr>
        <w:t>.6</w:t>
      </w:r>
      <w:r w:rsidR="00905D60">
        <w:rPr>
          <w:b/>
          <w:sz w:val="28"/>
          <w:szCs w:val="28"/>
        </w:rPr>
        <w:t xml:space="preserve"> </w:t>
      </w:r>
      <w:r w:rsidR="00905D60" w:rsidRPr="00A71D5B">
        <w:rPr>
          <w:b/>
          <w:sz w:val="28"/>
          <w:szCs w:val="28"/>
        </w:rPr>
        <w:t xml:space="preserve"> Построение адаптивных моделей прогнозирования.</w:t>
      </w:r>
    </w:p>
    <w:p w:rsidR="00905D60" w:rsidRPr="00A71D5B" w:rsidRDefault="00905D60" w:rsidP="00905D60">
      <w:pPr>
        <w:spacing w:line="360" w:lineRule="auto"/>
        <w:ind w:firstLine="709"/>
        <w:jc w:val="both"/>
        <w:rPr>
          <w:b/>
          <w:sz w:val="28"/>
          <w:szCs w:val="28"/>
        </w:rPr>
      </w:pPr>
      <w:r w:rsidRPr="00A71D5B">
        <w:rPr>
          <w:sz w:val="28"/>
          <w:szCs w:val="28"/>
        </w:rPr>
        <w:tab/>
      </w:r>
      <w:r w:rsidRPr="00A71D5B">
        <w:rPr>
          <w:b/>
          <w:sz w:val="28"/>
          <w:szCs w:val="28"/>
        </w:rPr>
        <w:t>Модель Хольта</w:t>
      </w:r>
    </w:p>
    <w:p w:rsidR="00905D60" w:rsidRDefault="00905D60" w:rsidP="00905D60">
      <w:pPr>
        <w:spacing w:line="360" w:lineRule="auto"/>
        <w:ind w:firstLine="709"/>
        <w:jc w:val="both"/>
        <w:rPr>
          <w:sz w:val="28"/>
          <w:szCs w:val="28"/>
        </w:rPr>
      </w:pPr>
      <w:r w:rsidRPr="00A71D5B">
        <w:rPr>
          <w:sz w:val="28"/>
          <w:szCs w:val="28"/>
        </w:rPr>
        <w:t xml:space="preserve">Построим адаптивную модель с помощью модели Хольта. </w:t>
      </w:r>
      <w:r>
        <w:rPr>
          <w:sz w:val="28"/>
          <w:szCs w:val="28"/>
        </w:rPr>
        <w:t xml:space="preserve">Включим функцию построения прогноза на 3 наблюдения вперед. Выбор именно этого промежутка основывается на том, что для фондового рынка в принципе проблематично сделать прогноз более, чем на 6 месяцев вперед. В условиях посткризисной неопределенности брать промежуток в более, чем 3 наблюдения было бы нелогичным. </w:t>
      </w:r>
    </w:p>
    <w:p w:rsidR="00905D60" w:rsidRPr="00A71D5B" w:rsidRDefault="00905D60" w:rsidP="00905D60">
      <w:pPr>
        <w:spacing w:line="360" w:lineRule="auto"/>
        <w:ind w:firstLine="709"/>
        <w:jc w:val="both"/>
        <w:rPr>
          <w:sz w:val="28"/>
          <w:szCs w:val="28"/>
        </w:rPr>
      </w:pPr>
      <w:r w:rsidRPr="00A71D5B">
        <w:rPr>
          <w:sz w:val="28"/>
          <w:szCs w:val="28"/>
        </w:rPr>
        <w:t>С помощью перебора по сетке выберем наилучшую модель. Такая модель получилась при параметрах α=0,9 и γ=0,1.</w:t>
      </w:r>
    </w:p>
    <w:p w:rsidR="00905D60" w:rsidRDefault="00905D60" w:rsidP="00905D60">
      <w:pPr>
        <w:jc w:val="center"/>
      </w:pPr>
      <w:r>
        <w:object w:dxaOrig="7118" w:dyaOrig="5335">
          <v:shape id="_x0000_i1034" type="#_x0000_t75" style="width:356.25pt;height:267pt" o:ole="">
            <v:imagedata r:id="rId24" o:title=""/>
          </v:shape>
          <o:OLEObject Type="Embed" ProgID="STATISTICA.Graph" ShapeID="_x0000_i1034" DrawAspect="Content" ObjectID="_1472234017" r:id="rId25">
            <o:FieldCodes>\s</o:FieldCodes>
          </o:OLEObject>
        </w:object>
      </w:r>
    </w:p>
    <w:p w:rsidR="00905D60" w:rsidRPr="00C137A3" w:rsidRDefault="00905D60" w:rsidP="00905D60">
      <w:pPr>
        <w:spacing w:line="360" w:lineRule="auto"/>
        <w:ind w:firstLine="708"/>
        <w:jc w:val="center"/>
        <w:rPr>
          <w:sz w:val="28"/>
          <w:szCs w:val="28"/>
        </w:rPr>
      </w:pPr>
      <w:r w:rsidRPr="00C137A3">
        <w:rPr>
          <w:b/>
          <w:sz w:val="28"/>
          <w:szCs w:val="28"/>
        </w:rPr>
        <w:t>Рис. 6</w:t>
      </w:r>
      <w:r w:rsidRPr="00C137A3">
        <w:rPr>
          <w:sz w:val="28"/>
          <w:szCs w:val="28"/>
        </w:rPr>
        <w:t xml:space="preserve"> Модель Хольта при α=0,9, γ=0,1</w:t>
      </w:r>
    </w:p>
    <w:p w:rsidR="00905D60" w:rsidRDefault="00905D60" w:rsidP="00905D60">
      <w:r>
        <w:object w:dxaOrig="8811" w:dyaOrig="5137">
          <v:shape id="_x0000_i1035" type="#_x0000_t75" style="width:440.25pt;height:256.5pt" o:ole="">
            <v:imagedata r:id="rId26" o:title=""/>
          </v:shape>
          <o:OLEObject Type="Embed" ProgID="STATISTICA.Graph" ShapeID="_x0000_i1035" DrawAspect="Content" ObjectID="_1472234018" r:id="rId27">
            <o:FieldCodes>\s</o:FieldCodes>
          </o:OLEObject>
        </w:object>
      </w:r>
    </w:p>
    <w:p w:rsidR="00905D60" w:rsidRPr="00C137A3" w:rsidRDefault="00905D60" w:rsidP="00905D60">
      <w:pPr>
        <w:spacing w:line="360" w:lineRule="auto"/>
        <w:ind w:firstLine="708"/>
        <w:jc w:val="center"/>
        <w:rPr>
          <w:sz w:val="28"/>
          <w:szCs w:val="28"/>
        </w:rPr>
      </w:pPr>
      <w:r w:rsidRPr="00C137A3">
        <w:rPr>
          <w:b/>
          <w:sz w:val="28"/>
          <w:szCs w:val="28"/>
        </w:rPr>
        <w:t>Рис. 7</w:t>
      </w:r>
      <w:r w:rsidRPr="00C137A3">
        <w:rPr>
          <w:sz w:val="28"/>
          <w:szCs w:val="28"/>
        </w:rPr>
        <w:t xml:space="preserve"> Автокорреляционная функция распределения остатков</w:t>
      </w:r>
    </w:p>
    <w:p w:rsidR="00905D60" w:rsidRPr="009E4B1B" w:rsidRDefault="00905D60" w:rsidP="00905D60"/>
    <w:p w:rsidR="00905D60" w:rsidRPr="003E52CC" w:rsidRDefault="00905D60" w:rsidP="00905D60">
      <w:pPr>
        <w:jc w:val="center"/>
      </w:pPr>
      <w:r>
        <w:object w:dxaOrig="7287" w:dyaOrig="5462">
          <v:shape id="_x0000_i1036" type="#_x0000_t75" style="width:364.5pt;height:273pt" o:ole="">
            <v:imagedata r:id="rId28" o:title=""/>
          </v:shape>
          <o:OLEObject Type="Embed" ProgID="STATISTICA.Graph" ShapeID="_x0000_i1036" DrawAspect="Content" ObjectID="_1472234019" r:id="rId29">
            <o:FieldCodes>\s</o:FieldCodes>
          </o:OLEObject>
        </w:object>
      </w:r>
    </w:p>
    <w:p w:rsidR="00905D60" w:rsidRPr="00C137A3" w:rsidRDefault="00905D60" w:rsidP="00905D60">
      <w:pPr>
        <w:spacing w:line="360" w:lineRule="auto"/>
        <w:ind w:firstLine="708"/>
        <w:jc w:val="center"/>
        <w:rPr>
          <w:sz w:val="28"/>
          <w:szCs w:val="28"/>
        </w:rPr>
      </w:pPr>
      <w:r>
        <w:tab/>
      </w:r>
      <w:r w:rsidRPr="00C137A3">
        <w:rPr>
          <w:b/>
          <w:sz w:val="28"/>
          <w:szCs w:val="28"/>
        </w:rPr>
        <w:t>Рис. 8</w:t>
      </w:r>
      <w:r w:rsidRPr="00C137A3">
        <w:rPr>
          <w:sz w:val="28"/>
          <w:szCs w:val="28"/>
        </w:rPr>
        <w:t xml:space="preserve"> Нормальный вероятностный график остатков</w:t>
      </w:r>
    </w:p>
    <w:p w:rsidR="00905D60" w:rsidRPr="00C137A3" w:rsidRDefault="00905D60" w:rsidP="00905D60">
      <w:pPr>
        <w:tabs>
          <w:tab w:val="left" w:pos="3795"/>
        </w:tabs>
        <w:jc w:val="right"/>
        <w:rPr>
          <w:sz w:val="28"/>
          <w:szCs w:val="28"/>
        </w:rPr>
      </w:pPr>
      <w:r>
        <w:rPr>
          <w:sz w:val="28"/>
          <w:szCs w:val="28"/>
        </w:rPr>
        <w:t>Таблица 3</w:t>
      </w:r>
    </w:p>
    <w:p w:rsidR="00905D60" w:rsidRPr="00C137A3" w:rsidRDefault="00905D60" w:rsidP="00905D60">
      <w:pPr>
        <w:spacing w:line="360" w:lineRule="auto"/>
        <w:ind w:firstLine="708"/>
        <w:jc w:val="center"/>
        <w:rPr>
          <w:sz w:val="28"/>
          <w:szCs w:val="28"/>
        </w:rPr>
      </w:pPr>
      <w:r w:rsidRPr="00C137A3">
        <w:rPr>
          <w:sz w:val="28"/>
          <w:szCs w:val="28"/>
        </w:rPr>
        <w:t>Ошибки модели.</w:t>
      </w:r>
    </w:p>
    <w:tbl>
      <w:tblPr>
        <w:tblW w:w="9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476"/>
        <w:gridCol w:w="1634"/>
        <w:gridCol w:w="1701"/>
        <w:gridCol w:w="1276"/>
        <w:gridCol w:w="1352"/>
      </w:tblGrid>
      <w:tr w:rsidR="00905D60">
        <w:trPr>
          <w:jc w:val="center"/>
        </w:trPr>
        <w:tc>
          <w:tcPr>
            <w:tcW w:w="1985" w:type="dxa"/>
          </w:tcPr>
          <w:p w:rsidR="00905D60" w:rsidRPr="001C616A" w:rsidRDefault="00905D60" w:rsidP="00905D60">
            <w:pPr>
              <w:jc w:val="center"/>
              <w:rPr>
                <w:b/>
                <w:sz w:val="20"/>
                <w:szCs w:val="20"/>
              </w:rPr>
            </w:pPr>
            <w:r w:rsidRPr="00C137A3">
              <w:rPr>
                <w:b/>
                <w:sz w:val="20"/>
                <w:szCs w:val="20"/>
              </w:rPr>
              <w:t>Показатель</w:t>
            </w:r>
          </w:p>
        </w:tc>
        <w:tc>
          <w:tcPr>
            <w:tcW w:w="1476" w:type="dxa"/>
          </w:tcPr>
          <w:p w:rsidR="00905D60" w:rsidRPr="001E5DA8" w:rsidRDefault="00905D60" w:rsidP="00905D60">
            <w:pPr>
              <w:jc w:val="both"/>
              <w:rPr>
                <w:b/>
                <w:sz w:val="20"/>
                <w:szCs w:val="20"/>
              </w:rPr>
            </w:pPr>
            <w:r w:rsidRPr="004C5978">
              <w:rPr>
                <w:b/>
                <w:sz w:val="20"/>
                <w:szCs w:val="20"/>
                <w:lang w:val="en-US"/>
              </w:rPr>
              <w:t>SE</w:t>
            </w:r>
          </w:p>
        </w:tc>
        <w:tc>
          <w:tcPr>
            <w:tcW w:w="1634" w:type="dxa"/>
          </w:tcPr>
          <w:p w:rsidR="00905D60" w:rsidRPr="001E5DA8" w:rsidRDefault="00905D60" w:rsidP="00905D60">
            <w:pPr>
              <w:jc w:val="center"/>
              <w:rPr>
                <w:b/>
                <w:sz w:val="20"/>
                <w:szCs w:val="20"/>
              </w:rPr>
            </w:pPr>
            <w:r w:rsidRPr="004C5978">
              <w:rPr>
                <w:b/>
                <w:sz w:val="20"/>
                <w:szCs w:val="20"/>
              </w:rPr>
              <w:t xml:space="preserve"> </w:t>
            </w:r>
            <w:r w:rsidRPr="004C5978">
              <w:rPr>
                <w:b/>
                <w:sz w:val="20"/>
                <w:szCs w:val="20"/>
                <w:lang w:val="en-US"/>
              </w:rPr>
              <w:t>MAD</w:t>
            </w:r>
          </w:p>
        </w:tc>
        <w:tc>
          <w:tcPr>
            <w:tcW w:w="1701" w:type="dxa"/>
          </w:tcPr>
          <w:p w:rsidR="00905D60" w:rsidRPr="004C5978" w:rsidRDefault="00905D60" w:rsidP="00905D60">
            <w:pPr>
              <w:jc w:val="center"/>
              <w:rPr>
                <w:b/>
                <w:sz w:val="20"/>
                <w:szCs w:val="20"/>
              </w:rPr>
            </w:pPr>
            <w:r>
              <w:rPr>
                <w:b/>
                <w:sz w:val="20"/>
                <w:szCs w:val="20"/>
              </w:rPr>
              <w:t xml:space="preserve"> </w:t>
            </w:r>
            <w:r w:rsidRPr="004C5978">
              <w:rPr>
                <w:b/>
                <w:sz w:val="20"/>
                <w:szCs w:val="20"/>
                <w:lang w:val="en-US"/>
              </w:rPr>
              <w:t>MSE</w:t>
            </w:r>
          </w:p>
        </w:tc>
        <w:tc>
          <w:tcPr>
            <w:tcW w:w="1276" w:type="dxa"/>
          </w:tcPr>
          <w:p w:rsidR="00905D60" w:rsidRPr="004C5978" w:rsidRDefault="00905D60" w:rsidP="00905D60">
            <w:pPr>
              <w:jc w:val="center"/>
              <w:rPr>
                <w:b/>
                <w:sz w:val="20"/>
                <w:szCs w:val="20"/>
              </w:rPr>
            </w:pPr>
            <w:r w:rsidRPr="004C5978">
              <w:rPr>
                <w:b/>
                <w:sz w:val="20"/>
                <w:szCs w:val="20"/>
                <w:lang w:val="en-US"/>
              </w:rPr>
              <w:t>MAPE</w:t>
            </w:r>
          </w:p>
        </w:tc>
        <w:tc>
          <w:tcPr>
            <w:tcW w:w="1352" w:type="dxa"/>
          </w:tcPr>
          <w:p w:rsidR="00905D60" w:rsidRPr="00977A56" w:rsidRDefault="00905D60" w:rsidP="00905D60">
            <w:pPr>
              <w:jc w:val="center"/>
              <w:rPr>
                <w:b/>
                <w:sz w:val="20"/>
                <w:szCs w:val="20"/>
              </w:rPr>
            </w:pPr>
            <w:r w:rsidRPr="004C5978">
              <w:rPr>
                <w:b/>
                <w:sz w:val="20"/>
                <w:szCs w:val="20"/>
                <w:lang w:val="en-US"/>
              </w:rPr>
              <w:t>MPE</w:t>
            </w:r>
          </w:p>
        </w:tc>
      </w:tr>
      <w:tr w:rsidR="00905D60">
        <w:trPr>
          <w:jc w:val="center"/>
        </w:trPr>
        <w:tc>
          <w:tcPr>
            <w:tcW w:w="1985" w:type="dxa"/>
          </w:tcPr>
          <w:p w:rsidR="00905D60" w:rsidRPr="006577B7" w:rsidRDefault="00905D60" w:rsidP="00905D60">
            <w:pPr>
              <w:jc w:val="center"/>
              <w:rPr>
                <w:sz w:val="20"/>
                <w:szCs w:val="20"/>
              </w:rPr>
            </w:pPr>
            <w:r>
              <w:rPr>
                <w:sz w:val="20"/>
                <w:szCs w:val="20"/>
              </w:rPr>
              <w:t>Индекс РТС</w:t>
            </w:r>
          </w:p>
        </w:tc>
        <w:tc>
          <w:tcPr>
            <w:tcW w:w="14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119,63</w:t>
            </w:r>
          </w:p>
        </w:tc>
        <w:tc>
          <w:tcPr>
            <w:tcW w:w="1634"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86,43</w:t>
            </w:r>
          </w:p>
        </w:tc>
        <w:tc>
          <w:tcPr>
            <w:tcW w:w="1701"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14091,79</w:t>
            </w:r>
          </w:p>
        </w:tc>
        <w:tc>
          <w:tcPr>
            <w:tcW w:w="12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0,09</w:t>
            </w:r>
          </w:p>
        </w:tc>
        <w:tc>
          <w:tcPr>
            <w:tcW w:w="1352"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0,005</w:t>
            </w:r>
          </w:p>
        </w:tc>
      </w:tr>
    </w:tbl>
    <w:p w:rsidR="00905D60" w:rsidRDefault="00905D60" w:rsidP="00905D60">
      <w:pPr>
        <w:spacing w:line="360" w:lineRule="auto"/>
        <w:ind w:firstLine="708"/>
        <w:jc w:val="both"/>
      </w:pPr>
    </w:p>
    <w:p w:rsidR="00905D60" w:rsidRPr="00C137A3" w:rsidRDefault="00905D60" w:rsidP="00905D60">
      <w:pPr>
        <w:spacing w:line="360" w:lineRule="auto"/>
        <w:ind w:firstLine="709"/>
        <w:jc w:val="both"/>
        <w:rPr>
          <w:sz w:val="28"/>
          <w:szCs w:val="28"/>
        </w:rPr>
      </w:pPr>
      <w:r w:rsidRPr="00C137A3">
        <w:rPr>
          <w:sz w:val="28"/>
          <w:szCs w:val="28"/>
        </w:rPr>
        <w:t xml:space="preserve">По модели видно, что амплитуда остатков увеличивается, также в автокорреляционной функции имеются значимые коэффициенты, а на нормальном вероятностном графике остатки очень отличаются от прямой. Что касается ошибок, то они значительно меньше, чем у модели построенной на предыдущем этапе. </w:t>
      </w:r>
    </w:p>
    <w:p w:rsidR="00905D60" w:rsidRPr="00A26F26" w:rsidRDefault="00905D60" w:rsidP="00905D60">
      <w:pPr>
        <w:spacing w:line="360" w:lineRule="auto"/>
        <w:ind w:firstLine="708"/>
        <w:jc w:val="both"/>
        <w:rPr>
          <w:b/>
          <w:sz w:val="28"/>
          <w:szCs w:val="28"/>
        </w:rPr>
      </w:pPr>
      <w:r w:rsidRPr="00A26F26">
        <w:rPr>
          <w:b/>
          <w:sz w:val="28"/>
          <w:szCs w:val="28"/>
        </w:rPr>
        <w:t>Модель Хольта-Уинтерса</w:t>
      </w:r>
    </w:p>
    <w:p w:rsidR="00905D60" w:rsidRPr="00A26F26" w:rsidRDefault="00905D60" w:rsidP="00905D60">
      <w:pPr>
        <w:jc w:val="both"/>
        <w:rPr>
          <w:sz w:val="28"/>
          <w:szCs w:val="28"/>
        </w:rPr>
      </w:pPr>
      <w:r w:rsidRPr="00A26F26">
        <w:rPr>
          <w:sz w:val="28"/>
          <w:szCs w:val="28"/>
        </w:rPr>
        <w:t>Модель Хольта-Уинтерса имеет следующий вид:</w:t>
      </w:r>
    </w:p>
    <w:p w:rsidR="00905D60" w:rsidRPr="00A26F26" w:rsidRDefault="00905D60" w:rsidP="00905D60">
      <w:pPr>
        <w:jc w:val="both"/>
        <w:rPr>
          <w:sz w:val="28"/>
          <w:szCs w:val="28"/>
        </w:rPr>
      </w:pPr>
    </w:p>
    <w:p w:rsidR="00905D60" w:rsidRPr="00A26F26" w:rsidRDefault="00905D60" w:rsidP="00905D60">
      <w:pPr>
        <w:jc w:val="center"/>
        <w:rPr>
          <w:sz w:val="28"/>
          <w:szCs w:val="28"/>
        </w:rPr>
      </w:pPr>
      <w:r w:rsidRPr="00A26F26">
        <w:rPr>
          <w:position w:val="-12"/>
          <w:sz w:val="28"/>
          <w:szCs w:val="28"/>
        </w:rPr>
        <w:object w:dxaOrig="2260" w:dyaOrig="420">
          <v:shape id="_x0000_i1037" type="#_x0000_t75" style="width:147pt;height:27pt" o:ole="">
            <v:imagedata r:id="rId30" o:title=""/>
          </v:shape>
          <o:OLEObject Type="Embed" ProgID="Equation.DSMT4" ShapeID="_x0000_i1037" DrawAspect="Content" ObjectID="_1472234020" r:id="rId31"/>
        </w:object>
      </w:r>
    </w:p>
    <w:p w:rsidR="00905D60" w:rsidRPr="00A26F26" w:rsidRDefault="00905D60" w:rsidP="00905D60">
      <w:pPr>
        <w:rPr>
          <w:sz w:val="28"/>
          <w:szCs w:val="28"/>
        </w:rPr>
      </w:pPr>
      <w:r w:rsidRPr="00A26F26">
        <w:rPr>
          <w:sz w:val="28"/>
          <w:szCs w:val="28"/>
        </w:rPr>
        <w:t xml:space="preserve"> </w:t>
      </w:r>
      <w:r w:rsidRPr="00A26F26">
        <w:rPr>
          <w:sz w:val="28"/>
          <w:szCs w:val="28"/>
          <w:lang w:val="en-US"/>
        </w:rPr>
        <w:t>l</w:t>
      </w:r>
      <w:r w:rsidRPr="00A26F26">
        <w:rPr>
          <w:sz w:val="28"/>
          <w:szCs w:val="28"/>
        </w:rPr>
        <w:t xml:space="preserve"> - сезонный цикл</w:t>
      </w:r>
    </w:p>
    <w:p w:rsidR="00905D60" w:rsidRPr="00A26F26" w:rsidRDefault="00905D60" w:rsidP="00905D60">
      <w:pPr>
        <w:rPr>
          <w:sz w:val="28"/>
          <w:szCs w:val="28"/>
        </w:rPr>
      </w:pPr>
      <w:r w:rsidRPr="00A26F26">
        <w:rPr>
          <w:position w:val="-30"/>
          <w:sz w:val="28"/>
          <w:szCs w:val="28"/>
        </w:rPr>
        <w:object w:dxaOrig="3400" w:dyaOrig="680">
          <v:shape id="_x0000_i1038" type="#_x0000_t75" style="width:180.75pt;height:36.75pt" o:ole="">
            <v:imagedata r:id="rId32" o:title=""/>
          </v:shape>
          <o:OLEObject Type="Embed" ProgID="Equation.DSMT4" ShapeID="_x0000_i1038" DrawAspect="Content" ObjectID="_1472234021" r:id="rId33"/>
        </w:object>
      </w:r>
    </w:p>
    <w:p w:rsidR="00905D60" w:rsidRPr="00A26F26" w:rsidRDefault="00905D60" w:rsidP="00905D60">
      <w:pPr>
        <w:rPr>
          <w:sz w:val="28"/>
          <w:szCs w:val="28"/>
        </w:rPr>
      </w:pPr>
      <w:r w:rsidRPr="00A26F26">
        <w:rPr>
          <w:position w:val="-30"/>
          <w:sz w:val="28"/>
          <w:szCs w:val="28"/>
        </w:rPr>
        <w:object w:dxaOrig="2400" w:dyaOrig="680">
          <v:shape id="_x0000_i1039" type="#_x0000_t75" style="width:127.5pt;height:36.75pt" o:ole="">
            <v:imagedata r:id="rId34" o:title=""/>
          </v:shape>
          <o:OLEObject Type="Embed" ProgID="Equation.DSMT4" ShapeID="_x0000_i1039" DrawAspect="Content" ObjectID="_1472234022" r:id="rId35"/>
        </w:object>
      </w:r>
    </w:p>
    <w:p w:rsidR="00905D60" w:rsidRPr="00A26F26" w:rsidRDefault="00905D60" w:rsidP="00905D60">
      <w:pPr>
        <w:rPr>
          <w:sz w:val="28"/>
          <w:szCs w:val="28"/>
        </w:rPr>
      </w:pPr>
      <w:r w:rsidRPr="00A26F26">
        <w:rPr>
          <w:position w:val="-12"/>
          <w:sz w:val="28"/>
          <w:szCs w:val="28"/>
        </w:rPr>
        <w:object w:dxaOrig="3320" w:dyaOrig="420">
          <v:shape id="_x0000_i1040" type="#_x0000_t75" style="width:180.75pt;height:22.5pt" o:ole="">
            <v:imagedata r:id="rId36" o:title=""/>
          </v:shape>
          <o:OLEObject Type="Embed" ProgID="Equation.DSMT4" ShapeID="_x0000_i1040" DrawAspect="Content" ObjectID="_1472234023" r:id="rId37"/>
        </w:object>
      </w:r>
    </w:p>
    <w:p w:rsidR="00905D60" w:rsidRPr="00A26F26" w:rsidRDefault="00905D60" w:rsidP="00905D60">
      <w:pPr>
        <w:rPr>
          <w:sz w:val="28"/>
          <w:szCs w:val="28"/>
        </w:rPr>
      </w:pPr>
      <w:r w:rsidRPr="00A26F26">
        <w:rPr>
          <w:sz w:val="28"/>
          <w:szCs w:val="28"/>
        </w:rPr>
        <w:t xml:space="preserve">Построим модель с помощью программы </w:t>
      </w:r>
      <w:r w:rsidRPr="00A26F26">
        <w:rPr>
          <w:sz w:val="28"/>
          <w:szCs w:val="28"/>
          <w:lang w:val="en-US"/>
        </w:rPr>
        <w:t>Statistica</w:t>
      </w:r>
      <w:r w:rsidRPr="00A26F26">
        <w:rPr>
          <w:sz w:val="28"/>
          <w:szCs w:val="28"/>
        </w:rPr>
        <w:t xml:space="preserve">. </w:t>
      </w:r>
      <w:r>
        <w:rPr>
          <w:sz w:val="28"/>
          <w:szCs w:val="28"/>
        </w:rPr>
        <w:t>Построим прогноз на 3 наблюдения вперед.</w:t>
      </w:r>
    </w:p>
    <w:p w:rsidR="00905D60" w:rsidRPr="00720D8E" w:rsidRDefault="00905D60" w:rsidP="00905D60">
      <w:r>
        <w:object w:dxaOrig="8805" w:dyaOrig="6604">
          <v:shape id="_x0000_i1041" type="#_x0000_t75" style="width:440.25pt;height:330pt" o:ole="">
            <v:imagedata r:id="rId38" o:title=""/>
          </v:shape>
          <o:OLEObject Type="Embed" ProgID="STATISTICA.Graph" ShapeID="_x0000_i1041" DrawAspect="Content" ObjectID="_1472234024" r:id="rId39">
            <o:FieldCodes>\s</o:FieldCodes>
          </o:OLEObject>
        </w:object>
      </w:r>
    </w:p>
    <w:p w:rsidR="00905D60" w:rsidRPr="00A26F26" w:rsidRDefault="00905D60" w:rsidP="00905D60">
      <w:pPr>
        <w:jc w:val="center"/>
        <w:rPr>
          <w:sz w:val="28"/>
          <w:szCs w:val="28"/>
        </w:rPr>
      </w:pPr>
      <w:r w:rsidRPr="00A26F26">
        <w:rPr>
          <w:b/>
          <w:sz w:val="28"/>
          <w:szCs w:val="28"/>
        </w:rPr>
        <w:t>Рис.9</w:t>
      </w:r>
      <w:r w:rsidRPr="00A26F26">
        <w:rPr>
          <w:sz w:val="28"/>
          <w:szCs w:val="28"/>
        </w:rPr>
        <w:t xml:space="preserve"> Модель Хольта-Уинтерса с параметрами α=0,9,δ=0,1,γ=0,2</w:t>
      </w:r>
    </w:p>
    <w:p w:rsidR="00905D60" w:rsidRPr="00882585" w:rsidRDefault="00905D60" w:rsidP="00905D60"/>
    <w:p w:rsidR="00905D60" w:rsidRPr="00882585" w:rsidRDefault="00905D60" w:rsidP="00905D60">
      <w:pPr>
        <w:tabs>
          <w:tab w:val="left" w:pos="1095"/>
        </w:tabs>
      </w:pPr>
      <w:r>
        <w:object w:dxaOrig="8805" w:dyaOrig="6604">
          <v:shape id="_x0000_i1042" type="#_x0000_t75" style="width:440.25pt;height:330pt" o:ole="">
            <v:imagedata r:id="rId40" o:title=""/>
          </v:shape>
          <o:OLEObject Type="Embed" ProgID="STATISTICA.Graph" ShapeID="_x0000_i1042" DrawAspect="Content" ObjectID="_1472234025" r:id="rId41">
            <o:FieldCodes>\s</o:FieldCodes>
          </o:OLEObject>
        </w:object>
      </w:r>
    </w:p>
    <w:p w:rsidR="00905D60" w:rsidRPr="00A26F26" w:rsidRDefault="00905D60" w:rsidP="00905D60">
      <w:pPr>
        <w:jc w:val="center"/>
        <w:rPr>
          <w:sz w:val="28"/>
          <w:szCs w:val="28"/>
        </w:rPr>
      </w:pPr>
      <w:r>
        <w:rPr>
          <w:b/>
        </w:rPr>
        <w:t xml:space="preserve">          </w:t>
      </w:r>
      <w:r w:rsidRPr="00A26F26">
        <w:rPr>
          <w:b/>
          <w:sz w:val="28"/>
          <w:szCs w:val="28"/>
        </w:rPr>
        <w:t>Рис. 10</w:t>
      </w:r>
      <w:r w:rsidRPr="00A26F26">
        <w:rPr>
          <w:sz w:val="28"/>
          <w:szCs w:val="28"/>
        </w:rPr>
        <w:t xml:space="preserve">. Автокорреляционная функция остаточной компоненты </w:t>
      </w:r>
    </w:p>
    <w:p w:rsidR="00905D60" w:rsidRPr="00B72852" w:rsidRDefault="00905D60" w:rsidP="00905D60">
      <w:pPr>
        <w:tabs>
          <w:tab w:val="left" w:pos="8475"/>
        </w:tabs>
      </w:pPr>
      <w:r>
        <w:tab/>
      </w:r>
    </w:p>
    <w:p w:rsidR="00905D60" w:rsidRDefault="00905D60" w:rsidP="00905D60">
      <w:pPr>
        <w:tabs>
          <w:tab w:val="left" w:pos="4050"/>
        </w:tabs>
      </w:pPr>
      <w:r>
        <w:object w:dxaOrig="8805" w:dyaOrig="6604">
          <v:shape id="_x0000_i1043" type="#_x0000_t75" style="width:440.25pt;height:330pt" o:ole="">
            <v:imagedata r:id="rId42" o:title=""/>
          </v:shape>
          <o:OLEObject Type="Embed" ProgID="STATISTICA.Graph" ShapeID="_x0000_i1043" DrawAspect="Content" ObjectID="_1472234026" r:id="rId43">
            <o:FieldCodes>\s</o:FieldCodes>
          </o:OLEObject>
        </w:object>
      </w:r>
    </w:p>
    <w:p w:rsidR="00905D60" w:rsidRPr="00A26F26" w:rsidRDefault="00905D60" w:rsidP="00905D60">
      <w:pPr>
        <w:jc w:val="center"/>
        <w:rPr>
          <w:sz w:val="28"/>
          <w:szCs w:val="28"/>
        </w:rPr>
      </w:pPr>
      <w:r w:rsidRPr="00A26F26">
        <w:rPr>
          <w:b/>
          <w:sz w:val="28"/>
          <w:szCs w:val="28"/>
        </w:rPr>
        <w:t xml:space="preserve">        Рис. 11</w:t>
      </w:r>
      <w:r w:rsidRPr="00A26F26">
        <w:rPr>
          <w:sz w:val="28"/>
          <w:szCs w:val="28"/>
        </w:rPr>
        <w:t>. Нормальный вероятностный график остатков.</w:t>
      </w:r>
    </w:p>
    <w:p w:rsidR="00905D60" w:rsidRPr="00A26F26" w:rsidRDefault="00905D60" w:rsidP="00905D60">
      <w:pPr>
        <w:jc w:val="center"/>
        <w:rPr>
          <w:sz w:val="28"/>
          <w:szCs w:val="28"/>
        </w:rPr>
      </w:pPr>
    </w:p>
    <w:p w:rsidR="00905D60" w:rsidRPr="00A26F26" w:rsidRDefault="00905D60" w:rsidP="00905D60">
      <w:pPr>
        <w:spacing w:line="360" w:lineRule="auto"/>
        <w:jc w:val="both"/>
        <w:rPr>
          <w:sz w:val="28"/>
          <w:szCs w:val="28"/>
        </w:rPr>
      </w:pPr>
      <w:r w:rsidRPr="00A26F26">
        <w:rPr>
          <w:sz w:val="28"/>
          <w:szCs w:val="28"/>
        </w:rPr>
        <w:t xml:space="preserve">Амплитуда остатков увеличивается, что говорит о том, что модель на более поздних периодах отражает тенденцию временного ряда хуже, чем на более ранних этапах. На нормальном вероятностном графике видно, что остатки имеют </w:t>
      </w:r>
      <w:r w:rsidRPr="00A26F26">
        <w:rPr>
          <w:sz w:val="28"/>
          <w:szCs w:val="28"/>
          <w:lang w:val="en-US"/>
        </w:rPr>
        <w:t>s</w:t>
      </w:r>
      <w:r w:rsidRPr="00A26F26">
        <w:rPr>
          <w:sz w:val="28"/>
          <w:szCs w:val="28"/>
        </w:rPr>
        <w:t xml:space="preserve">-образную форму, то есть отходят от общей прямой. </w:t>
      </w:r>
    </w:p>
    <w:p w:rsidR="00905D60" w:rsidRPr="00A26F26" w:rsidRDefault="00905D60" w:rsidP="00905D60">
      <w:pPr>
        <w:spacing w:line="360" w:lineRule="auto"/>
        <w:ind w:firstLine="708"/>
        <w:jc w:val="both"/>
        <w:rPr>
          <w:sz w:val="28"/>
          <w:szCs w:val="28"/>
        </w:rPr>
      </w:pPr>
      <w:r w:rsidRPr="00A26F26">
        <w:rPr>
          <w:sz w:val="28"/>
          <w:szCs w:val="28"/>
        </w:rPr>
        <w:t>В автокорреляционной функции остатков на лагах появляются значимые коэффициенты, что может говорить о том, что сезонность не полностью устранена. В то же время ошибки по последней модели наименьшие из всех выше рассмотренных.</w:t>
      </w:r>
    </w:p>
    <w:p w:rsidR="00905D60" w:rsidRPr="00A26F26" w:rsidRDefault="00905D60" w:rsidP="00905D60">
      <w:pPr>
        <w:tabs>
          <w:tab w:val="left" w:pos="3795"/>
        </w:tabs>
        <w:jc w:val="right"/>
        <w:rPr>
          <w:sz w:val="28"/>
          <w:szCs w:val="28"/>
        </w:rPr>
      </w:pPr>
      <w:r>
        <w:rPr>
          <w:sz w:val="28"/>
          <w:szCs w:val="28"/>
        </w:rPr>
        <w:t>Таблица 4</w:t>
      </w:r>
    </w:p>
    <w:p w:rsidR="00905D60" w:rsidRPr="00A26F26" w:rsidRDefault="00905D60" w:rsidP="00905D60">
      <w:pPr>
        <w:ind w:firstLine="708"/>
        <w:jc w:val="center"/>
        <w:rPr>
          <w:sz w:val="28"/>
          <w:szCs w:val="28"/>
        </w:rPr>
      </w:pPr>
      <w:r w:rsidRPr="00A26F26">
        <w:rPr>
          <w:sz w:val="28"/>
          <w:szCs w:val="28"/>
        </w:rPr>
        <w:t>Сводная таблица по ошибкам 3 моделей.</w:t>
      </w:r>
    </w:p>
    <w:tbl>
      <w:tblPr>
        <w:tblW w:w="9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476"/>
        <w:gridCol w:w="1634"/>
        <w:gridCol w:w="1701"/>
        <w:gridCol w:w="1276"/>
        <w:gridCol w:w="1352"/>
      </w:tblGrid>
      <w:tr w:rsidR="00905D60">
        <w:trPr>
          <w:jc w:val="center"/>
        </w:trPr>
        <w:tc>
          <w:tcPr>
            <w:tcW w:w="1985" w:type="dxa"/>
          </w:tcPr>
          <w:p w:rsidR="00905D60" w:rsidRPr="001C616A" w:rsidRDefault="00905D60" w:rsidP="00905D60">
            <w:pPr>
              <w:jc w:val="center"/>
              <w:rPr>
                <w:b/>
                <w:sz w:val="20"/>
                <w:szCs w:val="20"/>
              </w:rPr>
            </w:pPr>
            <w:r>
              <w:rPr>
                <w:b/>
                <w:sz w:val="20"/>
                <w:szCs w:val="20"/>
                <w:lang w:val="en-US"/>
              </w:rPr>
              <w:t>Показатель</w:t>
            </w:r>
          </w:p>
        </w:tc>
        <w:tc>
          <w:tcPr>
            <w:tcW w:w="1476" w:type="dxa"/>
          </w:tcPr>
          <w:p w:rsidR="00905D60" w:rsidRPr="001E5DA8" w:rsidRDefault="00905D60" w:rsidP="00905D60">
            <w:pPr>
              <w:jc w:val="both"/>
              <w:rPr>
                <w:b/>
                <w:sz w:val="20"/>
                <w:szCs w:val="20"/>
              </w:rPr>
            </w:pPr>
            <w:r w:rsidRPr="004C5978">
              <w:rPr>
                <w:b/>
                <w:sz w:val="20"/>
                <w:szCs w:val="20"/>
                <w:lang w:val="en-US"/>
              </w:rPr>
              <w:t>SE</w:t>
            </w:r>
          </w:p>
        </w:tc>
        <w:tc>
          <w:tcPr>
            <w:tcW w:w="1634" w:type="dxa"/>
          </w:tcPr>
          <w:p w:rsidR="00905D60" w:rsidRPr="001E5DA8" w:rsidRDefault="00905D60" w:rsidP="00905D60">
            <w:pPr>
              <w:jc w:val="center"/>
              <w:rPr>
                <w:b/>
                <w:sz w:val="20"/>
                <w:szCs w:val="20"/>
              </w:rPr>
            </w:pPr>
            <w:r w:rsidRPr="004C5978">
              <w:rPr>
                <w:b/>
                <w:sz w:val="20"/>
                <w:szCs w:val="20"/>
              </w:rPr>
              <w:t xml:space="preserve"> </w:t>
            </w:r>
            <w:r w:rsidRPr="004C5978">
              <w:rPr>
                <w:b/>
                <w:sz w:val="20"/>
                <w:szCs w:val="20"/>
                <w:lang w:val="en-US"/>
              </w:rPr>
              <w:t>MAD</w:t>
            </w:r>
          </w:p>
        </w:tc>
        <w:tc>
          <w:tcPr>
            <w:tcW w:w="1701" w:type="dxa"/>
          </w:tcPr>
          <w:p w:rsidR="00905D60" w:rsidRPr="004C5978" w:rsidRDefault="00905D60" w:rsidP="00905D60">
            <w:pPr>
              <w:jc w:val="center"/>
              <w:rPr>
                <w:b/>
                <w:sz w:val="20"/>
                <w:szCs w:val="20"/>
              </w:rPr>
            </w:pPr>
            <w:r>
              <w:rPr>
                <w:b/>
                <w:sz w:val="20"/>
                <w:szCs w:val="20"/>
              </w:rPr>
              <w:t xml:space="preserve"> </w:t>
            </w:r>
            <w:r w:rsidRPr="004C5978">
              <w:rPr>
                <w:b/>
                <w:sz w:val="20"/>
                <w:szCs w:val="20"/>
                <w:lang w:val="en-US"/>
              </w:rPr>
              <w:t>MSE</w:t>
            </w:r>
          </w:p>
        </w:tc>
        <w:tc>
          <w:tcPr>
            <w:tcW w:w="1276" w:type="dxa"/>
          </w:tcPr>
          <w:p w:rsidR="00905D60" w:rsidRPr="004C5978" w:rsidRDefault="00905D60" w:rsidP="00905D60">
            <w:pPr>
              <w:jc w:val="center"/>
              <w:rPr>
                <w:b/>
                <w:sz w:val="20"/>
                <w:szCs w:val="20"/>
              </w:rPr>
            </w:pPr>
            <w:r w:rsidRPr="004C5978">
              <w:rPr>
                <w:b/>
                <w:sz w:val="20"/>
                <w:szCs w:val="20"/>
                <w:lang w:val="en-US"/>
              </w:rPr>
              <w:t>MAPE</w:t>
            </w:r>
          </w:p>
        </w:tc>
        <w:tc>
          <w:tcPr>
            <w:tcW w:w="1352" w:type="dxa"/>
          </w:tcPr>
          <w:p w:rsidR="00905D60" w:rsidRPr="00977A56" w:rsidRDefault="00905D60" w:rsidP="00905D60">
            <w:pPr>
              <w:jc w:val="center"/>
              <w:rPr>
                <w:b/>
                <w:sz w:val="20"/>
                <w:szCs w:val="20"/>
              </w:rPr>
            </w:pPr>
            <w:r w:rsidRPr="004C5978">
              <w:rPr>
                <w:b/>
                <w:sz w:val="20"/>
                <w:szCs w:val="20"/>
                <w:lang w:val="en-US"/>
              </w:rPr>
              <w:t>MPE</w:t>
            </w:r>
          </w:p>
        </w:tc>
      </w:tr>
      <w:tr w:rsidR="00905D60">
        <w:trPr>
          <w:jc w:val="center"/>
        </w:trPr>
        <w:tc>
          <w:tcPr>
            <w:tcW w:w="1985" w:type="dxa"/>
          </w:tcPr>
          <w:p w:rsidR="00905D60" w:rsidRDefault="00905D60" w:rsidP="00905D60">
            <w:pPr>
              <w:jc w:val="center"/>
              <w:rPr>
                <w:sz w:val="20"/>
                <w:szCs w:val="20"/>
              </w:rPr>
            </w:pPr>
            <w:r>
              <w:rPr>
                <w:sz w:val="20"/>
                <w:szCs w:val="20"/>
              </w:rPr>
              <w:t xml:space="preserve">Экспоненциальная </w:t>
            </w:r>
          </w:p>
        </w:tc>
        <w:tc>
          <w:tcPr>
            <w:tcW w:w="14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524,31</w:t>
            </w:r>
          </w:p>
        </w:tc>
        <w:tc>
          <w:tcPr>
            <w:tcW w:w="1634"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370,31</w:t>
            </w:r>
          </w:p>
        </w:tc>
        <w:tc>
          <w:tcPr>
            <w:tcW w:w="1701"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270678,5</w:t>
            </w:r>
          </w:p>
        </w:tc>
        <w:tc>
          <w:tcPr>
            <w:tcW w:w="12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0,35</w:t>
            </w:r>
          </w:p>
        </w:tc>
        <w:tc>
          <w:tcPr>
            <w:tcW w:w="1352"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0,35</w:t>
            </w:r>
          </w:p>
        </w:tc>
      </w:tr>
      <w:tr w:rsidR="00905D60">
        <w:trPr>
          <w:jc w:val="center"/>
        </w:trPr>
        <w:tc>
          <w:tcPr>
            <w:tcW w:w="1985" w:type="dxa"/>
          </w:tcPr>
          <w:p w:rsidR="00905D60" w:rsidRDefault="00905D60" w:rsidP="00905D60">
            <w:pPr>
              <w:jc w:val="center"/>
              <w:rPr>
                <w:sz w:val="20"/>
                <w:szCs w:val="20"/>
              </w:rPr>
            </w:pPr>
            <w:r>
              <w:rPr>
                <w:sz w:val="20"/>
                <w:szCs w:val="20"/>
              </w:rPr>
              <w:t>Хольта  0,9-0,1</w:t>
            </w:r>
          </w:p>
        </w:tc>
        <w:tc>
          <w:tcPr>
            <w:tcW w:w="14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119,63</w:t>
            </w:r>
          </w:p>
        </w:tc>
        <w:tc>
          <w:tcPr>
            <w:tcW w:w="1634"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86,43</w:t>
            </w:r>
          </w:p>
        </w:tc>
        <w:tc>
          <w:tcPr>
            <w:tcW w:w="1701"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14091,79</w:t>
            </w:r>
          </w:p>
        </w:tc>
        <w:tc>
          <w:tcPr>
            <w:tcW w:w="12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0,09</w:t>
            </w:r>
          </w:p>
        </w:tc>
        <w:tc>
          <w:tcPr>
            <w:tcW w:w="1352"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0,005</w:t>
            </w:r>
          </w:p>
        </w:tc>
      </w:tr>
      <w:tr w:rsidR="00905D60">
        <w:trPr>
          <w:jc w:val="center"/>
        </w:trPr>
        <w:tc>
          <w:tcPr>
            <w:tcW w:w="1985" w:type="dxa"/>
          </w:tcPr>
          <w:p w:rsidR="00905D60" w:rsidRPr="006577B7" w:rsidRDefault="00711EFC" w:rsidP="00905D60">
            <w:pPr>
              <w:jc w:val="center"/>
              <w:rPr>
                <w:sz w:val="20"/>
                <w:szCs w:val="20"/>
              </w:rPr>
            </w:pPr>
            <w:r>
              <w:rPr>
                <w:sz w:val="20"/>
                <w:szCs w:val="20"/>
              </w:rPr>
              <w:t>Хольта-У</w:t>
            </w:r>
            <w:r w:rsidR="00905D60">
              <w:rPr>
                <w:sz w:val="20"/>
                <w:szCs w:val="20"/>
              </w:rPr>
              <w:t>интерса</w:t>
            </w:r>
          </w:p>
        </w:tc>
        <w:tc>
          <w:tcPr>
            <w:tcW w:w="14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116,82</w:t>
            </w:r>
          </w:p>
        </w:tc>
        <w:tc>
          <w:tcPr>
            <w:tcW w:w="1634"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80,49</w:t>
            </w:r>
          </w:p>
        </w:tc>
        <w:tc>
          <w:tcPr>
            <w:tcW w:w="1701"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13437,46</w:t>
            </w:r>
          </w:p>
        </w:tc>
        <w:tc>
          <w:tcPr>
            <w:tcW w:w="1276"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0,106</w:t>
            </w:r>
          </w:p>
        </w:tc>
        <w:tc>
          <w:tcPr>
            <w:tcW w:w="1352" w:type="dxa"/>
            <w:vAlign w:val="bottom"/>
          </w:tcPr>
          <w:p w:rsidR="00905D60" w:rsidRDefault="00905D60" w:rsidP="00905D60">
            <w:pPr>
              <w:jc w:val="right"/>
              <w:rPr>
                <w:rFonts w:ascii="Arial CYR" w:hAnsi="Arial CYR" w:cs="Arial CYR"/>
                <w:sz w:val="20"/>
                <w:szCs w:val="20"/>
              </w:rPr>
            </w:pPr>
            <w:r>
              <w:rPr>
                <w:rFonts w:ascii="Arial CYR" w:hAnsi="Arial CYR" w:cs="Arial CYR"/>
                <w:sz w:val="20"/>
                <w:szCs w:val="20"/>
              </w:rPr>
              <w:t>0,009</w:t>
            </w:r>
          </w:p>
        </w:tc>
      </w:tr>
    </w:tbl>
    <w:p w:rsidR="00905D60" w:rsidRDefault="00905D60" w:rsidP="00905D60">
      <w:pPr>
        <w:tabs>
          <w:tab w:val="left" w:pos="3795"/>
        </w:tabs>
        <w:rPr>
          <w:sz w:val="28"/>
          <w:szCs w:val="28"/>
        </w:rPr>
      </w:pPr>
    </w:p>
    <w:p w:rsidR="00905D60" w:rsidRDefault="00905D60" w:rsidP="00905D60">
      <w:pPr>
        <w:tabs>
          <w:tab w:val="left" w:pos="3795"/>
        </w:tabs>
        <w:rPr>
          <w:sz w:val="28"/>
          <w:szCs w:val="28"/>
        </w:rPr>
      </w:pPr>
      <w:r>
        <w:rPr>
          <w:sz w:val="28"/>
          <w:szCs w:val="28"/>
        </w:rPr>
        <w:t>Анализируя ошибки по 3 моделям можно сделать вывод, что наиболее адекватной мо</w:t>
      </w:r>
      <w:r w:rsidR="00711EFC">
        <w:rPr>
          <w:sz w:val="28"/>
          <w:szCs w:val="28"/>
        </w:rPr>
        <w:t>делью является модель Хольта - У</w:t>
      </w:r>
      <w:r>
        <w:rPr>
          <w:sz w:val="28"/>
          <w:szCs w:val="28"/>
        </w:rPr>
        <w:t xml:space="preserve">интерса. Во-первых, она имеет наименьшие ошибки. Кроме того, распределение остатков у нее ближе всего  к нормальному. </w:t>
      </w:r>
    </w:p>
    <w:p w:rsidR="00905D60" w:rsidRDefault="00905D60" w:rsidP="00905D60">
      <w:pPr>
        <w:tabs>
          <w:tab w:val="left" w:pos="3795"/>
        </w:tabs>
        <w:rPr>
          <w:sz w:val="28"/>
          <w:szCs w:val="28"/>
        </w:rPr>
      </w:pPr>
    </w:p>
    <w:p w:rsidR="00905D60" w:rsidRPr="00F87CF8" w:rsidRDefault="00905D60" w:rsidP="00905D60">
      <w:pPr>
        <w:tabs>
          <w:tab w:val="left" w:pos="3795"/>
        </w:tabs>
        <w:rPr>
          <w:sz w:val="28"/>
          <w:szCs w:val="28"/>
        </w:rPr>
      </w:pPr>
      <w:r>
        <w:rPr>
          <w:sz w:val="28"/>
          <w:szCs w:val="28"/>
        </w:rPr>
        <w:t xml:space="preserve">Сведем в таблицу полученные прогнозные значения по 3 моделям. Для моделей </w:t>
      </w:r>
      <w:r w:rsidRPr="00F87CF8">
        <w:rPr>
          <w:sz w:val="28"/>
          <w:szCs w:val="28"/>
        </w:rPr>
        <w:t>Х</w:t>
      </w:r>
      <w:r>
        <w:rPr>
          <w:sz w:val="28"/>
          <w:szCs w:val="28"/>
        </w:rPr>
        <w:t xml:space="preserve">ольта и </w:t>
      </w:r>
      <w:r w:rsidRPr="00F87CF8">
        <w:rPr>
          <w:sz w:val="28"/>
          <w:szCs w:val="28"/>
        </w:rPr>
        <w:t>Х</w:t>
      </w:r>
      <w:r>
        <w:rPr>
          <w:sz w:val="28"/>
          <w:szCs w:val="28"/>
        </w:rPr>
        <w:t xml:space="preserve">ольта – </w:t>
      </w:r>
      <w:r w:rsidRPr="00F87CF8">
        <w:rPr>
          <w:sz w:val="28"/>
          <w:szCs w:val="28"/>
        </w:rPr>
        <w:t>В</w:t>
      </w:r>
      <w:r>
        <w:rPr>
          <w:sz w:val="28"/>
          <w:szCs w:val="28"/>
        </w:rPr>
        <w:t>интерса прогноз высчитывается программой STATISTICA. По экспоненциальной функции расчет 3 прогнозных значений произведен выше. Учитывая, что наиболее адекватной моделью является 3, при необходимости использования прогнозных значений мы рекомендуем пользоваться именно ей.</w:t>
      </w:r>
    </w:p>
    <w:p w:rsidR="00905D60" w:rsidRPr="00C137A3" w:rsidRDefault="00905D60" w:rsidP="00905D60">
      <w:pPr>
        <w:tabs>
          <w:tab w:val="left" w:pos="3795"/>
        </w:tabs>
        <w:jc w:val="right"/>
        <w:rPr>
          <w:sz w:val="28"/>
          <w:szCs w:val="28"/>
        </w:rPr>
      </w:pPr>
      <w:r>
        <w:rPr>
          <w:sz w:val="28"/>
          <w:szCs w:val="28"/>
        </w:rPr>
        <w:t>Таблица 5</w:t>
      </w:r>
    </w:p>
    <w:p w:rsidR="00905D60" w:rsidRPr="00A26F26" w:rsidRDefault="00905D60" w:rsidP="00905D60">
      <w:pPr>
        <w:rPr>
          <w:sz w:val="28"/>
          <w:szCs w:val="28"/>
        </w:rPr>
      </w:pPr>
    </w:p>
    <w:p w:rsidR="00905D60" w:rsidRPr="00A26F26" w:rsidRDefault="00905D60" w:rsidP="00905D60">
      <w:pPr>
        <w:jc w:val="center"/>
        <w:rPr>
          <w:sz w:val="28"/>
          <w:szCs w:val="28"/>
        </w:rPr>
      </w:pPr>
      <w:r w:rsidRPr="00A26F26">
        <w:rPr>
          <w:sz w:val="28"/>
          <w:szCs w:val="28"/>
        </w:rPr>
        <w:t>Сводная таблица по прогнозным значениям 3 моделей.</w:t>
      </w:r>
    </w:p>
    <w:tbl>
      <w:tblPr>
        <w:tblW w:w="6796" w:type="dxa"/>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476"/>
        <w:gridCol w:w="1634"/>
        <w:gridCol w:w="1701"/>
      </w:tblGrid>
      <w:tr w:rsidR="00905D60">
        <w:tc>
          <w:tcPr>
            <w:tcW w:w="1985" w:type="dxa"/>
          </w:tcPr>
          <w:p w:rsidR="00905D60" w:rsidRPr="00EB2CA5" w:rsidRDefault="00905D60" w:rsidP="00905D60">
            <w:pPr>
              <w:jc w:val="center"/>
              <w:rPr>
                <w:b/>
              </w:rPr>
            </w:pPr>
            <w:r w:rsidRPr="00A26F26">
              <w:rPr>
                <w:b/>
              </w:rPr>
              <w:t>Показатель</w:t>
            </w:r>
          </w:p>
        </w:tc>
        <w:tc>
          <w:tcPr>
            <w:tcW w:w="1476" w:type="dxa"/>
          </w:tcPr>
          <w:p w:rsidR="00905D60" w:rsidRPr="00EB2CA5" w:rsidRDefault="00905D60" w:rsidP="00905D60">
            <w:pPr>
              <w:jc w:val="both"/>
              <w:rPr>
                <w:b/>
              </w:rPr>
            </w:pPr>
            <w:r w:rsidRPr="00EB2CA5">
              <w:t>Экспоненциальная</w:t>
            </w:r>
          </w:p>
        </w:tc>
        <w:tc>
          <w:tcPr>
            <w:tcW w:w="1634" w:type="dxa"/>
          </w:tcPr>
          <w:p w:rsidR="00905D60" w:rsidRPr="00EB2CA5" w:rsidRDefault="00905D60" w:rsidP="00905D60">
            <w:pPr>
              <w:jc w:val="center"/>
              <w:rPr>
                <w:b/>
              </w:rPr>
            </w:pPr>
            <w:r w:rsidRPr="00EB2CA5">
              <w:t>Хольта  0,9-0,1</w:t>
            </w:r>
          </w:p>
        </w:tc>
        <w:tc>
          <w:tcPr>
            <w:tcW w:w="1701" w:type="dxa"/>
          </w:tcPr>
          <w:p w:rsidR="00905D60" w:rsidRPr="00EB2CA5" w:rsidRDefault="00905D60" w:rsidP="00905D60">
            <w:pPr>
              <w:jc w:val="center"/>
              <w:rPr>
                <w:b/>
              </w:rPr>
            </w:pPr>
            <w:r w:rsidRPr="00EB2CA5">
              <w:t>Хольта-винтерса</w:t>
            </w:r>
          </w:p>
        </w:tc>
      </w:tr>
      <w:tr w:rsidR="00905D60">
        <w:tc>
          <w:tcPr>
            <w:tcW w:w="1985" w:type="dxa"/>
          </w:tcPr>
          <w:p w:rsidR="00905D60" w:rsidRPr="00EB2CA5" w:rsidRDefault="00905D60" w:rsidP="00905D60">
            <w:pPr>
              <w:jc w:val="center"/>
            </w:pPr>
            <w:r w:rsidRPr="00EB2CA5">
              <w:t>ноябрь</w:t>
            </w:r>
          </w:p>
        </w:tc>
        <w:tc>
          <w:tcPr>
            <w:tcW w:w="1476" w:type="dxa"/>
            <w:vAlign w:val="bottom"/>
          </w:tcPr>
          <w:p w:rsidR="00905D60" w:rsidRPr="00EB2CA5" w:rsidRDefault="00905D60" w:rsidP="00905D60">
            <w:pPr>
              <w:jc w:val="right"/>
              <w:rPr>
                <w:rFonts w:ascii="Arial CYR" w:hAnsi="Arial CYR" w:cs="Arial CYR"/>
              </w:rPr>
            </w:pPr>
            <w:r w:rsidRPr="00EB2CA5">
              <w:rPr>
                <w:rFonts w:ascii="Arial CYR" w:hAnsi="Arial CYR" w:cs="Arial CYR"/>
                <w:color w:val="000000"/>
                <w:kern w:val="1"/>
              </w:rPr>
              <w:t>2703,60</w:t>
            </w:r>
          </w:p>
        </w:tc>
        <w:tc>
          <w:tcPr>
            <w:tcW w:w="1634" w:type="dxa"/>
            <w:vAlign w:val="center"/>
          </w:tcPr>
          <w:p w:rsidR="00905D60" w:rsidRPr="00EB2CA5" w:rsidRDefault="00905D60" w:rsidP="00905D60">
            <w:r w:rsidRPr="00EB2CA5">
              <w:rPr>
                <w:rFonts w:ascii="Arial" w:hAnsi="Arial" w:cs="Arial"/>
                <w:color w:val="000000"/>
              </w:rPr>
              <w:t>1582,246</w:t>
            </w:r>
          </w:p>
        </w:tc>
        <w:tc>
          <w:tcPr>
            <w:tcW w:w="1701" w:type="dxa"/>
            <w:vAlign w:val="center"/>
          </w:tcPr>
          <w:p w:rsidR="00905D60" w:rsidRPr="00EB2CA5" w:rsidRDefault="00905D60" w:rsidP="00905D60">
            <w:r w:rsidRPr="00EB2CA5">
              <w:rPr>
                <w:rFonts w:ascii="Arial" w:hAnsi="Arial" w:cs="Arial"/>
                <w:color w:val="000000"/>
              </w:rPr>
              <w:t>1601,812</w:t>
            </w:r>
          </w:p>
        </w:tc>
      </w:tr>
      <w:tr w:rsidR="00905D60">
        <w:tc>
          <w:tcPr>
            <w:tcW w:w="1985" w:type="dxa"/>
          </w:tcPr>
          <w:p w:rsidR="00905D60" w:rsidRPr="00EB2CA5" w:rsidRDefault="00905D60" w:rsidP="00905D60">
            <w:pPr>
              <w:jc w:val="center"/>
            </w:pPr>
            <w:r w:rsidRPr="00EB2CA5">
              <w:t>декабрь</w:t>
            </w:r>
          </w:p>
        </w:tc>
        <w:tc>
          <w:tcPr>
            <w:tcW w:w="1476" w:type="dxa"/>
            <w:vAlign w:val="bottom"/>
          </w:tcPr>
          <w:p w:rsidR="00905D60" w:rsidRPr="00EB2CA5" w:rsidRDefault="00905D60" w:rsidP="00905D60">
            <w:pPr>
              <w:jc w:val="right"/>
              <w:rPr>
                <w:rFonts w:ascii="Arial CYR" w:hAnsi="Arial CYR" w:cs="Arial CYR"/>
              </w:rPr>
            </w:pPr>
            <w:r w:rsidRPr="00EB2CA5">
              <w:rPr>
                <w:rFonts w:ascii="Arial CYR" w:hAnsi="Arial CYR" w:cs="Arial CYR"/>
                <w:color w:val="000000"/>
                <w:kern w:val="1"/>
              </w:rPr>
              <w:t>2758,22</w:t>
            </w:r>
          </w:p>
        </w:tc>
        <w:tc>
          <w:tcPr>
            <w:tcW w:w="1634" w:type="dxa"/>
            <w:vAlign w:val="center"/>
          </w:tcPr>
          <w:p w:rsidR="00905D60" w:rsidRPr="00EB2CA5" w:rsidRDefault="00905D60" w:rsidP="00905D60">
            <w:r w:rsidRPr="00EB2CA5">
              <w:rPr>
                <w:rFonts w:ascii="Arial" w:hAnsi="Arial" w:cs="Arial"/>
                <w:color w:val="000000"/>
              </w:rPr>
              <w:t>1601,092</w:t>
            </w:r>
          </w:p>
        </w:tc>
        <w:tc>
          <w:tcPr>
            <w:tcW w:w="1701" w:type="dxa"/>
            <w:vAlign w:val="center"/>
          </w:tcPr>
          <w:p w:rsidR="00905D60" w:rsidRPr="00EB2CA5" w:rsidRDefault="00905D60" w:rsidP="00905D60">
            <w:r w:rsidRPr="00EB2CA5">
              <w:rPr>
                <w:rFonts w:ascii="Arial" w:hAnsi="Arial" w:cs="Arial"/>
                <w:color w:val="000000"/>
              </w:rPr>
              <w:t>1669,648</w:t>
            </w:r>
          </w:p>
        </w:tc>
      </w:tr>
      <w:tr w:rsidR="00905D60">
        <w:tc>
          <w:tcPr>
            <w:tcW w:w="1985" w:type="dxa"/>
          </w:tcPr>
          <w:p w:rsidR="00905D60" w:rsidRPr="00EB2CA5" w:rsidRDefault="00905D60" w:rsidP="00905D60">
            <w:pPr>
              <w:jc w:val="center"/>
            </w:pPr>
            <w:r w:rsidRPr="00EB2CA5">
              <w:t>январь</w:t>
            </w:r>
          </w:p>
        </w:tc>
        <w:tc>
          <w:tcPr>
            <w:tcW w:w="1476" w:type="dxa"/>
            <w:vAlign w:val="bottom"/>
          </w:tcPr>
          <w:p w:rsidR="00905D60" w:rsidRPr="00EB2CA5" w:rsidRDefault="00905D60" w:rsidP="00905D60">
            <w:pPr>
              <w:jc w:val="right"/>
              <w:rPr>
                <w:rFonts w:ascii="Arial CYR" w:hAnsi="Arial CYR" w:cs="Arial CYR"/>
              </w:rPr>
            </w:pPr>
            <w:r w:rsidRPr="00EB2CA5">
              <w:rPr>
                <w:rFonts w:ascii="Arial CYR" w:hAnsi="Arial CYR" w:cs="Arial CYR"/>
                <w:color w:val="000000"/>
                <w:kern w:val="1"/>
              </w:rPr>
              <w:t>2813,94</w:t>
            </w:r>
          </w:p>
        </w:tc>
        <w:tc>
          <w:tcPr>
            <w:tcW w:w="1634" w:type="dxa"/>
            <w:vAlign w:val="center"/>
          </w:tcPr>
          <w:p w:rsidR="00905D60" w:rsidRPr="00EB2CA5" w:rsidRDefault="00905D60" w:rsidP="00905D60">
            <w:r w:rsidRPr="00EB2CA5">
              <w:rPr>
                <w:rFonts w:ascii="Arial" w:hAnsi="Arial" w:cs="Arial"/>
                <w:color w:val="000000"/>
              </w:rPr>
              <w:t>1619,938</w:t>
            </w:r>
          </w:p>
        </w:tc>
        <w:tc>
          <w:tcPr>
            <w:tcW w:w="1701" w:type="dxa"/>
            <w:vAlign w:val="center"/>
          </w:tcPr>
          <w:p w:rsidR="00905D60" w:rsidRPr="00EB2CA5" w:rsidRDefault="00905D60" w:rsidP="00905D60">
            <w:r w:rsidRPr="00EB2CA5">
              <w:rPr>
                <w:rFonts w:ascii="Arial" w:hAnsi="Arial" w:cs="Arial"/>
                <w:color w:val="000000"/>
              </w:rPr>
              <w:t>1675,042</w:t>
            </w:r>
          </w:p>
        </w:tc>
      </w:tr>
    </w:tbl>
    <w:p w:rsidR="00905D60" w:rsidRDefault="00905D60" w:rsidP="00905D60"/>
    <w:p w:rsidR="00377ED6" w:rsidRDefault="00377ED6" w:rsidP="00377ED6">
      <w:pPr>
        <w:spacing w:line="360" w:lineRule="auto"/>
        <w:jc w:val="center"/>
        <w:rPr>
          <w:b/>
          <w:sz w:val="28"/>
          <w:szCs w:val="28"/>
        </w:rPr>
      </w:pPr>
    </w:p>
    <w:p w:rsidR="00905D60" w:rsidRPr="00377ED6" w:rsidRDefault="00377ED6" w:rsidP="00377ED6">
      <w:pPr>
        <w:spacing w:line="360" w:lineRule="auto"/>
        <w:jc w:val="center"/>
        <w:rPr>
          <w:b/>
          <w:sz w:val="28"/>
          <w:szCs w:val="28"/>
        </w:rPr>
      </w:pPr>
      <w:r w:rsidRPr="00377ED6">
        <w:rPr>
          <w:b/>
          <w:sz w:val="28"/>
          <w:szCs w:val="28"/>
        </w:rPr>
        <w:t>2.7  Пути выхода из кризиса на фондовом рынке</w:t>
      </w:r>
      <w:r>
        <w:rPr>
          <w:b/>
          <w:sz w:val="28"/>
          <w:szCs w:val="28"/>
        </w:rPr>
        <w:t>.</w:t>
      </w:r>
    </w:p>
    <w:p w:rsidR="00B75D10" w:rsidRPr="00FD6229" w:rsidRDefault="00B75D10" w:rsidP="00377ED6">
      <w:pPr>
        <w:tabs>
          <w:tab w:val="left" w:pos="851"/>
        </w:tabs>
        <w:spacing w:line="360" w:lineRule="auto"/>
        <w:ind w:firstLine="709"/>
        <w:jc w:val="both"/>
        <w:rPr>
          <w:sz w:val="28"/>
          <w:szCs w:val="28"/>
        </w:rPr>
      </w:pPr>
      <w:r w:rsidRPr="00FD6229">
        <w:rPr>
          <w:sz w:val="28"/>
          <w:szCs w:val="28"/>
        </w:rPr>
        <w:t xml:space="preserve">Для преодоления кризиса на рынке ценных бумаг необходимы в первую очередь антикризисные меры со стороны основных регулирующих органов. </w:t>
      </w:r>
    </w:p>
    <w:p w:rsidR="00B75D10" w:rsidRPr="00FD6229" w:rsidRDefault="00B75D10" w:rsidP="00377ED6">
      <w:pPr>
        <w:tabs>
          <w:tab w:val="left" w:pos="1168"/>
        </w:tabs>
        <w:spacing w:line="360" w:lineRule="auto"/>
        <w:ind w:firstLine="709"/>
        <w:jc w:val="both"/>
        <w:rPr>
          <w:i/>
          <w:iCs/>
          <w:sz w:val="28"/>
          <w:szCs w:val="28"/>
          <w:u w:val="single"/>
        </w:rPr>
      </w:pPr>
      <w:r w:rsidRPr="00FD6229">
        <w:rPr>
          <w:i/>
          <w:iCs/>
          <w:sz w:val="28"/>
          <w:szCs w:val="28"/>
          <w:u w:val="single"/>
        </w:rPr>
        <w:t>Предлагаемые меры по усилению регулирования рынка ценных бумаг Банком России</w:t>
      </w:r>
      <w:r w:rsidRPr="00FD6229">
        <w:rPr>
          <w:sz w:val="28"/>
          <w:szCs w:val="28"/>
        </w:rPr>
        <w:t>:</w:t>
      </w:r>
    </w:p>
    <w:p w:rsidR="00B75D10" w:rsidRPr="00FD6229" w:rsidRDefault="00377ED6" w:rsidP="00377ED6">
      <w:pPr>
        <w:pStyle w:val="a8"/>
        <w:tabs>
          <w:tab w:val="left" w:pos="567"/>
          <w:tab w:val="left" w:pos="1168"/>
        </w:tabs>
        <w:overflowPunct/>
        <w:autoSpaceDE/>
        <w:autoSpaceDN/>
        <w:adjustRightInd/>
        <w:ind w:left="0" w:firstLine="0"/>
        <w:textAlignment w:val="auto"/>
        <w:rPr>
          <w:rFonts w:ascii="Times New Roman" w:hAnsi="Times New Roman" w:cs="Times New Roman"/>
          <w:lang w:val="ru-RU"/>
        </w:rPr>
      </w:pPr>
      <w:r>
        <w:rPr>
          <w:rFonts w:ascii="Times New Roman" w:hAnsi="Times New Roman" w:cs="Times New Roman"/>
          <w:lang w:val="ru-RU"/>
        </w:rPr>
        <w:t xml:space="preserve">   </w:t>
      </w:r>
      <w:r w:rsidR="00B75D10" w:rsidRPr="00FD6229">
        <w:rPr>
          <w:rFonts w:ascii="Times New Roman" w:hAnsi="Times New Roman" w:cs="Times New Roman"/>
          <w:lang w:val="ru-RU"/>
        </w:rPr>
        <w:t>выход на качественно новый уровень банковского регулирования фондового рынка – создание банковского консорциума во главе с ЦБ РФ. В состав консорциума должны входить: Банк России, Сбербанк РФ, Внешторгбанк, Внешэкономбанк, Газпромбанк, Россельхозбанк, Банк Москвы и др. Задачи консорциума: массовая скупка ценных бумаг для увеличения спроса на них; поддержание процентных ставок на фондовом и кредитном рынках; стабилизация доходности государственных ценных бумаг и курсов корпоративных бумаг;</w:t>
      </w:r>
    </w:p>
    <w:p w:rsidR="00B75D10" w:rsidRPr="00FD6229" w:rsidRDefault="00B75D10" w:rsidP="00377ED6">
      <w:pPr>
        <w:pStyle w:val="a8"/>
        <w:tabs>
          <w:tab w:val="left" w:pos="567"/>
        </w:tabs>
        <w:ind w:left="0"/>
        <w:rPr>
          <w:rFonts w:ascii="Times New Roman" w:hAnsi="Times New Roman" w:cs="Times New Roman"/>
          <w:i/>
          <w:iCs/>
          <w:u w:val="single"/>
          <w:lang w:val="ru-RU"/>
        </w:rPr>
      </w:pPr>
      <w:r w:rsidRPr="00FD6229">
        <w:rPr>
          <w:rFonts w:ascii="Times New Roman" w:hAnsi="Times New Roman" w:cs="Times New Roman"/>
          <w:i/>
          <w:iCs/>
          <w:u w:val="single"/>
          <w:lang w:val="ru-RU"/>
        </w:rPr>
        <w:t>Регулирование биржевых операций ФСФР:</w:t>
      </w:r>
    </w:p>
    <w:p w:rsidR="00B75D10" w:rsidRPr="00FD6229" w:rsidRDefault="00377ED6" w:rsidP="00377ED6">
      <w:pPr>
        <w:pStyle w:val="a8"/>
        <w:tabs>
          <w:tab w:val="left" w:pos="567"/>
        </w:tabs>
        <w:overflowPunct/>
        <w:autoSpaceDE/>
        <w:autoSpaceDN/>
        <w:adjustRightInd/>
        <w:ind w:left="0" w:firstLine="0"/>
        <w:textAlignment w:val="auto"/>
        <w:rPr>
          <w:rFonts w:ascii="Times New Roman" w:hAnsi="Times New Roman" w:cs="Times New Roman"/>
          <w:lang w:val="ru-RU"/>
        </w:rPr>
      </w:pPr>
      <w:r>
        <w:rPr>
          <w:rFonts w:ascii="Times New Roman" w:hAnsi="Times New Roman" w:cs="Times New Roman"/>
          <w:lang w:val="ru-RU"/>
        </w:rPr>
        <w:t xml:space="preserve">  </w:t>
      </w:r>
      <w:r w:rsidR="00B75D10" w:rsidRPr="00FD6229">
        <w:rPr>
          <w:rFonts w:ascii="Times New Roman" w:hAnsi="Times New Roman" w:cs="Times New Roman"/>
          <w:lang w:val="ru-RU"/>
        </w:rPr>
        <w:t xml:space="preserve">наделение ФСФР функциями антикризисного регулятора рынка. Необходимо ввести на биржи представителей ФСФР и наделить их функциями оперативных регуляторов; </w:t>
      </w:r>
    </w:p>
    <w:p w:rsidR="00B75D10" w:rsidRPr="00FD6229" w:rsidRDefault="00377ED6" w:rsidP="00377ED6">
      <w:pPr>
        <w:pStyle w:val="a8"/>
        <w:tabs>
          <w:tab w:val="left" w:pos="567"/>
        </w:tabs>
        <w:overflowPunct/>
        <w:autoSpaceDE/>
        <w:autoSpaceDN/>
        <w:adjustRightInd/>
        <w:ind w:left="0" w:firstLine="0"/>
        <w:textAlignment w:val="auto"/>
        <w:rPr>
          <w:rFonts w:ascii="Times New Roman" w:hAnsi="Times New Roman" w:cs="Times New Roman"/>
          <w:lang w:val="ru-RU"/>
        </w:rPr>
      </w:pPr>
      <w:r>
        <w:rPr>
          <w:rFonts w:ascii="Times New Roman" w:hAnsi="Times New Roman" w:cs="Times New Roman"/>
          <w:lang w:val="ru-RU"/>
        </w:rPr>
        <w:t xml:space="preserve">  </w:t>
      </w:r>
      <w:r w:rsidR="00B75D10" w:rsidRPr="00FD6229">
        <w:rPr>
          <w:rFonts w:ascii="Times New Roman" w:hAnsi="Times New Roman" w:cs="Times New Roman"/>
          <w:lang w:val="ru-RU"/>
        </w:rPr>
        <w:t xml:space="preserve">варьирование суммарной короткой позицией участников рынка. В </w:t>
      </w:r>
      <w:r>
        <w:rPr>
          <w:rFonts w:ascii="Times New Roman" w:hAnsi="Times New Roman" w:cs="Times New Roman"/>
          <w:lang w:val="ru-RU"/>
        </w:rPr>
        <w:t xml:space="preserve"> </w:t>
      </w:r>
      <w:r w:rsidR="00B75D10" w:rsidRPr="00FD6229">
        <w:rPr>
          <w:rFonts w:ascii="Times New Roman" w:hAnsi="Times New Roman" w:cs="Times New Roman"/>
          <w:lang w:val="ru-RU"/>
        </w:rPr>
        <w:t xml:space="preserve">предкризисный период короткая позиция по деньгам могла составлять 200-300% собственных средств участников торгов. Однако курсы акций в течение короткого времени могут резко измениться. </w:t>
      </w:r>
    </w:p>
    <w:p w:rsidR="00B75D10" w:rsidRPr="00FD6229" w:rsidRDefault="00B75D10" w:rsidP="00377ED6">
      <w:pPr>
        <w:pStyle w:val="a8"/>
        <w:tabs>
          <w:tab w:val="left" w:pos="567"/>
        </w:tabs>
        <w:overflowPunct/>
        <w:autoSpaceDE/>
        <w:autoSpaceDN/>
        <w:adjustRightInd/>
        <w:ind w:left="0"/>
        <w:textAlignment w:val="auto"/>
        <w:rPr>
          <w:rFonts w:ascii="Times New Roman" w:hAnsi="Times New Roman" w:cs="Times New Roman"/>
          <w:lang w:val="ru-RU"/>
        </w:rPr>
      </w:pPr>
      <w:r w:rsidRPr="00FD6229">
        <w:rPr>
          <w:rFonts w:ascii="Times New Roman" w:hAnsi="Times New Roman" w:cs="Times New Roman"/>
          <w:lang w:val="ru-RU"/>
        </w:rPr>
        <w:t xml:space="preserve">Практика показала, что они могут снизиться за четыре дня на 40–60%. Если инвесторы вложили в акции весь собственный капитал и заемные средства в размере свыше 100% собственного капитала, их массовое банкротство неминуемо. Поэтому короткую позицию по деньгам целесообразно установить в размере 50–70% от общей суммы собственных средств участников торгов; </w:t>
      </w:r>
    </w:p>
    <w:p w:rsidR="00B75D10" w:rsidRPr="00FD6229" w:rsidRDefault="00377ED6" w:rsidP="00377ED6">
      <w:pPr>
        <w:pStyle w:val="a8"/>
        <w:tabs>
          <w:tab w:val="left" w:pos="567"/>
        </w:tabs>
        <w:overflowPunct/>
        <w:autoSpaceDE/>
        <w:autoSpaceDN/>
        <w:adjustRightInd/>
        <w:ind w:left="0" w:firstLine="0"/>
        <w:textAlignment w:val="auto"/>
        <w:rPr>
          <w:rFonts w:ascii="Times New Roman" w:hAnsi="Times New Roman" w:cs="Times New Roman"/>
          <w:lang w:val="ru-RU"/>
        </w:rPr>
      </w:pPr>
      <w:r>
        <w:rPr>
          <w:rFonts w:ascii="Times New Roman" w:hAnsi="Times New Roman" w:cs="Times New Roman"/>
          <w:lang w:val="ru-RU"/>
        </w:rPr>
        <w:t xml:space="preserve">          В</w:t>
      </w:r>
      <w:r w:rsidR="00B75D10" w:rsidRPr="00FD6229">
        <w:rPr>
          <w:rFonts w:ascii="Times New Roman" w:hAnsi="Times New Roman" w:cs="Times New Roman"/>
          <w:lang w:val="ru-RU"/>
        </w:rPr>
        <w:t>ажную роль в контроле над игроками на понижение курсов акций играет пороговое значение короткой позиции по бумагам. Рост коротких позиций по бумагам – это предвестник начала крупномасштабной игры на понижение и, как следствие, усиления кризиса. Короткую позицию по бумагам необходимо ограничить 40–50% общей рыночной стоимости бумаг;</w:t>
      </w:r>
    </w:p>
    <w:p w:rsidR="00B75D10" w:rsidRPr="00FD6229" w:rsidRDefault="00B75D10" w:rsidP="00377ED6">
      <w:pPr>
        <w:pStyle w:val="a8"/>
        <w:tabs>
          <w:tab w:val="left" w:pos="567"/>
        </w:tabs>
        <w:overflowPunct/>
        <w:autoSpaceDE/>
        <w:autoSpaceDN/>
        <w:adjustRightInd/>
        <w:ind w:left="0"/>
        <w:textAlignment w:val="auto"/>
        <w:rPr>
          <w:rFonts w:ascii="Times New Roman" w:hAnsi="Times New Roman" w:cs="Times New Roman"/>
          <w:lang w:val="ru-RU"/>
        </w:rPr>
      </w:pPr>
      <w:r w:rsidRPr="00FD6229">
        <w:rPr>
          <w:rFonts w:ascii="Times New Roman" w:hAnsi="Times New Roman" w:cs="Times New Roman"/>
          <w:lang w:val="ru-RU"/>
        </w:rPr>
        <w:t xml:space="preserve">Несмотря на многие проблемы, с которыми столкнулся в настоящее время российский рынок ценных бумаг, следует отметить, что это молодой, динамичный и перспективный рынок, который развивается на основе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Кроме того, рынок ценных бумаг играет важную роль в системе перераспределения финансовых ресурсов государства и необходим для нормального функционирования рыночной экономики. </w:t>
      </w:r>
    </w:p>
    <w:p w:rsidR="00B75D10" w:rsidRPr="00FD6229" w:rsidRDefault="00B75D10" w:rsidP="00377ED6">
      <w:pPr>
        <w:spacing w:line="360" w:lineRule="auto"/>
        <w:ind w:firstLine="709"/>
        <w:jc w:val="both"/>
        <w:rPr>
          <w:sz w:val="28"/>
          <w:szCs w:val="28"/>
        </w:rPr>
      </w:pPr>
      <w:r w:rsidRPr="00FD6229">
        <w:rPr>
          <w:sz w:val="28"/>
          <w:szCs w:val="28"/>
        </w:rPr>
        <w:t>Поэтому восстановление и регулирование развития фондового рынка является одной из первоочередных задач, стоящих перед правительством, для решения которой необходимо принятие долгосрочной государственной программы развития и регулирования фондового рынка и строгий контроль за ее исполнением.</w:t>
      </w:r>
    </w:p>
    <w:p w:rsidR="00905D60" w:rsidRDefault="00905D60" w:rsidP="00905D60"/>
    <w:p w:rsidR="00377ED6" w:rsidRDefault="00711EFC" w:rsidP="00711EFC">
      <w:pPr>
        <w:pStyle w:val="a3"/>
        <w:spacing w:line="360" w:lineRule="auto"/>
        <w:rPr>
          <w:b/>
          <w:bCs/>
          <w:sz w:val="28"/>
          <w:szCs w:val="28"/>
        </w:rPr>
      </w:pPr>
      <w:r>
        <w:rPr>
          <w:b/>
          <w:bCs/>
          <w:sz w:val="28"/>
          <w:szCs w:val="28"/>
        </w:rPr>
        <w:t xml:space="preserve">                                                   </w:t>
      </w:r>
    </w:p>
    <w:p w:rsidR="00377ED6" w:rsidRDefault="00377ED6" w:rsidP="00711EFC">
      <w:pPr>
        <w:pStyle w:val="a3"/>
        <w:spacing w:line="360" w:lineRule="auto"/>
        <w:rPr>
          <w:b/>
          <w:bCs/>
          <w:sz w:val="28"/>
          <w:szCs w:val="28"/>
        </w:rPr>
      </w:pPr>
    </w:p>
    <w:p w:rsidR="00377ED6" w:rsidRDefault="00377ED6" w:rsidP="00711EFC">
      <w:pPr>
        <w:pStyle w:val="a3"/>
        <w:spacing w:line="360" w:lineRule="auto"/>
        <w:rPr>
          <w:b/>
          <w:bCs/>
          <w:sz w:val="28"/>
          <w:szCs w:val="28"/>
        </w:rPr>
      </w:pPr>
    </w:p>
    <w:p w:rsidR="00377ED6" w:rsidRDefault="00377ED6" w:rsidP="00711EFC">
      <w:pPr>
        <w:pStyle w:val="a3"/>
        <w:spacing w:line="360" w:lineRule="auto"/>
        <w:rPr>
          <w:b/>
          <w:bCs/>
          <w:sz w:val="28"/>
          <w:szCs w:val="28"/>
        </w:rPr>
      </w:pPr>
    </w:p>
    <w:p w:rsidR="00377ED6" w:rsidRDefault="00377ED6" w:rsidP="00711EFC">
      <w:pPr>
        <w:pStyle w:val="a3"/>
        <w:spacing w:line="360" w:lineRule="auto"/>
        <w:rPr>
          <w:b/>
          <w:bCs/>
          <w:sz w:val="28"/>
          <w:szCs w:val="28"/>
        </w:rPr>
      </w:pPr>
    </w:p>
    <w:p w:rsidR="00377ED6" w:rsidRDefault="00377ED6" w:rsidP="00711EFC">
      <w:pPr>
        <w:pStyle w:val="a3"/>
        <w:spacing w:line="360" w:lineRule="auto"/>
        <w:rPr>
          <w:b/>
          <w:bCs/>
          <w:sz w:val="28"/>
          <w:szCs w:val="28"/>
        </w:rPr>
      </w:pPr>
    </w:p>
    <w:p w:rsidR="00377ED6" w:rsidRDefault="00377ED6" w:rsidP="00711EFC">
      <w:pPr>
        <w:pStyle w:val="a3"/>
        <w:spacing w:line="360" w:lineRule="auto"/>
        <w:rPr>
          <w:b/>
          <w:bCs/>
          <w:sz w:val="28"/>
          <w:szCs w:val="28"/>
        </w:rPr>
      </w:pPr>
    </w:p>
    <w:p w:rsidR="00377ED6" w:rsidRDefault="00377ED6" w:rsidP="00711EFC">
      <w:pPr>
        <w:pStyle w:val="a3"/>
        <w:spacing w:line="360" w:lineRule="auto"/>
        <w:rPr>
          <w:b/>
          <w:bCs/>
          <w:sz w:val="28"/>
          <w:szCs w:val="28"/>
        </w:rPr>
      </w:pPr>
    </w:p>
    <w:p w:rsidR="00377ED6" w:rsidRDefault="00377ED6" w:rsidP="00711EFC">
      <w:pPr>
        <w:pStyle w:val="a3"/>
        <w:spacing w:line="360" w:lineRule="auto"/>
        <w:rPr>
          <w:b/>
          <w:bCs/>
          <w:sz w:val="28"/>
          <w:szCs w:val="28"/>
        </w:rPr>
      </w:pPr>
    </w:p>
    <w:p w:rsidR="00377ED6" w:rsidRDefault="00377ED6" w:rsidP="00711EFC">
      <w:pPr>
        <w:pStyle w:val="a3"/>
        <w:spacing w:line="360" w:lineRule="auto"/>
        <w:rPr>
          <w:b/>
          <w:bCs/>
          <w:sz w:val="28"/>
          <w:szCs w:val="28"/>
        </w:rPr>
      </w:pPr>
    </w:p>
    <w:p w:rsidR="00377ED6" w:rsidRDefault="00377ED6" w:rsidP="00711EFC">
      <w:pPr>
        <w:pStyle w:val="a3"/>
        <w:spacing w:line="360" w:lineRule="auto"/>
        <w:rPr>
          <w:b/>
          <w:bCs/>
          <w:sz w:val="28"/>
          <w:szCs w:val="28"/>
        </w:rPr>
      </w:pPr>
    </w:p>
    <w:p w:rsidR="00905D60" w:rsidRPr="00FB3B66" w:rsidRDefault="00711EFC" w:rsidP="00962B8C">
      <w:pPr>
        <w:pStyle w:val="a3"/>
        <w:spacing w:line="360" w:lineRule="auto"/>
        <w:rPr>
          <w:sz w:val="28"/>
          <w:szCs w:val="28"/>
        </w:rPr>
      </w:pPr>
      <w:r>
        <w:rPr>
          <w:b/>
          <w:bCs/>
          <w:sz w:val="28"/>
          <w:szCs w:val="28"/>
        </w:rPr>
        <w:t xml:space="preserve">  </w:t>
      </w:r>
      <w:r w:rsidR="00962B8C">
        <w:rPr>
          <w:b/>
          <w:bCs/>
          <w:sz w:val="28"/>
          <w:szCs w:val="28"/>
        </w:rPr>
        <w:t xml:space="preserve">                                                    </w:t>
      </w:r>
      <w:r w:rsidR="00905D60">
        <w:rPr>
          <w:b/>
          <w:bCs/>
          <w:sz w:val="28"/>
          <w:szCs w:val="28"/>
        </w:rPr>
        <w:t>Заключение</w:t>
      </w:r>
      <w:r w:rsidR="00962B8C">
        <w:rPr>
          <w:sz w:val="28"/>
          <w:szCs w:val="28"/>
        </w:rPr>
        <w:br/>
      </w:r>
      <w:r w:rsidR="00905D60" w:rsidRPr="004B27BB">
        <w:rPr>
          <w:sz w:val="28"/>
          <w:szCs w:val="28"/>
        </w:rPr>
        <w:t xml:space="preserve">Фондовые индексы являются неотъемлемым структурным элементом мировой финансовой системы. Кроме традиционных функций агрегированных индикаторов рынка ценных бумаг, индексы используются в качестве базы для создания производных финансовых инструментов, находят применение в области управления активами, играют значительную роль в оценке макроэкономической ситуации и инвестиционного климата в стране. </w:t>
      </w:r>
      <w:r w:rsidR="00962B8C">
        <w:rPr>
          <w:sz w:val="28"/>
          <w:szCs w:val="28"/>
        </w:rPr>
        <w:t xml:space="preserve">                         </w:t>
      </w:r>
      <w:r w:rsidR="00905D60">
        <w:rPr>
          <w:sz w:val="28"/>
          <w:szCs w:val="28"/>
        </w:rPr>
        <w:t xml:space="preserve">На наш взгляд, главной проблемой, с которой сталкиваются при изучении фондовых индексов – возможность прогнозирования его динамики. Это очень дорогостоящий процесс, поскольку в модели необходимо учитывать не только показатели хозяйственной деятельности предприятий, но и общие макроэкономические, политические и даже экологические факторы, о чем свидетельствует недавняя экологическая катастрофа в мексиканском заливе и последовавшее за ним обвал акций компании </w:t>
      </w:r>
      <w:r w:rsidR="00905D60">
        <w:rPr>
          <w:sz w:val="28"/>
          <w:szCs w:val="28"/>
          <w:lang w:val="en-US"/>
        </w:rPr>
        <w:t>BP</w:t>
      </w:r>
      <w:r w:rsidR="00905D60">
        <w:rPr>
          <w:sz w:val="28"/>
          <w:szCs w:val="28"/>
        </w:rPr>
        <w:t xml:space="preserve"> (снизились на 30% за 4 торговые сессии на лондонской фондовой бирже). Некоторые факторы предсказать либо очень трудно, либо вообще нереально. </w:t>
      </w:r>
      <w:r w:rsidR="00377ED6">
        <w:rPr>
          <w:sz w:val="28"/>
          <w:szCs w:val="28"/>
        </w:rPr>
        <w:t>Поэтому создание новых статистических моделей для изучения фондового рынка с как можно большим числом анализируемых фактором должно являться приоритетом. Кроме того, сейчас в России</w:t>
      </w:r>
      <w:r w:rsidR="00962B8C">
        <w:rPr>
          <w:sz w:val="28"/>
          <w:szCs w:val="28"/>
        </w:rPr>
        <w:t xml:space="preserve"> недостаточно хорошо изучена взаимосвязь между различными отраслями экономики, так как многие из них не имеют хозяйственных связей между собой, а работают исключительно на экспорт. В этой ситуации изменение  одних отраслевых структурных преобразований должно быть подвергнуто всестороннему анализу на предмет влияния на другие сектора. Для этого необходимо строить новые индексы, показывающие такую взаимосвязь. Пока что индексный анализ ведется лишь для отдельных секторов экономики, что в условиях кризиса недопустимо.                                                   Так же хотим отметить важность исследования фондового рынка на предмет неповторения событий кризиса 2008 года. Для этого необходимо выявлять тенденции, приведшие к столь стремительному обвалу фондового рынка и предотвращать их. Для этой цели так же необходимо построение  современных статистиче5ских моделей.                                                                                           </w:t>
      </w:r>
      <w:r w:rsidR="00905D60" w:rsidRPr="004B27BB">
        <w:rPr>
          <w:sz w:val="28"/>
          <w:szCs w:val="28"/>
        </w:rPr>
        <w:t xml:space="preserve">В </w:t>
      </w:r>
      <w:r w:rsidR="00905D60">
        <w:rPr>
          <w:sz w:val="28"/>
          <w:szCs w:val="28"/>
        </w:rPr>
        <w:t>заключение хотим отметить, что фондовый рынок является отражением реального сектора. Для того, чтобы была возможность строить качественные долгосрочные прогнозы необходимо в первую очередь модернизировать экономику и устранить имеющиеся дисбалансы.</w:t>
      </w:r>
    </w:p>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Pr>
        <w:spacing w:line="360" w:lineRule="auto"/>
        <w:jc w:val="center"/>
        <w:rPr>
          <w:b/>
          <w:sz w:val="28"/>
          <w:szCs w:val="28"/>
        </w:rPr>
      </w:pPr>
      <w:r w:rsidRPr="001C5AE0">
        <w:rPr>
          <w:b/>
          <w:sz w:val="28"/>
          <w:szCs w:val="28"/>
        </w:rPr>
        <w:t>СПИСОК ИСПОЛЬЗОВАННОЙ ЛИТЕРАТУРЫ</w:t>
      </w:r>
    </w:p>
    <w:p w:rsidR="00905D60" w:rsidRPr="001C5AE0" w:rsidRDefault="00905D60" w:rsidP="00905D60">
      <w:pPr>
        <w:spacing w:line="360" w:lineRule="auto"/>
        <w:rPr>
          <w:sz w:val="28"/>
          <w:szCs w:val="28"/>
        </w:rPr>
      </w:pPr>
      <w:r>
        <w:rPr>
          <w:sz w:val="28"/>
          <w:szCs w:val="28"/>
        </w:rPr>
        <w:t>1</w:t>
      </w:r>
      <w:r w:rsidRPr="001C5AE0">
        <w:rPr>
          <w:sz w:val="28"/>
          <w:szCs w:val="28"/>
        </w:rPr>
        <w:t xml:space="preserve">. Федеральный закон от 22.04.96 39-ФЗ О рынке ценных бумаг. </w:t>
      </w:r>
    </w:p>
    <w:p w:rsidR="00905D60" w:rsidRPr="001C5AE0" w:rsidRDefault="00905D60" w:rsidP="00905D60">
      <w:pPr>
        <w:spacing w:line="360" w:lineRule="auto"/>
        <w:rPr>
          <w:sz w:val="28"/>
          <w:szCs w:val="28"/>
        </w:rPr>
      </w:pPr>
      <w:r>
        <w:rPr>
          <w:sz w:val="28"/>
          <w:szCs w:val="28"/>
        </w:rPr>
        <w:t>2</w:t>
      </w:r>
      <w:r w:rsidRPr="001C5AE0">
        <w:rPr>
          <w:sz w:val="28"/>
          <w:szCs w:val="28"/>
        </w:rPr>
        <w:t xml:space="preserve">. Постановление ФКЦБ России от 31.08.2001 23 О предоставлении организаторами торговли на рынке ценных бумаг информации по результатам сделок с использованием денежных средств и/или ценных бумаг, переданных брокером в заем клиенту (маржинальных сделок). </w:t>
      </w:r>
      <w:r w:rsidRPr="001C5AE0">
        <w:rPr>
          <w:sz w:val="28"/>
          <w:szCs w:val="28"/>
        </w:rPr>
        <w:cr/>
      </w:r>
      <w:r>
        <w:rPr>
          <w:sz w:val="28"/>
          <w:szCs w:val="28"/>
        </w:rPr>
        <w:t>3</w:t>
      </w:r>
      <w:r w:rsidRPr="001C5AE0">
        <w:rPr>
          <w:sz w:val="28"/>
          <w:szCs w:val="28"/>
        </w:rPr>
        <w:t xml:space="preserve">. Приказ ФСФР России от 15.12.2004 04-1245/пз-н Об утверждении Положения о деятельности по организации торговли на рынке ценных бумаг. </w:t>
      </w:r>
    </w:p>
    <w:p w:rsidR="00905D60" w:rsidRPr="001C5AE0" w:rsidRDefault="00905D60" w:rsidP="00905D60">
      <w:pPr>
        <w:spacing w:line="360" w:lineRule="auto"/>
        <w:rPr>
          <w:sz w:val="28"/>
          <w:szCs w:val="28"/>
        </w:rPr>
      </w:pPr>
      <w:r>
        <w:rPr>
          <w:sz w:val="28"/>
          <w:szCs w:val="28"/>
        </w:rPr>
        <w:t>4</w:t>
      </w:r>
      <w:r w:rsidRPr="001C5AE0">
        <w:rPr>
          <w:sz w:val="28"/>
          <w:szCs w:val="28"/>
        </w:rPr>
        <w:t xml:space="preserve">. Приказ ФСФР России от 20.04.2005 05-13/пз-н Об утверждении Порядка уведомления организатором торговли на рынке ценных бумаг о включении (об исключении) ценных бумаг в список (из списка) ценных бумаг, допущенных к торгам. </w:t>
      </w:r>
    </w:p>
    <w:p w:rsidR="00905D60" w:rsidRPr="00E519B1" w:rsidRDefault="00905D60" w:rsidP="00905D60">
      <w:pPr>
        <w:spacing w:line="360" w:lineRule="auto"/>
        <w:rPr>
          <w:sz w:val="28"/>
          <w:szCs w:val="28"/>
        </w:rPr>
      </w:pPr>
      <w:r>
        <w:rPr>
          <w:sz w:val="28"/>
          <w:szCs w:val="28"/>
        </w:rPr>
        <w:t>5</w:t>
      </w:r>
      <w:r w:rsidRPr="001C5AE0">
        <w:rPr>
          <w:sz w:val="28"/>
          <w:szCs w:val="28"/>
        </w:rPr>
        <w:t xml:space="preserve">. Приказ ФСФР России от 21.03.2006 06-29/пз-н Об утверждении Положения о внутреннем контроле профессионального участника рынка ценных бумаг. </w:t>
      </w:r>
    </w:p>
    <w:p w:rsidR="00905D60" w:rsidRDefault="00905D60" w:rsidP="00905D60">
      <w:pPr>
        <w:spacing w:line="360" w:lineRule="auto"/>
        <w:rPr>
          <w:sz w:val="28"/>
          <w:szCs w:val="28"/>
        </w:rPr>
      </w:pPr>
      <w:r>
        <w:rPr>
          <w:sz w:val="28"/>
          <w:szCs w:val="28"/>
        </w:rPr>
        <w:t>6</w:t>
      </w:r>
      <w:r w:rsidRPr="001C5AE0">
        <w:rPr>
          <w:sz w:val="28"/>
          <w:szCs w:val="28"/>
        </w:rPr>
        <w:t xml:space="preserve">. Салин В.Н., Добашина И.В. Биржевая статистика: Учеб. пособие. </w:t>
      </w:r>
      <w:r>
        <w:rPr>
          <w:sz w:val="28"/>
          <w:szCs w:val="28"/>
        </w:rPr>
        <w:t>- М.: Финансы и статистика, 2007</w:t>
      </w:r>
      <w:r w:rsidRPr="001C5AE0">
        <w:rPr>
          <w:sz w:val="28"/>
          <w:szCs w:val="28"/>
        </w:rPr>
        <w:t xml:space="preserve">. </w:t>
      </w:r>
    </w:p>
    <w:p w:rsidR="00905D60" w:rsidRDefault="00905D60" w:rsidP="00905D60">
      <w:pPr>
        <w:spacing w:line="360" w:lineRule="auto"/>
        <w:rPr>
          <w:sz w:val="28"/>
          <w:szCs w:val="28"/>
        </w:rPr>
      </w:pPr>
      <w:r>
        <w:rPr>
          <w:sz w:val="28"/>
          <w:szCs w:val="28"/>
        </w:rPr>
        <w:t>7</w:t>
      </w:r>
      <w:r w:rsidRPr="001C5AE0">
        <w:rPr>
          <w:sz w:val="28"/>
          <w:szCs w:val="28"/>
        </w:rPr>
        <w:t xml:space="preserve">. Белых Л.П. Основы финансового рынка. М.: Финансы, ЮНИТИ, 1999. </w:t>
      </w:r>
    </w:p>
    <w:p w:rsidR="00905D60" w:rsidRDefault="00905D60" w:rsidP="00905D60">
      <w:pPr>
        <w:spacing w:line="360" w:lineRule="auto"/>
        <w:rPr>
          <w:sz w:val="28"/>
          <w:szCs w:val="28"/>
        </w:rPr>
      </w:pPr>
      <w:r>
        <w:rPr>
          <w:sz w:val="28"/>
          <w:szCs w:val="28"/>
        </w:rPr>
        <w:t>8</w:t>
      </w:r>
      <w:r w:rsidRPr="001C5AE0">
        <w:rPr>
          <w:sz w:val="28"/>
          <w:szCs w:val="28"/>
        </w:rPr>
        <w:t>. Международные валютно-кредитные и финансовые отношения: Учебник / Под ред. Л.Н. Красавиной</w:t>
      </w:r>
      <w:r>
        <w:rPr>
          <w:sz w:val="28"/>
          <w:szCs w:val="28"/>
        </w:rPr>
        <w:t>. М.: Финансы и статистика, 2004</w:t>
      </w:r>
      <w:r w:rsidRPr="001C5AE0">
        <w:rPr>
          <w:sz w:val="28"/>
          <w:szCs w:val="28"/>
        </w:rPr>
        <w:t xml:space="preserve">. </w:t>
      </w:r>
    </w:p>
    <w:p w:rsidR="00905D60" w:rsidRDefault="00905D60" w:rsidP="00905D60">
      <w:pPr>
        <w:spacing w:line="360" w:lineRule="auto"/>
        <w:rPr>
          <w:sz w:val="28"/>
          <w:szCs w:val="28"/>
        </w:rPr>
      </w:pPr>
      <w:r>
        <w:rPr>
          <w:sz w:val="28"/>
          <w:szCs w:val="28"/>
        </w:rPr>
        <w:t>9</w:t>
      </w:r>
      <w:r w:rsidRPr="001C5AE0">
        <w:rPr>
          <w:sz w:val="28"/>
          <w:szCs w:val="28"/>
        </w:rPr>
        <w:t>. Миркин Я.М. Рынок ценных бумаг России: воздействие фундаментальных факторов, прогноз и политика развития. М.: Альпина Паблишер, 2002</w:t>
      </w:r>
    </w:p>
    <w:p w:rsidR="00905D60" w:rsidRDefault="00905D60" w:rsidP="00905D60">
      <w:pPr>
        <w:spacing w:line="360" w:lineRule="auto"/>
        <w:rPr>
          <w:sz w:val="28"/>
          <w:szCs w:val="28"/>
        </w:rPr>
      </w:pPr>
      <w:r>
        <w:rPr>
          <w:sz w:val="28"/>
          <w:szCs w:val="28"/>
        </w:rPr>
        <w:t>10</w:t>
      </w:r>
      <w:r w:rsidRPr="001C5AE0">
        <w:rPr>
          <w:sz w:val="28"/>
          <w:szCs w:val="28"/>
        </w:rPr>
        <w:t xml:space="preserve">. Рынок ценных бумаг. Учебник./ Под ред. В.А. Галанова, А.И. Басова. 2-е изд., перераб. и доп. М.: Финансы и статистика, 2001. </w:t>
      </w:r>
    </w:p>
    <w:p w:rsidR="00905D60" w:rsidRDefault="00905D60" w:rsidP="00905D60">
      <w:pPr>
        <w:spacing w:line="360" w:lineRule="auto"/>
        <w:rPr>
          <w:sz w:val="28"/>
          <w:szCs w:val="28"/>
        </w:rPr>
      </w:pPr>
      <w:r>
        <w:rPr>
          <w:sz w:val="28"/>
          <w:szCs w:val="28"/>
        </w:rPr>
        <w:t>11</w:t>
      </w:r>
      <w:r w:rsidRPr="001C5AE0">
        <w:rPr>
          <w:sz w:val="28"/>
          <w:szCs w:val="28"/>
        </w:rPr>
        <w:t xml:space="preserve">. Ческидов Б.М. Рынок ценных бумаг и биржевое дело. Курс лекций. М.: Издательство Экзамен, 2002. </w:t>
      </w:r>
    </w:p>
    <w:p w:rsidR="00905D60" w:rsidRDefault="00905D60" w:rsidP="00905D60">
      <w:pPr>
        <w:spacing w:line="360" w:lineRule="auto"/>
        <w:rPr>
          <w:sz w:val="28"/>
          <w:szCs w:val="28"/>
        </w:rPr>
      </w:pPr>
      <w:r>
        <w:rPr>
          <w:sz w:val="28"/>
          <w:szCs w:val="28"/>
        </w:rPr>
        <w:t>12</w:t>
      </w:r>
      <w:r w:rsidRPr="001C5AE0">
        <w:rPr>
          <w:sz w:val="28"/>
          <w:szCs w:val="28"/>
        </w:rPr>
        <w:t xml:space="preserve">. Берзон Н.И., Аршавский А.Ю., Буянова Е.А. Фондовый рынок. Учебное пособие для вузов. Изд. 3-е, перераб. и доп. М.: Вита-Пресс, 2002. </w:t>
      </w:r>
    </w:p>
    <w:p w:rsidR="00905D60" w:rsidRDefault="00905D60" w:rsidP="00905D60">
      <w:pPr>
        <w:spacing w:line="360" w:lineRule="auto"/>
        <w:rPr>
          <w:sz w:val="28"/>
          <w:szCs w:val="28"/>
        </w:rPr>
      </w:pPr>
      <w:r>
        <w:rPr>
          <w:sz w:val="28"/>
          <w:szCs w:val="28"/>
        </w:rPr>
        <w:t>13</w:t>
      </w:r>
      <w:r w:rsidRPr="001C5AE0">
        <w:rPr>
          <w:sz w:val="28"/>
          <w:szCs w:val="28"/>
        </w:rPr>
        <w:t>. Основы государственного регулирования финансового рынка. Учебное пособие для юридических и экономических вузов. / Рот А., Захаров А., Миркин Я., Бернард Р., Баренбойм П., Борн Б. М.: Юридический дом Юстицинформ, 2002</w:t>
      </w:r>
      <w:r>
        <w:rPr>
          <w:sz w:val="28"/>
          <w:szCs w:val="28"/>
        </w:rPr>
        <w:t>.</w:t>
      </w:r>
    </w:p>
    <w:p w:rsidR="00905D60" w:rsidRDefault="00905D60" w:rsidP="00905D60">
      <w:pPr>
        <w:spacing w:line="360" w:lineRule="auto"/>
        <w:rPr>
          <w:sz w:val="28"/>
          <w:szCs w:val="28"/>
        </w:rPr>
      </w:pPr>
      <w:r>
        <w:rPr>
          <w:sz w:val="28"/>
          <w:szCs w:val="28"/>
        </w:rPr>
        <w:t>14</w:t>
      </w:r>
      <w:r w:rsidRPr="001C5AE0">
        <w:rPr>
          <w:sz w:val="28"/>
          <w:szCs w:val="28"/>
        </w:rPr>
        <w:t xml:space="preserve">. Абламская Л.В., Бабешко Л.О. Основы финансового анализа рынка ценных бумаг. Ч.1: Учебно-практическое пособие для слушателей МЦДО / Финансовая академия при Правительстве РФ. Международный центр дистанционного обучения. - М.: ФА, 1999. </w:t>
      </w:r>
    </w:p>
    <w:p w:rsidR="00905D60" w:rsidRDefault="00905D60" w:rsidP="00905D60">
      <w:pPr>
        <w:spacing w:line="360" w:lineRule="auto"/>
        <w:rPr>
          <w:sz w:val="28"/>
          <w:szCs w:val="28"/>
        </w:rPr>
      </w:pPr>
      <w:r>
        <w:rPr>
          <w:sz w:val="28"/>
          <w:szCs w:val="28"/>
        </w:rPr>
        <w:t>15</w:t>
      </w:r>
      <w:r w:rsidRPr="001C5AE0">
        <w:rPr>
          <w:sz w:val="28"/>
          <w:szCs w:val="28"/>
        </w:rPr>
        <w:t xml:space="preserve">. Гитман Л. Дж., Джонк М.Д. Основы инвестирования: Пер. с англ. / Академия народного хозяйства при Правительстве РФ. - М.: Дело, 1997. </w:t>
      </w:r>
    </w:p>
    <w:p w:rsidR="00905D60" w:rsidRDefault="00905D60" w:rsidP="00905D60">
      <w:pPr>
        <w:spacing w:line="360" w:lineRule="auto"/>
        <w:rPr>
          <w:sz w:val="28"/>
          <w:szCs w:val="28"/>
        </w:rPr>
      </w:pPr>
      <w:r>
        <w:rPr>
          <w:sz w:val="28"/>
          <w:szCs w:val="28"/>
        </w:rPr>
        <w:t>16</w:t>
      </w:r>
      <w:r w:rsidRPr="001C5AE0">
        <w:rPr>
          <w:sz w:val="28"/>
          <w:szCs w:val="28"/>
        </w:rPr>
        <w:t xml:space="preserve">. Дефоссе Г. Фондовая биржа и биржевые операции: Пер. с фр. - 2-е изд. - М.: Церих-ПЭЛ, 1995. </w:t>
      </w:r>
    </w:p>
    <w:p w:rsidR="00905D60" w:rsidRDefault="00905D60" w:rsidP="00905D60">
      <w:pPr>
        <w:spacing w:line="360" w:lineRule="auto"/>
        <w:rPr>
          <w:sz w:val="28"/>
          <w:szCs w:val="28"/>
        </w:rPr>
      </w:pPr>
      <w:r>
        <w:rPr>
          <w:sz w:val="28"/>
          <w:szCs w:val="28"/>
        </w:rPr>
        <w:t>17</w:t>
      </w:r>
      <w:r w:rsidRPr="001C5AE0">
        <w:rPr>
          <w:sz w:val="28"/>
          <w:szCs w:val="28"/>
        </w:rPr>
        <w:t xml:space="preserve">. Каменева Н.Г. Организация биржевой торговли: Учебник для студ. вузов по экон. спец. - М.: Банки и биржи: ЮНИТИ,1998. </w:t>
      </w:r>
    </w:p>
    <w:p w:rsidR="00905D60" w:rsidRDefault="00905D60" w:rsidP="00905D60">
      <w:pPr>
        <w:spacing w:line="360" w:lineRule="auto"/>
        <w:rPr>
          <w:sz w:val="28"/>
          <w:szCs w:val="28"/>
        </w:rPr>
      </w:pPr>
      <w:r>
        <w:rPr>
          <w:sz w:val="28"/>
          <w:szCs w:val="28"/>
        </w:rPr>
        <w:t>18</w:t>
      </w:r>
      <w:r w:rsidRPr="001C5AE0">
        <w:rPr>
          <w:sz w:val="28"/>
          <w:szCs w:val="28"/>
        </w:rPr>
        <w:t xml:space="preserve">. Фондовый рынок: Учеб. пос. для вузов экон. профиля / Н.И. Берзон, Е.А. Буянова, М.А. Кожевников и др.; Под ред. Н.И. Берзона. - 2. изд.- М.: ВитаПресс,1999. </w:t>
      </w:r>
    </w:p>
    <w:p w:rsidR="00905D60" w:rsidRPr="001C5AE0" w:rsidRDefault="00905D60" w:rsidP="00905D60">
      <w:pPr>
        <w:spacing w:line="360" w:lineRule="auto"/>
        <w:rPr>
          <w:sz w:val="28"/>
          <w:szCs w:val="28"/>
        </w:rPr>
      </w:pPr>
      <w:r>
        <w:rPr>
          <w:sz w:val="28"/>
          <w:szCs w:val="28"/>
        </w:rPr>
        <w:t>19</w:t>
      </w:r>
      <w:r w:rsidRPr="001C5AE0">
        <w:rPr>
          <w:sz w:val="28"/>
          <w:szCs w:val="28"/>
        </w:rPr>
        <w:t xml:space="preserve">. Эрлих А.А. Технический анализ товарных и финансовых рынков: Прикладное пособие. - М.: ИНФРА-М, 1996. - 176 с. </w:t>
      </w:r>
    </w:p>
    <w:p w:rsidR="00905D60" w:rsidRPr="001C5AE0" w:rsidRDefault="00905D60" w:rsidP="00905D60">
      <w:pPr>
        <w:spacing w:line="360" w:lineRule="auto"/>
        <w:rPr>
          <w:sz w:val="28"/>
          <w:szCs w:val="28"/>
        </w:rPr>
      </w:pPr>
      <w:r>
        <w:rPr>
          <w:sz w:val="28"/>
          <w:szCs w:val="28"/>
        </w:rPr>
        <w:t>20</w:t>
      </w:r>
      <w:r w:rsidRPr="001C5AE0">
        <w:rPr>
          <w:sz w:val="28"/>
          <w:szCs w:val="28"/>
        </w:rPr>
        <w:t xml:space="preserve">. http://www.micex.ru. </w:t>
      </w:r>
    </w:p>
    <w:p w:rsidR="00905D60" w:rsidRPr="001C5AE0" w:rsidRDefault="00905D60" w:rsidP="00905D60">
      <w:pPr>
        <w:spacing w:line="360" w:lineRule="auto"/>
        <w:rPr>
          <w:sz w:val="28"/>
          <w:szCs w:val="28"/>
        </w:rPr>
      </w:pPr>
      <w:r>
        <w:rPr>
          <w:sz w:val="28"/>
          <w:szCs w:val="28"/>
        </w:rPr>
        <w:t>21</w:t>
      </w:r>
      <w:r w:rsidRPr="001C5AE0">
        <w:rPr>
          <w:sz w:val="28"/>
          <w:szCs w:val="28"/>
        </w:rPr>
        <w:t xml:space="preserve">. http://www.rts.ru. </w:t>
      </w:r>
    </w:p>
    <w:p w:rsidR="00905D60" w:rsidRPr="001C5AE0" w:rsidRDefault="00905D60" w:rsidP="00905D60">
      <w:pPr>
        <w:spacing w:line="360" w:lineRule="auto"/>
        <w:rPr>
          <w:sz w:val="28"/>
          <w:szCs w:val="28"/>
        </w:rPr>
      </w:pPr>
    </w:p>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 w:rsidR="00905D60" w:rsidRDefault="00905D60" w:rsidP="00905D60">
      <w:pPr>
        <w:jc w:val="center"/>
        <w:rPr>
          <w:b/>
          <w:sz w:val="28"/>
          <w:szCs w:val="28"/>
        </w:rPr>
      </w:pPr>
      <w:r w:rsidRPr="00E41F26">
        <w:rPr>
          <w:b/>
          <w:sz w:val="28"/>
          <w:szCs w:val="28"/>
        </w:rPr>
        <w:t>Приложения.</w:t>
      </w:r>
    </w:p>
    <w:p w:rsidR="00905D60" w:rsidRDefault="00905D60" w:rsidP="00905D60">
      <w:pPr>
        <w:jc w:val="center"/>
        <w:rPr>
          <w:b/>
          <w:sz w:val="28"/>
          <w:szCs w:val="28"/>
        </w:rPr>
      </w:pPr>
      <w:r>
        <w:rPr>
          <w:b/>
          <w:sz w:val="28"/>
          <w:szCs w:val="28"/>
        </w:rPr>
        <w:t>Список акций в листинге РТС.</w:t>
      </w:r>
    </w:p>
    <w:tbl>
      <w:tblPr>
        <w:tblW w:w="9938" w:type="dxa"/>
        <w:tblInd w:w="93" w:type="dxa"/>
        <w:tblLook w:val="0000" w:firstRow="0" w:lastRow="0" w:firstColumn="0" w:lastColumn="0" w:noHBand="0" w:noVBand="0"/>
      </w:tblPr>
      <w:tblGrid>
        <w:gridCol w:w="3723"/>
        <w:gridCol w:w="910"/>
        <w:gridCol w:w="3189"/>
        <w:gridCol w:w="2116"/>
      </w:tblGrid>
      <w:tr w:rsidR="00905D60">
        <w:trPr>
          <w:trHeight w:val="975"/>
        </w:trPr>
        <w:tc>
          <w:tcPr>
            <w:tcW w:w="3723" w:type="dxa"/>
            <w:tcBorders>
              <w:top w:val="single" w:sz="8" w:space="0" w:color="auto"/>
              <w:left w:val="single" w:sz="8" w:space="0" w:color="auto"/>
              <w:bottom w:val="single" w:sz="8" w:space="0" w:color="auto"/>
              <w:right w:val="single" w:sz="4" w:space="0" w:color="auto"/>
            </w:tcBorders>
            <w:shd w:val="clear" w:color="auto" w:fill="C0C0C0"/>
            <w:vAlign w:val="center"/>
          </w:tcPr>
          <w:p w:rsidR="00905D60" w:rsidRDefault="00905D60" w:rsidP="00905D60">
            <w:pPr>
              <w:rPr>
                <w:rFonts w:ascii="Arial" w:hAnsi="Arial" w:cs="Arial"/>
                <w:b/>
                <w:bCs/>
                <w:sz w:val="16"/>
                <w:szCs w:val="16"/>
              </w:rPr>
            </w:pPr>
            <w:r>
              <w:rPr>
                <w:rFonts w:ascii="Arial" w:hAnsi="Arial" w:cs="Arial"/>
                <w:b/>
                <w:bCs/>
                <w:sz w:val="16"/>
                <w:szCs w:val="16"/>
              </w:rPr>
              <w:t>№ п/п</w:t>
            </w:r>
          </w:p>
        </w:tc>
        <w:tc>
          <w:tcPr>
            <w:tcW w:w="910" w:type="dxa"/>
            <w:tcBorders>
              <w:top w:val="single" w:sz="8" w:space="0" w:color="auto"/>
              <w:left w:val="nil"/>
              <w:bottom w:val="single" w:sz="8" w:space="0" w:color="auto"/>
              <w:right w:val="single" w:sz="4" w:space="0" w:color="auto"/>
            </w:tcBorders>
            <w:shd w:val="clear" w:color="auto" w:fill="C0C0C0"/>
            <w:vAlign w:val="center"/>
          </w:tcPr>
          <w:p w:rsidR="00905D60" w:rsidRDefault="00905D60" w:rsidP="00905D60">
            <w:pPr>
              <w:jc w:val="center"/>
              <w:rPr>
                <w:rFonts w:ascii="Arial" w:hAnsi="Arial" w:cs="Arial"/>
                <w:b/>
                <w:bCs/>
                <w:color w:val="000000"/>
                <w:sz w:val="16"/>
                <w:szCs w:val="16"/>
              </w:rPr>
            </w:pPr>
            <w:r>
              <w:rPr>
                <w:rFonts w:ascii="Arial" w:hAnsi="Arial" w:cs="Arial"/>
                <w:b/>
                <w:bCs/>
                <w:color w:val="000000"/>
                <w:sz w:val="16"/>
                <w:szCs w:val="16"/>
              </w:rPr>
              <w:t>Код в RTS Standard</w:t>
            </w:r>
          </w:p>
        </w:tc>
        <w:tc>
          <w:tcPr>
            <w:tcW w:w="3189" w:type="dxa"/>
            <w:tcBorders>
              <w:top w:val="single" w:sz="8" w:space="0" w:color="auto"/>
              <w:left w:val="nil"/>
              <w:bottom w:val="single" w:sz="8" w:space="0" w:color="auto"/>
              <w:right w:val="single" w:sz="4" w:space="0" w:color="auto"/>
            </w:tcBorders>
            <w:shd w:val="clear" w:color="auto" w:fill="C0C0C0"/>
            <w:vAlign w:val="center"/>
          </w:tcPr>
          <w:p w:rsidR="00905D60" w:rsidRDefault="00905D60" w:rsidP="00905D60">
            <w:pPr>
              <w:jc w:val="center"/>
              <w:rPr>
                <w:rFonts w:ascii="Arial" w:hAnsi="Arial" w:cs="Arial"/>
                <w:b/>
                <w:bCs/>
                <w:sz w:val="16"/>
                <w:szCs w:val="16"/>
              </w:rPr>
            </w:pPr>
            <w:r>
              <w:rPr>
                <w:rFonts w:ascii="Arial" w:hAnsi="Arial" w:cs="Arial"/>
                <w:b/>
                <w:bCs/>
                <w:sz w:val="16"/>
                <w:szCs w:val="16"/>
              </w:rPr>
              <w:t>Наименование эмитента/ПИФ, УК</w:t>
            </w:r>
          </w:p>
        </w:tc>
        <w:tc>
          <w:tcPr>
            <w:tcW w:w="2116" w:type="dxa"/>
            <w:tcBorders>
              <w:top w:val="single" w:sz="8" w:space="0" w:color="auto"/>
              <w:left w:val="nil"/>
              <w:bottom w:val="single" w:sz="8" w:space="0" w:color="auto"/>
              <w:right w:val="single" w:sz="4" w:space="0" w:color="auto"/>
            </w:tcBorders>
            <w:shd w:val="clear" w:color="auto" w:fill="C0C0C0"/>
            <w:vAlign w:val="center"/>
          </w:tcPr>
          <w:p w:rsidR="00905D60" w:rsidRDefault="00905D60" w:rsidP="00905D60">
            <w:pPr>
              <w:jc w:val="center"/>
              <w:rPr>
                <w:rFonts w:ascii="Arial" w:hAnsi="Arial" w:cs="Arial"/>
                <w:b/>
                <w:bCs/>
                <w:sz w:val="16"/>
                <w:szCs w:val="16"/>
              </w:rPr>
            </w:pPr>
            <w:r>
              <w:rPr>
                <w:rFonts w:ascii="Arial" w:hAnsi="Arial" w:cs="Arial"/>
                <w:b/>
                <w:bCs/>
                <w:sz w:val="16"/>
                <w:szCs w:val="16"/>
              </w:rPr>
              <w:t>Вид/тип ценных бумаг</w:t>
            </w:r>
          </w:p>
        </w:tc>
      </w:tr>
      <w:tr w:rsidR="00905D60">
        <w:trPr>
          <w:trHeight w:val="90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HYDR</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"РусГидро"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LKOH</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"ЛУКОЙЛ"</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67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SBER</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Сбербанк России ОАО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45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TATN</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"Татнефть" им.В.Д.Шашина</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70"/>
        </w:trPr>
        <w:tc>
          <w:tcPr>
            <w:tcW w:w="3723" w:type="dxa"/>
            <w:tcBorders>
              <w:top w:val="nil"/>
              <w:left w:val="single" w:sz="8" w:space="0" w:color="auto"/>
              <w:bottom w:val="single" w:sz="8"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w:t>
            </w:r>
          </w:p>
        </w:tc>
        <w:tc>
          <w:tcPr>
            <w:tcW w:w="910" w:type="dxa"/>
            <w:tcBorders>
              <w:top w:val="nil"/>
              <w:left w:val="nil"/>
              <w:bottom w:val="single" w:sz="8"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URSI</w:t>
            </w:r>
          </w:p>
        </w:tc>
        <w:tc>
          <w:tcPr>
            <w:tcW w:w="3189" w:type="dxa"/>
            <w:tcBorders>
              <w:top w:val="nil"/>
              <w:left w:val="nil"/>
              <w:bottom w:val="single" w:sz="8"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 xml:space="preserve">ОАО "Уралсвязьинформ"           </w:t>
            </w:r>
          </w:p>
        </w:tc>
        <w:tc>
          <w:tcPr>
            <w:tcW w:w="2116"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70"/>
        </w:trPr>
        <w:tc>
          <w:tcPr>
            <w:tcW w:w="3723" w:type="dxa"/>
            <w:tcBorders>
              <w:top w:val="nil"/>
              <w:left w:val="single" w:sz="4" w:space="0" w:color="auto"/>
              <w:bottom w:val="single" w:sz="8" w:space="0" w:color="auto"/>
              <w:right w:val="single" w:sz="4" w:space="0" w:color="auto"/>
            </w:tcBorders>
            <w:shd w:val="clear" w:color="auto" w:fill="auto"/>
            <w:noWrap/>
            <w:vAlign w:val="center"/>
          </w:tcPr>
          <w:p w:rsidR="00905D60" w:rsidRDefault="00905D60" w:rsidP="00905D60">
            <w:pPr>
              <w:rPr>
                <w:rFonts w:ascii="Arial" w:hAnsi="Arial" w:cs="Arial"/>
                <w:b/>
                <w:bCs/>
                <w:i/>
                <w:iCs/>
                <w:sz w:val="17"/>
                <w:szCs w:val="17"/>
              </w:rPr>
            </w:pPr>
            <w:r>
              <w:rPr>
                <w:rFonts w:ascii="Arial" w:hAnsi="Arial" w:cs="Arial"/>
                <w:b/>
                <w:bCs/>
                <w:i/>
                <w:iCs/>
                <w:sz w:val="17"/>
                <w:szCs w:val="17"/>
              </w:rPr>
              <w:t>Котировальный список А второго уровня</w:t>
            </w:r>
          </w:p>
        </w:tc>
        <w:tc>
          <w:tcPr>
            <w:tcW w:w="910"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w:hAnsi="Arial" w:cs="Arial"/>
                <w:b/>
                <w:bCs/>
                <w:i/>
                <w:iCs/>
                <w:sz w:val="17"/>
                <w:szCs w:val="17"/>
              </w:rPr>
            </w:pPr>
            <w:r>
              <w:rPr>
                <w:rFonts w:ascii="Arial" w:hAnsi="Arial" w:cs="Arial"/>
                <w:b/>
                <w:bCs/>
                <w:i/>
                <w:iCs/>
                <w:sz w:val="17"/>
                <w:szCs w:val="17"/>
              </w:rPr>
              <w:t> </w:t>
            </w:r>
          </w:p>
        </w:tc>
        <w:tc>
          <w:tcPr>
            <w:tcW w:w="2116"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w:hAnsi="Arial" w:cs="Arial"/>
                <w:b/>
                <w:bCs/>
                <w:i/>
                <w:iCs/>
                <w:sz w:val="17"/>
                <w:szCs w:val="17"/>
              </w:rPr>
            </w:pPr>
            <w:r>
              <w:rPr>
                <w:rFonts w:ascii="Arial" w:hAnsi="Arial" w:cs="Arial"/>
                <w:b/>
                <w:bCs/>
                <w:i/>
                <w:iCs/>
                <w:sz w:val="17"/>
                <w:szCs w:val="17"/>
              </w:rPr>
              <w:t> </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"Сибирьтелеком"</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"ЦентрТелеком"</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7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"Иркутскэнерго"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9</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"Ленэнерго"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10</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"Ленэнерго"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привилегированная</w:t>
            </w:r>
          </w:p>
        </w:tc>
      </w:tr>
      <w:tr w:rsidR="00905D60">
        <w:trPr>
          <w:trHeight w:val="90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11</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"Магнит"</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12</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"Мосэнерго"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13</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"МОЭСК"</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14</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"Мечел"</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15</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"Нижнекамскнефтехим"</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16</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"Нижнекамскнефтехим"</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привилегированная</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17</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"ВолгаТелеком"</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18</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"ВолгаТелеком"</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привилегированная</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19</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"ОГК-1"</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20</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"ОГК-2"</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135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21</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"Энел ОГК-5"</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22</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ОМЗ</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67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23</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"Ростелеком"</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привилегированная</w:t>
            </w:r>
          </w:p>
        </w:tc>
      </w:tr>
      <w:tr w:rsidR="00905D60">
        <w:trPr>
          <w:trHeight w:val="45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24</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"Северо-Западный Телеком"</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45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25</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"Татнефть" им.В.Д.Шашина</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привилегированная</w:t>
            </w:r>
          </w:p>
        </w:tc>
      </w:tr>
      <w:tr w:rsidR="00905D60">
        <w:trPr>
          <w:trHeight w:val="915"/>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26</w:t>
            </w:r>
          </w:p>
        </w:tc>
        <w:tc>
          <w:tcPr>
            <w:tcW w:w="910"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"Волжская ТГК", ОАО "ТГК-7"</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27</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АФК "Система"</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28</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"Акрон"</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29</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"Аптечная сеть 36,6"</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67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30</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"Белон"</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31</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CHMF</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"Северсталь"</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32</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ОАО "Челябинский цинковый завод"</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33</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"ДИКСИ Групп"</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64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34</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FEES</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"ФСК ЕЭС"</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45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35</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"Дальневосточное морское пароходство"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36</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"ГАЗКОН"</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45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37</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"ГАЗКОН"</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Облигации</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38</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"ГАЗ-сервис"</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45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39</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"ГАЗ-сервис"</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Облигации</w:t>
            </w:r>
          </w:p>
        </w:tc>
      </w:tr>
      <w:tr w:rsidR="00905D60">
        <w:trPr>
          <w:trHeight w:val="45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40</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GMKN</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"ГМК "Норильский никель"</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41</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"Группа Разгуляй"</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135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42</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"ИНТЕР РАО ЕЭС"</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43</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Концерн "КАЛИНА"</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44</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"Группа ЛСР"</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45</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MAGN</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"ММК"</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46</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"Холдинг МРСК"</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47</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"МРСК Северного Кавказа"</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45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48</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"МРСК Центра и Приволжья"</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49</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"МРСК Сибири"</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67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50</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"МОСТОТРЕСТ"</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51</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"Компания "М.видео"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52</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NLMK</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"НЛМК"</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53</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"НМТП"</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54</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NVTK</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"НОВАТЭК"</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55</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"ОГК-3"</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56</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"ОГК-4"</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57</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"ОГК-6"</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58</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"ОПИН"</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59</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"Фармстандарт"</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60</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"Группа Компаний ПИК"</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61</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PLZL</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"Полюс Золото"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62</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PMTL</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"Полиметалл"</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135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63</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Закрытый ПИФ недвижимости "Новые горизонты" под управлением ЗАО УК "Прогрессивные инвестиционные идеи"</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Паи инвестиционные</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64</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"Распадская"</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65</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ROSN</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"НК "Роснефть"</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45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66</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"РОСИНТЕР РЕСТОРАНТС ХОЛДИНГ"</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67</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RSTR</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Открытый индексный ПИФ "Тройка Диалог - Индекс РТС Стандарт" под управлением  ЗАО "УК "Тройка Диалог"</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Паи инвестиционные</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68</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"ИК РУСС-ИНВЕСТ"</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67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69</w:t>
            </w:r>
          </w:p>
        </w:tc>
        <w:tc>
          <w:tcPr>
            <w:tcW w:w="910"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SBERP</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Сбербанк России ОАО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привилегированная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70</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"Селигдар"</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71</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"СИТРОНИКС"</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72</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SNGS</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"Сургутнефтегаз"</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73</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SNGSP</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"Сургутнефтегаз"</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привилегированная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74</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ОАО "Банк "Санкт-Петербург"</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75</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"Северсталь-авто"</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76</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"Синергия"</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77</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"ТГК-1"</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78</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"ТГК-5"</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79</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"ТГК-6"</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80</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"ТГК-9"</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81</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URKA</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"Уралкалий"</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82</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"МДМ Банк"</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привилегированная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83</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"ВЕРОФАРМ"</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45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84</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"Корпорация ВСМПО-АВИСМА"</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90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85</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VTBR</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Банк ВТБ</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86</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"ВБД ПП"</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55"/>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87</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"ЦМТ"</w:t>
            </w:r>
          </w:p>
        </w:tc>
        <w:tc>
          <w:tcPr>
            <w:tcW w:w="2116" w:type="dxa"/>
            <w:tcBorders>
              <w:top w:val="nil"/>
              <w:left w:val="nil"/>
              <w:bottom w:val="single" w:sz="4" w:space="0" w:color="auto"/>
              <w:right w:val="single" w:sz="4" w:space="0" w:color="auto"/>
            </w:tcBorders>
            <w:shd w:val="clear" w:color="auto" w:fill="auto"/>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70"/>
        </w:trPr>
        <w:tc>
          <w:tcPr>
            <w:tcW w:w="3723" w:type="dxa"/>
            <w:tcBorders>
              <w:top w:val="nil"/>
              <w:left w:val="single" w:sz="4"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88</w:t>
            </w:r>
          </w:p>
        </w:tc>
        <w:tc>
          <w:tcPr>
            <w:tcW w:w="910"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8" w:space="0" w:color="auto"/>
              <w:right w:val="single" w:sz="4" w:space="0" w:color="auto"/>
            </w:tcBorders>
            <w:shd w:val="clear" w:color="auto" w:fill="auto"/>
            <w:vAlign w:val="center"/>
          </w:tcPr>
          <w:p w:rsidR="00905D60" w:rsidRDefault="00905D60" w:rsidP="00905D60">
            <w:pPr>
              <w:rPr>
                <w:rFonts w:ascii="Arial" w:hAnsi="Arial" w:cs="Arial"/>
                <w:color w:val="000000"/>
                <w:sz w:val="17"/>
                <w:szCs w:val="17"/>
              </w:rPr>
            </w:pPr>
            <w:r>
              <w:rPr>
                <w:rFonts w:ascii="Arial" w:hAnsi="Arial" w:cs="Arial"/>
                <w:color w:val="000000"/>
                <w:sz w:val="17"/>
                <w:szCs w:val="17"/>
              </w:rPr>
              <w:t>ОАО "ЦМТ"</w:t>
            </w:r>
          </w:p>
        </w:tc>
        <w:tc>
          <w:tcPr>
            <w:tcW w:w="2116"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привилегированная</w:t>
            </w:r>
          </w:p>
        </w:tc>
      </w:tr>
      <w:tr w:rsidR="00905D60">
        <w:trPr>
          <w:trHeight w:val="300"/>
        </w:trPr>
        <w:tc>
          <w:tcPr>
            <w:tcW w:w="3723" w:type="dxa"/>
            <w:tcBorders>
              <w:top w:val="nil"/>
              <w:left w:val="single" w:sz="8" w:space="0" w:color="auto"/>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89</w:t>
            </w:r>
          </w:p>
        </w:tc>
        <w:tc>
          <w:tcPr>
            <w:tcW w:w="910"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"ПРОТЕК"</w:t>
            </w:r>
          </w:p>
        </w:tc>
        <w:tc>
          <w:tcPr>
            <w:tcW w:w="2116" w:type="dxa"/>
            <w:tcBorders>
              <w:top w:val="nil"/>
              <w:left w:val="nil"/>
              <w:bottom w:val="single" w:sz="4"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r w:rsidR="00905D60">
        <w:trPr>
          <w:trHeight w:val="240"/>
        </w:trPr>
        <w:tc>
          <w:tcPr>
            <w:tcW w:w="3723" w:type="dxa"/>
            <w:tcBorders>
              <w:top w:val="nil"/>
              <w:left w:val="single" w:sz="8" w:space="0" w:color="auto"/>
              <w:bottom w:val="single" w:sz="8"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90</w:t>
            </w:r>
          </w:p>
        </w:tc>
        <w:tc>
          <w:tcPr>
            <w:tcW w:w="910"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CYR" w:hAnsi="Arial CYR" w:cs="Arial CYR"/>
                <w:sz w:val="20"/>
                <w:szCs w:val="20"/>
              </w:rPr>
            </w:pPr>
            <w:r>
              <w:rPr>
                <w:rFonts w:ascii="Arial CYR" w:hAnsi="Arial CYR" w:cs="Arial CYR"/>
                <w:sz w:val="20"/>
                <w:szCs w:val="20"/>
              </w:rPr>
              <w:t> </w:t>
            </w:r>
          </w:p>
        </w:tc>
        <w:tc>
          <w:tcPr>
            <w:tcW w:w="3189"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ОАО "Кузбасская Топливная Компания"</w:t>
            </w:r>
          </w:p>
        </w:tc>
        <w:tc>
          <w:tcPr>
            <w:tcW w:w="2116" w:type="dxa"/>
            <w:tcBorders>
              <w:top w:val="nil"/>
              <w:left w:val="nil"/>
              <w:bottom w:val="single" w:sz="8" w:space="0" w:color="auto"/>
              <w:right w:val="single" w:sz="4" w:space="0" w:color="auto"/>
            </w:tcBorders>
            <w:shd w:val="clear" w:color="auto" w:fill="auto"/>
            <w:noWrap/>
            <w:vAlign w:val="center"/>
          </w:tcPr>
          <w:p w:rsidR="00905D60" w:rsidRDefault="00905D60" w:rsidP="00905D60">
            <w:pPr>
              <w:rPr>
                <w:rFonts w:ascii="Arial" w:hAnsi="Arial" w:cs="Arial"/>
                <w:sz w:val="17"/>
                <w:szCs w:val="17"/>
              </w:rPr>
            </w:pPr>
            <w:r>
              <w:rPr>
                <w:rFonts w:ascii="Arial" w:hAnsi="Arial" w:cs="Arial"/>
                <w:sz w:val="17"/>
                <w:szCs w:val="17"/>
              </w:rPr>
              <w:t>Акция обыкновенная</w:t>
            </w:r>
          </w:p>
        </w:tc>
      </w:tr>
    </w:tbl>
    <w:p w:rsidR="00905D60" w:rsidRPr="00E41F26" w:rsidRDefault="00905D60" w:rsidP="00905D60">
      <w:pPr>
        <w:jc w:val="center"/>
        <w:rPr>
          <w:b/>
          <w:sz w:val="28"/>
          <w:szCs w:val="28"/>
        </w:rPr>
      </w:pPr>
    </w:p>
    <w:p w:rsidR="00905D60" w:rsidRPr="00BD0655" w:rsidRDefault="00905D60" w:rsidP="00905D60">
      <w:pPr>
        <w:spacing w:line="360" w:lineRule="auto"/>
        <w:rPr>
          <w:sz w:val="28"/>
          <w:szCs w:val="28"/>
        </w:rPr>
        <w:sectPr w:rsidR="00905D60" w:rsidRPr="00BD0655" w:rsidSect="00711EFC">
          <w:footerReference w:type="even" r:id="rId44"/>
          <w:footerReference w:type="default" r:id="rId45"/>
          <w:pgSz w:w="11906" w:h="16838" w:code="9"/>
          <w:pgMar w:top="1134" w:right="851" w:bottom="1134" w:left="1418" w:header="709" w:footer="709" w:gutter="0"/>
          <w:pgNumType w:start="21"/>
          <w:cols w:space="708"/>
          <w:docGrid w:linePitch="360"/>
        </w:sectPr>
      </w:pPr>
    </w:p>
    <w:p w:rsidR="00E41F26" w:rsidRPr="00E41F26" w:rsidRDefault="00E41F26" w:rsidP="00905D60">
      <w:pPr>
        <w:spacing w:line="360" w:lineRule="auto"/>
      </w:pPr>
      <w:bookmarkStart w:id="2" w:name="_GoBack"/>
      <w:bookmarkEnd w:id="2"/>
    </w:p>
    <w:sectPr w:rsidR="00E41F26" w:rsidRPr="00E41F26" w:rsidSect="00905D6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A55" w:rsidRDefault="00852A55">
      <w:r>
        <w:separator/>
      </w:r>
    </w:p>
  </w:endnote>
  <w:endnote w:type="continuationSeparator" w:id="0">
    <w:p w:rsidR="00852A55" w:rsidRDefault="00852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HelveticaNeueCyr-Light">
    <w:altName w:val="Times New Roman"/>
    <w:panose1 w:val="00000000000000000000"/>
    <w:charset w:val="CC"/>
    <w:family w:val="auto"/>
    <w:notTrueType/>
    <w:pitch w:val="default"/>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D10" w:rsidRDefault="00B75D10" w:rsidP="009E0F4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75D10" w:rsidRDefault="00B75D10" w:rsidP="00B1195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D10" w:rsidRDefault="00B75D10" w:rsidP="009E0F4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62B8C">
      <w:rPr>
        <w:rStyle w:val="a5"/>
        <w:noProof/>
      </w:rPr>
      <w:t>31</w:t>
    </w:r>
    <w:r>
      <w:rPr>
        <w:rStyle w:val="a5"/>
      </w:rPr>
      <w:fldChar w:fldCharType="end"/>
    </w:r>
  </w:p>
  <w:p w:rsidR="00B75D10" w:rsidRDefault="00B75D10" w:rsidP="00B1195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A55" w:rsidRDefault="00852A55">
      <w:r>
        <w:separator/>
      </w:r>
    </w:p>
  </w:footnote>
  <w:footnote w:type="continuationSeparator" w:id="0">
    <w:p w:rsidR="00852A55" w:rsidRDefault="00852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F0455"/>
    <w:multiLevelType w:val="multilevel"/>
    <w:tmpl w:val="C74AF7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E673B7B"/>
    <w:multiLevelType w:val="hybridMultilevel"/>
    <w:tmpl w:val="03FC4674"/>
    <w:lvl w:ilvl="0" w:tplc="90F471D2">
      <w:start w:val="2"/>
      <w:numFmt w:val="decimal"/>
      <w:lvlText w:val="%1."/>
      <w:lvlJc w:val="left"/>
      <w:pPr>
        <w:tabs>
          <w:tab w:val="num" w:pos="1077"/>
        </w:tabs>
        <w:ind w:left="1077" w:hanging="360"/>
      </w:pPr>
      <w:rPr>
        <w:rFonts w:hint="default"/>
      </w:r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2">
    <w:nsid w:val="121900A0"/>
    <w:multiLevelType w:val="hybridMultilevel"/>
    <w:tmpl w:val="6100AA9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46771D8"/>
    <w:multiLevelType w:val="multilevel"/>
    <w:tmpl w:val="7460171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DB8479D"/>
    <w:multiLevelType w:val="multilevel"/>
    <w:tmpl w:val="4572A49A"/>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1077"/>
        </w:tabs>
        <w:ind w:left="1077" w:hanging="360"/>
      </w:pPr>
      <w:rPr>
        <w:rFonts w:hint="default"/>
      </w:rPr>
    </w:lvl>
    <w:lvl w:ilvl="2">
      <w:start w:val="1"/>
      <w:numFmt w:val="decimal"/>
      <w:lvlText w:val="%1.%2.%3"/>
      <w:lvlJc w:val="left"/>
      <w:pPr>
        <w:tabs>
          <w:tab w:val="num" w:pos="2154"/>
        </w:tabs>
        <w:ind w:left="2154" w:hanging="720"/>
      </w:pPr>
      <w:rPr>
        <w:rFonts w:hint="default"/>
      </w:rPr>
    </w:lvl>
    <w:lvl w:ilvl="3">
      <w:start w:val="1"/>
      <w:numFmt w:val="decimal"/>
      <w:lvlText w:val="%1.%2.%3.%4"/>
      <w:lvlJc w:val="left"/>
      <w:pPr>
        <w:tabs>
          <w:tab w:val="num" w:pos="3231"/>
        </w:tabs>
        <w:ind w:left="3231" w:hanging="1080"/>
      </w:pPr>
      <w:rPr>
        <w:rFonts w:hint="default"/>
      </w:rPr>
    </w:lvl>
    <w:lvl w:ilvl="4">
      <w:start w:val="1"/>
      <w:numFmt w:val="decimal"/>
      <w:lvlText w:val="%1.%2.%3.%4.%5"/>
      <w:lvlJc w:val="left"/>
      <w:pPr>
        <w:tabs>
          <w:tab w:val="num" w:pos="3948"/>
        </w:tabs>
        <w:ind w:left="3948" w:hanging="1080"/>
      </w:pPr>
      <w:rPr>
        <w:rFonts w:hint="default"/>
      </w:rPr>
    </w:lvl>
    <w:lvl w:ilvl="5">
      <w:start w:val="1"/>
      <w:numFmt w:val="decimal"/>
      <w:lvlText w:val="%1.%2.%3.%4.%5.%6"/>
      <w:lvlJc w:val="left"/>
      <w:pPr>
        <w:tabs>
          <w:tab w:val="num" w:pos="5025"/>
        </w:tabs>
        <w:ind w:left="5025" w:hanging="1440"/>
      </w:pPr>
      <w:rPr>
        <w:rFonts w:hint="default"/>
      </w:rPr>
    </w:lvl>
    <w:lvl w:ilvl="6">
      <w:start w:val="1"/>
      <w:numFmt w:val="decimal"/>
      <w:lvlText w:val="%1.%2.%3.%4.%5.%6.%7"/>
      <w:lvlJc w:val="left"/>
      <w:pPr>
        <w:tabs>
          <w:tab w:val="num" w:pos="5742"/>
        </w:tabs>
        <w:ind w:left="5742" w:hanging="1440"/>
      </w:pPr>
      <w:rPr>
        <w:rFonts w:hint="default"/>
      </w:rPr>
    </w:lvl>
    <w:lvl w:ilvl="7">
      <w:start w:val="1"/>
      <w:numFmt w:val="decimal"/>
      <w:lvlText w:val="%1.%2.%3.%4.%5.%6.%7.%8"/>
      <w:lvlJc w:val="left"/>
      <w:pPr>
        <w:tabs>
          <w:tab w:val="num" w:pos="6819"/>
        </w:tabs>
        <w:ind w:left="6819" w:hanging="1800"/>
      </w:pPr>
      <w:rPr>
        <w:rFonts w:hint="default"/>
      </w:rPr>
    </w:lvl>
    <w:lvl w:ilvl="8">
      <w:start w:val="1"/>
      <w:numFmt w:val="decimal"/>
      <w:lvlText w:val="%1.%2.%3.%4.%5.%6.%7.%8.%9"/>
      <w:lvlJc w:val="left"/>
      <w:pPr>
        <w:tabs>
          <w:tab w:val="num" w:pos="7896"/>
        </w:tabs>
        <w:ind w:left="7896" w:hanging="2160"/>
      </w:pPr>
      <w:rPr>
        <w:rFonts w:hint="default"/>
      </w:rPr>
    </w:lvl>
  </w:abstractNum>
  <w:abstractNum w:abstractNumId="5">
    <w:nsid w:val="24051FDA"/>
    <w:multiLevelType w:val="hybridMultilevel"/>
    <w:tmpl w:val="E2F0A0B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27B638BC"/>
    <w:multiLevelType w:val="hybridMultilevel"/>
    <w:tmpl w:val="3F700C68"/>
    <w:lvl w:ilvl="0" w:tplc="D3FAC2EA">
      <w:start w:val="5"/>
      <w:numFmt w:val="decimal"/>
      <w:lvlText w:val="%1."/>
      <w:lvlJc w:val="left"/>
      <w:pPr>
        <w:tabs>
          <w:tab w:val="num" w:pos="1077"/>
        </w:tabs>
        <w:ind w:left="1077" w:hanging="360"/>
      </w:pPr>
      <w:rPr>
        <w:rFonts w:hint="default"/>
      </w:r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7">
    <w:nsid w:val="329D7DEB"/>
    <w:multiLevelType w:val="multilevel"/>
    <w:tmpl w:val="0D1AEE46"/>
    <w:lvl w:ilvl="0">
      <w:start w:val="2"/>
      <w:numFmt w:val="decimal"/>
      <w:lvlText w:val="%1"/>
      <w:lvlJc w:val="left"/>
      <w:pPr>
        <w:ind w:left="360" w:hanging="360"/>
      </w:pPr>
      <w:rPr>
        <w:rFonts w:hint="default"/>
      </w:rPr>
    </w:lvl>
    <w:lvl w:ilvl="1">
      <w:start w:val="1"/>
      <w:numFmt w:val="decimal"/>
      <w:lvlText w:val="%1.%2"/>
      <w:lvlJc w:val="left"/>
      <w:pPr>
        <w:ind w:left="1077"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8">
    <w:nsid w:val="42173194"/>
    <w:multiLevelType w:val="hybridMultilevel"/>
    <w:tmpl w:val="2E106F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3F36A73"/>
    <w:multiLevelType w:val="multilevel"/>
    <w:tmpl w:val="23224354"/>
    <w:lvl w:ilvl="0">
      <w:start w:val="2"/>
      <w:numFmt w:val="decimal"/>
      <w:lvlText w:val="%1"/>
      <w:lvlJc w:val="left"/>
      <w:pPr>
        <w:tabs>
          <w:tab w:val="num" w:pos="555"/>
        </w:tabs>
        <w:ind w:left="555" w:hanging="555"/>
      </w:pPr>
      <w:rPr>
        <w:rFonts w:hint="default"/>
      </w:rPr>
    </w:lvl>
    <w:lvl w:ilvl="1">
      <w:start w:val="7"/>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023721A"/>
    <w:multiLevelType w:val="multilevel"/>
    <w:tmpl w:val="4E2C771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1077"/>
        </w:tabs>
        <w:ind w:left="1077" w:hanging="360"/>
      </w:pPr>
      <w:rPr>
        <w:rFonts w:hint="default"/>
      </w:rPr>
    </w:lvl>
    <w:lvl w:ilvl="2">
      <w:start w:val="1"/>
      <w:numFmt w:val="decimal"/>
      <w:lvlText w:val="%1.%2.%3"/>
      <w:lvlJc w:val="left"/>
      <w:pPr>
        <w:tabs>
          <w:tab w:val="num" w:pos="2154"/>
        </w:tabs>
        <w:ind w:left="2154" w:hanging="720"/>
      </w:pPr>
      <w:rPr>
        <w:rFonts w:hint="default"/>
      </w:rPr>
    </w:lvl>
    <w:lvl w:ilvl="3">
      <w:start w:val="1"/>
      <w:numFmt w:val="decimal"/>
      <w:lvlText w:val="%1.%2.%3.%4"/>
      <w:lvlJc w:val="left"/>
      <w:pPr>
        <w:tabs>
          <w:tab w:val="num" w:pos="3231"/>
        </w:tabs>
        <w:ind w:left="3231" w:hanging="1080"/>
      </w:pPr>
      <w:rPr>
        <w:rFonts w:hint="default"/>
      </w:rPr>
    </w:lvl>
    <w:lvl w:ilvl="4">
      <w:start w:val="1"/>
      <w:numFmt w:val="decimal"/>
      <w:lvlText w:val="%1.%2.%3.%4.%5"/>
      <w:lvlJc w:val="left"/>
      <w:pPr>
        <w:tabs>
          <w:tab w:val="num" w:pos="3948"/>
        </w:tabs>
        <w:ind w:left="3948" w:hanging="1080"/>
      </w:pPr>
      <w:rPr>
        <w:rFonts w:hint="default"/>
      </w:rPr>
    </w:lvl>
    <w:lvl w:ilvl="5">
      <w:start w:val="1"/>
      <w:numFmt w:val="decimal"/>
      <w:lvlText w:val="%1.%2.%3.%4.%5.%6"/>
      <w:lvlJc w:val="left"/>
      <w:pPr>
        <w:tabs>
          <w:tab w:val="num" w:pos="5025"/>
        </w:tabs>
        <w:ind w:left="5025" w:hanging="1440"/>
      </w:pPr>
      <w:rPr>
        <w:rFonts w:hint="default"/>
      </w:rPr>
    </w:lvl>
    <w:lvl w:ilvl="6">
      <w:start w:val="1"/>
      <w:numFmt w:val="decimal"/>
      <w:lvlText w:val="%1.%2.%3.%4.%5.%6.%7"/>
      <w:lvlJc w:val="left"/>
      <w:pPr>
        <w:tabs>
          <w:tab w:val="num" w:pos="5742"/>
        </w:tabs>
        <w:ind w:left="5742" w:hanging="1440"/>
      </w:pPr>
      <w:rPr>
        <w:rFonts w:hint="default"/>
      </w:rPr>
    </w:lvl>
    <w:lvl w:ilvl="7">
      <w:start w:val="1"/>
      <w:numFmt w:val="decimal"/>
      <w:lvlText w:val="%1.%2.%3.%4.%5.%6.%7.%8"/>
      <w:lvlJc w:val="left"/>
      <w:pPr>
        <w:tabs>
          <w:tab w:val="num" w:pos="6819"/>
        </w:tabs>
        <w:ind w:left="6819" w:hanging="1800"/>
      </w:pPr>
      <w:rPr>
        <w:rFonts w:hint="default"/>
      </w:rPr>
    </w:lvl>
    <w:lvl w:ilvl="8">
      <w:start w:val="1"/>
      <w:numFmt w:val="decimal"/>
      <w:lvlText w:val="%1.%2.%3.%4.%5.%6.%7.%8.%9"/>
      <w:lvlJc w:val="left"/>
      <w:pPr>
        <w:tabs>
          <w:tab w:val="num" w:pos="7896"/>
        </w:tabs>
        <w:ind w:left="7896" w:hanging="2160"/>
      </w:pPr>
      <w:rPr>
        <w:rFonts w:hint="default"/>
      </w:rPr>
    </w:lvl>
  </w:abstractNum>
  <w:abstractNum w:abstractNumId="11">
    <w:nsid w:val="61B4711B"/>
    <w:multiLevelType w:val="hybridMultilevel"/>
    <w:tmpl w:val="8782F4D2"/>
    <w:lvl w:ilvl="0" w:tplc="21A650FE">
      <w:start w:val="1"/>
      <w:numFmt w:val="decimal"/>
      <w:lvlText w:val="%1."/>
      <w:lvlJc w:val="left"/>
      <w:pPr>
        <w:tabs>
          <w:tab w:val="num" w:pos="1077"/>
        </w:tabs>
        <w:ind w:left="1077" w:hanging="360"/>
      </w:pPr>
      <w:rPr>
        <w:rFonts w:hint="default"/>
      </w:r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12">
    <w:nsid w:val="7BE42EBB"/>
    <w:multiLevelType w:val="multilevel"/>
    <w:tmpl w:val="F3D002E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7"/>
  </w:num>
  <w:num w:numId="2">
    <w:abstractNumId w:val="1"/>
  </w:num>
  <w:num w:numId="3">
    <w:abstractNumId w:val="6"/>
  </w:num>
  <w:num w:numId="4">
    <w:abstractNumId w:val="8"/>
  </w:num>
  <w:num w:numId="5">
    <w:abstractNumId w:val="12"/>
  </w:num>
  <w:num w:numId="6">
    <w:abstractNumId w:val="0"/>
  </w:num>
  <w:num w:numId="7">
    <w:abstractNumId w:val="11"/>
  </w:num>
  <w:num w:numId="8">
    <w:abstractNumId w:val="10"/>
  </w:num>
  <w:num w:numId="9">
    <w:abstractNumId w:val="5"/>
  </w:num>
  <w:num w:numId="10">
    <w:abstractNumId w:val="2"/>
  </w:num>
  <w:num w:numId="11">
    <w:abstractNumId w:val="4"/>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F47"/>
    <w:rsid w:val="000053B2"/>
    <w:rsid w:val="0003253A"/>
    <w:rsid w:val="000813AF"/>
    <w:rsid w:val="000816F4"/>
    <w:rsid w:val="000E1C02"/>
    <w:rsid w:val="000E4708"/>
    <w:rsid w:val="00101A7A"/>
    <w:rsid w:val="00133912"/>
    <w:rsid w:val="00174CDB"/>
    <w:rsid w:val="0018003F"/>
    <w:rsid w:val="001C616A"/>
    <w:rsid w:val="001E4C95"/>
    <w:rsid w:val="00204724"/>
    <w:rsid w:val="002210CC"/>
    <w:rsid w:val="00297523"/>
    <w:rsid w:val="002E4B5A"/>
    <w:rsid w:val="00337DD7"/>
    <w:rsid w:val="003537B0"/>
    <w:rsid w:val="00357150"/>
    <w:rsid w:val="0036490D"/>
    <w:rsid w:val="00377ED6"/>
    <w:rsid w:val="003A6849"/>
    <w:rsid w:val="003C64AC"/>
    <w:rsid w:val="003E52CC"/>
    <w:rsid w:val="004246F7"/>
    <w:rsid w:val="004412E1"/>
    <w:rsid w:val="005349D1"/>
    <w:rsid w:val="00557A05"/>
    <w:rsid w:val="00586C95"/>
    <w:rsid w:val="00693729"/>
    <w:rsid w:val="006B705C"/>
    <w:rsid w:val="00711EFC"/>
    <w:rsid w:val="00720D8E"/>
    <w:rsid w:val="00741F47"/>
    <w:rsid w:val="00803ACB"/>
    <w:rsid w:val="00812B34"/>
    <w:rsid w:val="00852A55"/>
    <w:rsid w:val="00855A91"/>
    <w:rsid w:val="00856188"/>
    <w:rsid w:val="00882502"/>
    <w:rsid w:val="00882585"/>
    <w:rsid w:val="00905D60"/>
    <w:rsid w:val="00962B8C"/>
    <w:rsid w:val="00972D2C"/>
    <w:rsid w:val="00992E4F"/>
    <w:rsid w:val="009E0F4E"/>
    <w:rsid w:val="009E4B1B"/>
    <w:rsid w:val="00A26F26"/>
    <w:rsid w:val="00A36B1C"/>
    <w:rsid w:val="00A4644D"/>
    <w:rsid w:val="00A479B7"/>
    <w:rsid w:val="00A71D5B"/>
    <w:rsid w:val="00AE0A5F"/>
    <w:rsid w:val="00B11950"/>
    <w:rsid w:val="00B1283E"/>
    <w:rsid w:val="00B72852"/>
    <w:rsid w:val="00B75D10"/>
    <w:rsid w:val="00BB52C5"/>
    <w:rsid w:val="00BD0655"/>
    <w:rsid w:val="00C137A3"/>
    <w:rsid w:val="00D106B0"/>
    <w:rsid w:val="00D55ACF"/>
    <w:rsid w:val="00DB45EE"/>
    <w:rsid w:val="00E41F26"/>
    <w:rsid w:val="00E559FB"/>
    <w:rsid w:val="00EB2CA5"/>
    <w:rsid w:val="00EF23E8"/>
    <w:rsid w:val="00F06830"/>
    <w:rsid w:val="00F54CA5"/>
    <w:rsid w:val="00F87CF8"/>
    <w:rsid w:val="00FC0C58"/>
    <w:rsid w:val="00FC26F7"/>
    <w:rsid w:val="00FF4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EBBFE645-17C1-40E8-ACC4-1F6015802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A6849"/>
    <w:pPr>
      <w:spacing w:before="100" w:beforeAutospacing="1" w:after="100" w:afterAutospacing="1"/>
    </w:pPr>
  </w:style>
  <w:style w:type="paragraph" w:styleId="a4">
    <w:name w:val="footer"/>
    <w:basedOn w:val="a"/>
    <w:rsid w:val="00B11950"/>
    <w:pPr>
      <w:tabs>
        <w:tab w:val="center" w:pos="4677"/>
        <w:tab w:val="right" w:pos="9355"/>
      </w:tabs>
    </w:pPr>
  </w:style>
  <w:style w:type="character" w:styleId="a5">
    <w:name w:val="page number"/>
    <w:basedOn w:val="a0"/>
    <w:rsid w:val="00B11950"/>
  </w:style>
  <w:style w:type="paragraph" w:styleId="a6">
    <w:name w:val="header"/>
    <w:basedOn w:val="a"/>
    <w:rsid w:val="00B11950"/>
    <w:pPr>
      <w:tabs>
        <w:tab w:val="center" w:pos="4677"/>
        <w:tab w:val="right" w:pos="9355"/>
      </w:tabs>
    </w:pPr>
  </w:style>
  <w:style w:type="paragraph" w:styleId="a7">
    <w:name w:val="Body Text Indent"/>
    <w:basedOn w:val="a"/>
    <w:rsid w:val="000E1C02"/>
  </w:style>
  <w:style w:type="paragraph" w:customStyle="1" w:styleId="a8">
    <w:name w:val="Абзац списка"/>
    <w:basedOn w:val="a"/>
    <w:rsid w:val="00B75D10"/>
    <w:pPr>
      <w:overflowPunct w:val="0"/>
      <w:autoSpaceDE w:val="0"/>
      <w:autoSpaceDN w:val="0"/>
      <w:adjustRightInd w:val="0"/>
      <w:spacing w:line="360" w:lineRule="auto"/>
      <w:ind w:left="720" w:firstLine="709"/>
      <w:jc w:val="both"/>
      <w:textAlignment w:val="baseline"/>
    </w:pPr>
    <w:rPr>
      <w:rFonts w:ascii="Verdana" w:hAnsi="Verdana" w:cs="Verdana"/>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106464">
      <w:bodyDiv w:val="1"/>
      <w:marLeft w:val="0"/>
      <w:marRight w:val="0"/>
      <w:marTop w:val="0"/>
      <w:marBottom w:val="0"/>
      <w:divBdr>
        <w:top w:val="none" w:sz="0" w:space="0" w:color="auto"/>
        <w:left w:val="none" w:sz="0" w:space="0" w:color="auto"/>
        <w:bottom w:val="none" w:sz="0" w:space="0" w:color="auto"/>
        <w:right w:val="none" w:sz="0" w:space="0" w:color="auto"/>
      </w:divBdr>
    </w:div>
    <w:div w:id="187518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7.emf"/><Relationship Id="rId26" Type="http://schemas.openxmlformats.org/officeDocument/2006/relationships/image" Target="media/image11.e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5.wmf"/><Relationship Id="rId42" Type="http://schemas.openxmlformats.org/officeDocument/2006/relationships/image" Target="media/image19.emf"/><Relationship Id="rId47"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0.emf"/><Relationship Id="rId32" Type="http://schemas.openxmlformats.org/officeDocument/2006/relationships/image" Target="media/image14.wmf"/><Relationship Id="rId37" Type="http://schemas.openxmlformats.org/officeDocument/2006/relationships/oleObject" Target="embeddings/oleObject13.bin"/><Relationship Id="rId40" Type="http://schemas.openxmlformats.org/officeDocument/2006/relationships/image" Target="media/image18.emf"/><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oleObject" Target="embeddings/oleObject6.bin"/><Relationship Id="rId28" Type="http://schemas.openxmlformats.org/officeDocument/2006/relationships/image" Target="media/image12.emf"/><Relationship Id="rId36" Type="http://schemas.openxmlformats.org/officeDocument/2006/relationships/image" Target="media/image16.wmf"/><Relationship Id="rId10" Type="http://schemas.openxmlformats.org/officeDocument/2006/relationships/oleObject" Target="embeddings/oleObject1.bin"/><Relationship Id="rId19" Type="http://schemas.openxmlformats.org/officeDocument/2006/relationships/oleObject" Target="embeddings/______Microsoft_Excel_97-20032.xls"/><Relationship Id="rId31" Type="http://schemas.openxmlformats.org/officeDocument/2006/relationships/oleObject" Target="embeddings/oleObject10.bin"/><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oleObject" Target="embeddings/oleObject12.bin"/><Relationship Id="rId43" Type="http://schemas.openxmlformats.org/officeDocument/2006/relationships/oleObject" Target="embeddings/oleObject16.bin"/><Relationship Id="rId8" Type="http://schemas.openxmlformats.org/officeDocument/2006/relationships/oleObject" Target="embeddings/______Microsoft_Excel_97-20031.xls"/><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7.emf"/><Relationship Id="rId46" Type="http://schemas.openxmlformats.org/officeDocument/2006/relationships/fontTable" Target="fontTable.xml"/><Relationship Id="rId20" Type="http://schemas.openxmlformats.org/officeDocument/2006/relationships/image" Target="media/image8.emf"/><Relationship Id="rId41"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3629</Words>
  <Characters>20687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SamForum.ws</Company>
  <LinksUpToDate>false</LinksUpToDate>
  <CharactersWithSpaces>24268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SamLab.ws</dc:creator>
  <cp:keywords/>
  <cp:lastModifiedBy>Irina</cp:lastModifiedBy>
  <cp:revision>2</cp:revision>
  <dcterms:created xsi:type="dcterms:W3CDTF">2014-09-14T18:06:00Z</dcterms:created>
  <dcterms:modified xsi:type="dcterms:W3CDTF">2014-09-14T18:06:00Z</dcterms:modified>
</cp:coreProperties>
</file>