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88E" w:rsidRPr="00723C6A" w:rsidRDefault="00592F49" w:rsidP="00723C6A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123223204"/>
      <w:r w:rsidRPr="00723C6A">
        <w:rPr>
          <w:rFonts w:ascii="Times New Roman" w:hAnsi="Times New Roman" w:cs="Times New Roman"/>
          <w:b w:val="0"/>
          <w:sz w:val="28"/>
          <w:szCs w:val="28"/>
        </w:rPr>
        <w:t>Содержание</w:t>
      </w:r>
      <w:bookmarkEnd w:id="0"/>
    </w:p>
    <w:p w:rsidR="00592F49" w:rsidRPr="00723C6A" w:rsidRDefault="00592F49" w:rsidP="00723C6A">
      <w:pPr>
        <w:suppressAutoHyphens/>
        <w:spacing w:line="360" w:lineRule="auto"/>
        <w:rPr>
          <w:sz w:val="28"/>
          <w:szCs w:val="28"/>
        </w:rPr>
      </w:pPr>
    </w:p>
    <w:p w:rsidR="005D1D4D" w:rsidRPr="00723C6A" w:rsidRDefault="005D1D4D" w:rsidP="00723C6A">
      <w:pPr>
        <w:pStyle w:val="11"/>
        <w:tabs>
          <w:tab w:val="right" w:leader="dot" w:pos="9628"/>
        </w:tabs>
        <w:suppressAutoHyphens/>
        <w:spacing w:line="360" w:lineRule="auto"/>
        <w:rPr>
          <w:noProof/>
          <w:sz w:val="28"/>
          <w:szCs w:val="28"/>
        </w:rPr>
      </w:pPr>
      <w:r w:rsidRPr="00723C6A">
        <w:rPr>
          <w:rStyle w:val="a6"/>
          <w:noProof/>
          <w:color w:val="auto"/>
          <w:sz w:val="28"/>
          <w:szCs w:val="28"/>
          <w:u w:val="none"/>
        </w:rPr>
        <w:t>1. Порядок проведения сертификации систем качества</w:t>
      </w:r>
    </w:p>
    <w:p w:rsidR="005D1D4D" w:rsidRPr="00723C6A" w:rsidRDefault="005D1D4D" w:rsidP="00723C6A">
      <w:pPr>
        <w:pStyle w:val="11"/>
        <w:tabs>
          <w:tab w:val="right" w:leader="dot" w:pos="9628"/>
        </w:tabs>
        <w:suppressAutoHyphens/>
        <w:spacing w:line="360" w:lineRule="auto"/>
        <w:rPr>
          <w:noProof/>
          <w:sz w:val="28"/>
          <w:szCs w:val="28"/>
        </w:rPr>
      </w:pPr>
      <w:r w:rsidRPr="00723C6A">
        <w:rPr>
          <w:rStyle w:val="a6"/>
          <w:noProof/>
          <w:color w:val="auto"/>
          <w:sz w:val="28"/>
          <w:szCs w:val="28"/>
          <w:u w:val="none"/>
        </w:rPr>
        <w:t>2. Статистические методы анализа качества продукции на этапе контроля качества готовой продукции</w:t>
      </w:r>
    </w:p>
    <w:p w:rsidR="005D1D4D" w:rsidRPr="00723C6A" w:rsidRDefault="005D1D4D" w:rsidP="00723C6A">
      <w:pPr>
        <w:pStyle w:val="11"/>
        <w:tabs>
          <w:tab w:val="right" w:leader="dot" w:pos="9628"/>
        </w:tabs>
        <w:suppressAutoHyphens/>
        <w:spacing w:line="360" w:lineRule="auto"/>
        <w:rPr>
          <w:noProof/>
          <w:sz w:val="28"/>
          <w:szCs w:val="28"/>
        </w:rPr>
      </w:pPr>
      <w:r w:rsidRPr="00723C6A">
        <w:rPr>
          <w:rStyle w:val="a6"/>
          <w:noProof/>
          <w:color w:val="auto"/>
          <w:sz w:val="28"/>
          <w:szCs w:val="28"/>
          <w:u w:val="none"/>
        </w:rPr>
        <w:t>3. Покажите на примере производства и реализации конкретной продукции (или предоставления конкретной услуги), как происходит управление качеством на отдельных стадиях жизненного цикла продукции (</w:t>
      </w:r>
      <w:r w:rsidR="00723C6A">
        <w:rPr>
          <w:rStyle w:val="a6"/>
          <w:noProof/>
          <w:color w:val="auto"/>
          <w:sz w:val="28"/>
          <w:szCs w:val="28"/>
          <w:u w:val="none"/>
        </w:rPr>
        <w:t>"</w:t>
      </w:r>
      <w:r w:rsidRPr="00723C6A">
        <w:rPr>
          <w:rStyle w:val="a6"/>
          <w:noProof/>
          <w:color w:val="auto"/>
          <w:sz w:val="28"/>
          <w:szCs w:val="28"/>
          <w:u w:val="none"/>
        </w:rPr>
        <w:t>петли качества</w:t>
      </w:r>
      <w:r w:rsidR="00723C6A">
        <w:rPr>
          <w:rStyle w:val="a6"/>
          <w:noProof/>
          <w:color w:val="auto"/>
          <w:sz w:val="28"/>
          <w:szCs w:val="28"/>
          <w:u w:val="none"/>
        </w:rPr>
        <w:t>"</w:t>
      </w:r>
      <w:r w:rsidRPr="00723C6A">
        <w:rPr>
          <w:rStyle w:val="a6"/>
          <w:noProof/>
          <w:color w:val="auto"/>
          <w:sz w:val="28"/>
          <w:szCs w:val="28"/>
          <w:u w:val="none"/>
        </w:rPr>
        <w:t>)</w:t>
      </w:r>
    </w:p>
    <w:p w:rsidR="005D1D4D" w:rsidRPr="00723C6A" w:rsidRDefault="005D1D4D" w:rsidP="00723C6A">
      <w:pPr>
        <w:pStyle w:val="11"/>
        <w:tabs>
          <w:tab w:val="right" w:leader="dot" w:pos="9628"/>
        </w:tabs>
        <w:suppressAutoHyphens/>
        <w:spacing w:line="360" w:lineRule="auto"/>
        <w:rPr>
          <w:noProof/>
          <w:sz w:val="28"/>
          <w:szCs w:val="28"/>
        </w:rPr>
      </w:pPr>
      <w:r w:rsidRPr="00723C6A">
        <w:rPr>
          <w:rStyle w:val="a6"/>
          <w:noProof/>
          <w:color w:val="auto"/>
          <w:sz w:val="28"/>
          <w:szCs w:val="28"/>
          <w:u w:val="none"/>
        </w:rPr>
        <w:t>Список литературы</w:t>
      </w:r>
    </w:p>
    <w:p w:rsidR="00592F49" w:rsidRPr="00723C6A" w:rsidRDefault="00592F49" w:rsidP="00723C6A">
      <w:pPr>
        <w:suppressAutoHyphens/>
        <w:spacing w:line="360" w:lineRule="auto"/>
        <w:rPr>
          <w:sz w:val="28"/>
          <w:szCs w:val="28"/>
        </w:rPr>
      </w:pPr>
    </w:p>
    <w:p w:rsidR="00592F49" w:rsidRPr="00723C6A" w:rsidRDefault="001A55B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br w:type="page"/>
      </w:r>
      <w:bookmarkStart w:id="1" w:name="_Toc123223205"/>
      <w:r w:rsidR="00592F49" w:rsidRPr="00723C6A">
        <w:rPr>
          <w:sz w:val="28"/>
          <w:szCs w:val="28"/>
        </w:rPr>
        <w:t>1. Порядок проведения сертификации систем качества</w:t>
      </w:r>
      <w:bookmarkEnd w:id="1"/>
    </w:p>
    <w:p w:rsidR="00592F49" w:rsidRPr="00723C6A" w:rsidRDefault="00592F49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77125" w:rsidRPr="00723C6A" w:rsidRDefault="00977125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Сертификация продукции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— процедура подтверждения соответствия, посредством которой независимая от изготовителя (продавца, исполнителя) и потребителя (покупателя) организация удостоверяет в письменной форме, что продукция соответствует установленным требованиям.</w:t>
      </w:r>
    </w:p>
    <w:p w:rsidR="00E0527F" w:rsidRP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iCs/>
          <w:sz w:val="28"/>
          <w:szCs w:val="28"/>
        </w:rPr>
        <w:t xml:space="preserve">Сертификация </w:t>
      </w:r>
      <w:r w:rsidR="00BD3980" w:rsidRPr="00723C6A">
        <w:rPr>
          <w:iCs/>
          <w:sz w:val="28"/>
          <w:szCs w:val="28"/>
        </w:rPr>
        <w:t>системы качества</w:t>
      </w:r>
      <w:r w:rsidR="00723C6A">
        <w:rPr>
          <w:iCs/>
          <w:sz w:val="28"/>
          <w:szCs w:val="28"/>
        </w:rPr>
        <w:t xml:space="preserve"> </w:t>
      </w:r>
      <w:r w:rsidRPr="00723C6A">
        <w:rPr>
          <w:iCs/>
          <w:sz w:val="28"/>
          <w:szCs w:val="28"/>
        </w:rPr>
        <w:t>включает:</w:t>
      </w:r>
    </w:p>
    <w:p w:rsidR="00E0527F" w:rsidRP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1.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подачу заявки на сертификацию;</w:t>
      </w:r>
    </w:p>
    <w:p w:rsidR="00E0527F" w:rsidRP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2.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принятие решения по заявке;</w:t>
      </w:r>
    </w:p>
    <w:p w:rsidR="00E0527F" w:rsidRP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3.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отбор, идентификацию образцов и их испытания;</w:t>
      </w:r>
    </w:p>
    <w:p w:rsidR="00BD3980" w:rsidRP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4.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оценку производства;</w:t>
      </w:r>
    </w:p>
    <w:p w:rsidR="00E0527F" w:rsidRP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5.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анализ полученных результатов и принятие решения о выдаче (об отказе в выдаче) сертификата соответствия (далее – сертификат);</w:t>
      </w:r>
    </w:p>
    <w:p w:rsid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3C6A">
        <w:rPr>
          <w:sz w:val="28"/>
          <w:szCs w:val="28"/>
        </w:rPr>
        <w:t>6.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выдачу сертификата и лицензии на применение знака соответствия;</w:t>
      </w:r>
    </w:p>
    <w:p w:rsidR="00E0527F" w:rsidRP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7.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осуществление инспекционног</w:t>
      </w:r>
      <w:r w:rsidR="00B7339F" w:rsidRPr="00723C6A">
        <w:rPr>
          <w:sz w:val="28"/>
          <w:szCs w:val="28"/>
        </w:rPr>
        <w:t xml:space="preserve">о контроля за сертифицированной </w:t>
      </w:r>
      <w:r w:rsidRPr="00723C6A">
        <w:rPr>
          <w:sz w:val="28"/>
          <w:szCs w:val="28"/>
        </w:rPr>
        <w:t>продукцией;</w:t>
      </w:r>
    </w:p>
    <w:p w:rsid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3C6A">
        <w:rPr>
          <w:sz w:val="28"/>
          <w:szCs w:val="28"/>
        </w:rPr>
        <w:t>8.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корректирующие мероприятия при нарушении соответствия продукции установленным требованиям и неправильном применении знака соответствия;</w:t>
      </w:r>
    </w:p>
    <w:p w:rsidR="00E0527F" w:rsidRPr="00723C6A" w:rsidRDefault="00E0527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9.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>информацию о результатах сертификации.</w:t>
      </w:r>
    </w:p>
    <w:p w:rsidR="00723C6A" w:rsidRDefault="00BD3980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Организация-заявитель направляет заявку на официальном бланке или письмо-обращение в произвольной форме в орган по сертификации для регистрации.</w:t>
      </w:r>
    </w:p>
    <w:p w:rsidR="00723C6A" w:rsidRDefault="00BD3980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При положительном решении о принятии заказа орган по сертификации регистрирует заявку (письмо-обращение) и извещает об этом организацию. </w:t>
      </w:r>
      <w:r w:rsidR="006E1374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оплачивает сертификационный взнос, заключает договор на проведение сертификации системы качества с органом по сертификации. 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>При отрицательном решении орган по сертификации передает заявку в Технический центр Регистра и уведомляет об этом заявителя.</w:t>
      </w:r>
    </w:p>
    <w:p w:rsidR="00723C6A" w:rsidRDefault="006E1374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Сертификация систем качества включает в себя три этапа сертификации:</w:t>
      </w:r>
    </w:p>
    <w:p w:rsidR="00723C6A" w:rsidRDefault="006E1374" w:rsidP="00723C6A">
      <w:pPr>
        <w:pStyle w:val="a7"/>
        <w:numPr>
          <w:ilvl w:val="0"/>
          <w:numId w:val="1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предварительная оценка системы качества;</w:t>
      </w:r>
    </w:p>
    <w:p w:rsidR="00723C6A" w:rsidRDefault="006E1374" w:rsidP="00723C6A">
      <w:pPr>
        <w:pStyle w:val="a7"/>
        <w:numPr>
          <w:ilvl w:val="0"/>
          <w:numId w:val="1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проверка и оценка системы качества в организации;</w:t>
      </w:r>
    </w:p>
    <w:p w:rsidR="00723C6A" w:rsidRDefault="006E1374" w:rsidP="00723C6A">
      <w:pPr>
        <w:pStyle w:val="a7"/>
        <w:numPr>
          <w:ilvl w:val="0"/>
          <w:numId w:val="1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инспекционный контроль сертифицированной системы качества.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Цель предварительной оценки системы качества 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 определени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 степени готовности проверяемой организации к сертификации системы качества. Этап предварительной оценки системы к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ачества завершается оформлением 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>письменного заключения, в котором наряду с замечаниями по системе качества формулируется вывод о возможности или невозможности проведения второго этапа сертификации системы качества.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При отрицательном решении заявителю направляют заключение, в котором указывают недостатки, после устранения которых заявитель может повторно направить материалы, необходимые для оценки системы качества.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Проверка и оценка системы качества в организации включает следующие процедуры: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- предварительное совещание; - обследование проверяемой организации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>, осуществляемое путем сбора и анализа фактических данных и регистрации наблюдений в ходе проверки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23C6A" w:rsidRDefault="005620E2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0446F5" w:rsidRPr="00723C6A">
        <w:rPr>
          <w:rFonts w:ascii="Times New Roman" w:hAnsi="Times New Roman" w:cs="Times New Roman"/>
          <w:color w:val="auto"/>
          <w:sz w:val="28"/>
          <w:szCs w:val="28"/>
        </w:rPr>
        <w:t>оценка соответствия системы качества нормативным требованиям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723C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Наблюдения, сделанные в ходе проверки, дифференцируются по видам: 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>а)</w:t>
      </w:r>
      <w:r w:rsidR="00723C6A">
        <w:rPr>
          <w:rFonts w:ascii="Times New Roman" w:hAnsi="Times New Roman" w:cs="Times New Roman"/>
          <w:color w:val="auto"/>
          <w:sz w:val="28"/>
          <w:szCs w:val="28"/>
        </w:rPr>
        <w:t xml:space="preserve"> "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>несоответствие</w:t>
      </w:r>
      <w:r w:rsidR="00723C6A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>б)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23C6A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  <w:r w:rsidR="00723C6A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E71834" w:rsidRPr="00723C6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23C6A" w:rsidRDefault="00E71834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Нес</w:t>
      </w:r>
      <w:r w:rsidR="005620E2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оответствия подразделяются на: а) 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значительные - категория 1; </w:t>
      </w:r>
      <w:r w:rsidR="005620E2" w:rsidRPr="00723C6A">
        <w:rPr>
          <w:rFonts w:ascii="Times New Roman" w:hAnsi="Times New Roman" w:cs="Times New Roman"/>
          <w:color w:val="auto"/>
          <w:sz w:val="28"/>
          <w:szCs w:val="28"/>
        </w:rPr>
        <w:t>б)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 малозначительные - категория 2. </w:t>
      </w:r>
      <w:r w:rsidR="005620E2" w:rsidRPr="00723C6A">
        <w:rPr>
          <w:rFonts w:ascii="Times New Roman" w:hAnsi="Times New Roman" w:cs="Times New Roman"/>
          <w:color w:val="auto"/>
          <w:sz w:val="28"/>
          <w:szCs w:val="28"/>
        </w:rPr>
        <w:t>Зарегистрированные несоответствия (уведомления) официально представляют руководству проверяемой организации. Председатель комиссии снимает несоответствие в следующих случаях: - в ходе обсуждения со стороны проверяемой организации представлены дополнительные доказательства того, что обнаруженное несоответствие не является обоснованным, при этом оформленный бланк регистрации несоответствия аннулируется; - обнаруженное несоответствие устраняется в ходе проверки.</w:t>
      </w:r>
    </w:p>
    <w:p w:rsidR="00723C6A" w:rsidRDefault="005620E2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Систему качества признают соответствующей стандарту при отсутствии значительных несоответствий или при наличии не более 10 малозначительных несоответствий.</w:t>
      </w:r>
    </w:p>
    <w:p w:rsidR="00723C6A" w:rsidRDefault="005620E2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Систему качества признают несоответствующей стандарту при наличии одного значительного несоответствия или более 10 малозначительных несоответствий.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- составление акта</w:t>
      </w:r>
      <w:r w:rsidR="005620E2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416798" w:rsidRPr="00723C6A">
        <w:rPr>
          <w:rFonts w:ascii="Times New Roman" w:hAnsi="Times New Roman" w:cs="Times New Roman"/>
          <w:color w:val="auto"/>
          <w:sz w:val="28"/>
          <w:szCs w:val="28"/>
        </w:rPr>
        <w:t>включающего</w:t>
      </w:r>
      <w:r w:rsidR="005620E2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 результаты проверки, выводы о соответствии или несоответствии проверенной системы качества заявленному стандарту или иным документам и рекомендации комиссии</w:t>
      </w:r>
      <w:r w:rsidR="00416798" w:rsidRPr="00723C6A">
        <w:rPr>
          <w:rFonts w:ascii="Times New Roman" w:hAnsi="Times New Roman" w:cs="Times New Roman"/>
          <w:color w:val="auto"/>
          <w:sz w:val="28"/>
        </w:rPr>
        <w:t xml:space="preserve"> </w:t>
      </w:r>
      <w:r w:rsidR="00416798" w:rsidRPr="00723C6A">
        <w:rPr>
          <w:rFonts w:ascii="Times New Roman" w:hAnsi="Times New Roman" w:cs="Times New Roman"/>
          <w:color w:val="auto"/>
          <w:sz w:val="28"/>
          <w:szCs w:val="28"/>
        </w:rPr>
        <w:t>органу по сертификации о выдаче (отказе в выдаче) сертификата соответствия и об устранении в согласованные сроки выявленных малозначительных несоответствий и уведомлений, если они имеются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- заключительное совещание</w:t>
      </w:r>
      <w:r w:rsidR="00416798" w:rsidRPr="00723C6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16798" w:rsidRPr="00723C6A">
        <w:rPr>
          <w:rFonts w:ascii="Times New Roman" w:hAnsi="Times New Roman" w:cs="Times New Roman"/>
          <w:color w:val="auto"/>
          <w:sz w:val="28"/>
        </w:rPr>
        <w:t xml:space="preserve"> </w:t>
      </w:r>
      <w:r w:rsidR="00416798" w:rsidRPr="00723C6A">
        <w:rPr>
          <w:rFonts w:ascii="Times New Roman" w:hAnsi="Times New Roman" w:cs="Times New Roman"/>
          <w:color w:val="auto"/>
          <w:sz w:val="28"/>
          <w:szCs w:val="28"/>
        </w:rPr>
        <w:t>проводимое с целью</w:t>
      </w:r>
      <w:r w:rsidR="00416798" w:rsidRPr="00723C6A">
        <w:rPr>
          <w:rFonts w:ascii="Times New Roman" w:hAnsi="Times New Roman" w:cs="Times New Roman"/>
          <w:color w:val="auto"/>
          <w:sz w:val="28"/>
        </w:rPr>
        <w:t xml:space="preserve"> </w:t>
      </w:r>
      <w:r w:rsidR="00416798" w:rsidRPr="00723C6A">
        <w:rPr>
          <w:rFonts w:ascii="Times New Roman" w:hAnsi="Times New Roman" w:cs="Times New Roman"/>
          <w:color w:val="auto"/>
          <w:sz w:val="28"/>
          <w:szCs w:val="28"/>
        </w:rPr>
        <w:t>предоставления руководству и специалистам проверяемой организации результатов проверки и оценки системы качества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Результатом проверки и оценки системы качества может быть один из следующих вариантов: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- система качества полностью соответствует заявленному стандарту и/или иным документам, на соответствие которым осуществлялась проверка (1-й вариант);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- система качества в целом соответствует заявленному стандарту и/или иным документам, на соответствие которым осуществлялась проверка, но обнаружены отдельные малозначительные несоответствия (2-й вариант);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- система качества содержит значительные несоответствия заявленному стандарту (3-й вариант).</w:t>
      </w:r>
    </w:p>
    <w:p w:rsid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Решение о выдаче или отказе в выдаче сертификата соответствия системы качества принимает руководство органа (руководитель или его заместитель). Лица, принимающие решение, не должны принимать участие в проверке.</w:t>
      </w:r>
    </w:p>
    <w:p w:rsidR="000446F5" w:rsidRPr="00723C6A" w:rsidRDefault="000446F5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>При положительном решении орган по сертификации оформляет сертификат соответствия системы качества установленного образца</w:t>
      </w:r>
      <w:r w:rsidR="00CB5D62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 сроком на 3года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>. Сертификат регистрируют в реестре органа по сертификации. На сертификате проставляют регистрационный номер</w:t>
      </w:r>
      <w:r w:rsidR="00CB5D62" w:rsidRPr="00723C6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B5D62" w:rsidRPr="00723C6A">
        <w:rPr>
          <w:rFonts w:ascii="Times New Roman" w:hAnsi="Times New Roman" w:cs="Times New Roman"/>
          <w:color w:val="auto"/>
          <w:sz w:val="28"/>
          <w:szCs w:val="28"/>
        </w:rPr>
        <w:t>печать органа по сертификации</w:t>
      </w:r>
    </w:p>
    <w:p w:rsidR="00CB5D62" w:rsidRPr="00723C6A" w:rsidRDefault="00CB5D62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iCs/>
          <w:color w:val="auto"/>
          <w:sz w:val="28"/>
          <w:szCs w:val="28"/>
        </w:rPr>
        <w:t>Инспекционный контроль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 за сертифицированной продукцией проводится в течение всего срока действия сертификата</w:t>
      </w:r>
      <w:r w:rsidRPr="00723C6A">
        <w:rPr>
          <w:rFonts w:ascii="Times New Roman" w:hAnsi="Times New Roman" w:cs="Times New Roman"/>
          <w:color w:val="auto"/>
          <w:sz w:val="28"/>
        </w:rPr>
        <w:t xml:space="preserve"> </w:t>
      </w:r>
      <w:r w:rsidRPr="00723C6A">
        <w:rPr>
          <w:rFonts w:ascii="Times New Roman" w:hAnsi="Times New Roman" w:cs="Times New Roman"/>
          <w:color w:val="auto"/>
          <w:sz w:val="28"/>
          <w:szCs w:val="28"/>
        </w:rPr>
        <w:t>не реже одного раз в год в форме периодических и внеплановых проверок.</w:t>
      </w:r>
      <w:r w:rsidR="00204185"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 По результатам инспекционного контроля орган по сертификации может приостановить или отменить действие сертификата.</w:t>
      </w:r>
    </w:p>
    <w:p w:rsidR="002818B0" w:rsidRPr="00723C6A" w:rsidRDefault="002818B0" w:rsidP="00723C6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92F49" w:rsidRPr="00723C6A" w:rsidRDefault="00592F49" w:rsidP="00723C6A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_Toc123223206"/>
      <w:r w:rsidRPr="00723C6A">
        <w:rPr>
          <w:rFonts w:ascii="Times New Roman" w:hAnsi="Times New Roman" w:cs="Times New Roman"/>
          <w:b w:val="0"/>
          <w:sz w:val="28"/>
          <w:szCs w:val="28"/>
        </w:rPr>
        <w:t>2. Статистические методы анализа качества продукции на этапе контроля качества готовой продукции</w:t>
      </w:r>
      <w:bookmarkEnd w:id="2"/>
    </w:p>
    <w:p w:rsidR="006066A8" w:rsidRPr="00723C6A" w:rsidRDefault="006066A8" w:rsidP="00723C6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bCs/>
          <w:iCs/>
          <w:sz w:val="28"/>
          <w:szCs w:val="28"/>
        </w:rPr>
        <w:t xml:space="preserve">Статистический анализ </w:t>
      </w:r>
      <w:r w:rsidRPr="00723C6A">
        <w:rPr>
          <w:bCs/>
          <w:sz w:val="28"/>
          <w:szCs w:val="28"/>
        </w:rPr>
        <w:t xml:space="preserve">— </w:t>
      </w:r>
      <w:r w:rsidRPr="00723C6A">
        <w:rPr>
          <w:bCs/>
          <w:iCs/>
          <w:sz w:val="28"/>
          <w:szCs w:val="28"/>
        </w:rPr>
        <w:t>это исследование условий и факторов, влияющих на качество продукции.</w:t>
      </w:r>
    </w:p>
    <w:p w:rsidR="002B41E9" w:rsidRPr="00723C6A" w:rsidRDefault="002B41E9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Обычно для анализа качества продукции данных используются семь статистических методов:</w:t>
      </w:r>
    </w:p>
    <w:p w:rsidR="00723C6A" w:rsidRDefault="001A55B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1.Расслоение.</w:t>
      </w:r>
    </w:p>
    <w:p w:rsidR="00723C6A" w:rsidRDefault="001A55B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2.Графики.</w:t>
      </w:r>
    </w:p>
    <w:p w:rsidR="00723C6A" w:rsidRDefault="00B7339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3.Диаграмма Парето.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4. При</w:t>
      </w:r>
      <w:r w:rsidR="00B7339F" w:rsidRPr="00723C6A">
        <w:rPr>
          <w:sz w:val="28"/>
          <w:szCs w:val="28"/>
        </w:rPr>
        <w:t>чинно-следственная диаграмма.</w:t>
      </w:r>
    </w:p>
    <w:p w:rsidR="00723C6A" w:rsidRDefault="00B7339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5. Гистограмма.</w:t>
      </w:r>
    </w:p>
    <w:p w:rsidR="00723C6A" w:rsidRDefault="00B7339F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6. Диаграмма разброса.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7. Контрольные карты (X - R, р, рп и т. п.).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 xml:space="preserve">Перечисленные </w:t>
      </w:r>
      <w:r w:rsidR="002B41E9" w:rsidRPr="00723C6A">
        <w:rPr>
          <w:sz w:val="28"/>
          <w:szCs w:val="28"/>
        </w:rPr>
        <w:t xml:space="preserve">методы </w:t>
      </w:r>
      <w:r w:rsidRPr="00723C6A">
        <w:rPr>
          <w:sz w:val="28"/>
          <w:szCs w:val="28"/>
        </w:rPr>
        <w:t>могут использоваться как в отдельности, так и в различных комбинациях.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723C6A">
        <w:rPr>
          <w:bCs/>
          <w:sz w:val="28"/>
          <w:szCs w:val="28"/>
        </w:rPr>
        <w:t>Рассмотрим подробнее статистические методы.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bCs/>
          <w:sz w:val="28"/>
          <w:szCs w:val="28"/>
        </w:rPr>
        <w:t xml:space="preserve">1. Расслоение </w:t>
      </w:r>
      <w:r w:rsidRPr="00723C6A">
        <w:rPr>
          <w:sz w:val="28"/>
          <w:szCs w:val="28"/>
        </w:rPr>
        <w:t>— один из наиболее простых статистических методов.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Если предполагается, что отклонения связаны с условиями изготовления, то следует проводить сравнительное изучение измеренных показателей по отдельным слоям — раздельно по машинам и оборудованию, отдельно по каждому оператору, отдельно по исходному сырью, отдельно по бригадам, раздельно по дневной и ночной сменам и т. д.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iCs/>
          <w:sz w:val="28"/>
          <w:szCs w:val="28"/>
        </w:rPr>
        <w:t xml:space="preserve">Пример. </w:t>
      </w:r>
      <w:r w:rsidRPr="00723C6A">
        <w:rPr>
          <w:sz w:val="28"/>
          <w:szCs w:val="28"/>
        </w:rPr>
        <w:t xml:space="preserve">Довольно часто встречаются ситуации, когда поставки по заказам, размещенным в сторонних организациях, задерживаются, сроки выполнения поставок не соблюдаются. Проблемы обсуждаются на совещании; обычными предложениями в таких случаях бывают: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увеличить срок выполнения заказа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 xml:space="preserve"> или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строго соблюдать дату оформления заказа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Необходимо хорошо проанализировать данные, для чего разделить случаи выполнения заказа и задержки.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bCs/>
          <w:sz w:val="28"/>
          <w:szCs w:val="28"/>
        </w:rPr>
        <w:t xml:space="preserve">2. Графики </w:t>
      </w:r>
      <w:r w:rsidRPr="00723C6A">
        <w:rPr>
          <w:sz w:val="28"/>
          <w:szCs w:val="28"/>
        </w:rPr>
        <w:t>— дают возможность не только оценить состояние на данный момент, но и спрогнозировать более отдаленный результат по тенденциям процесса, которые можно в них обнаружить.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iCs/>
          <w:sz w:val="28"/>
          <w:szCs w:val="28"/>
        </w:rPr>
        <w:t xml:space="preserve">Столбчатый график </w:t>
      </w:r>
      <w:r w:rsidRPr="00723C6A">
        <w:rPr>
          <w:sz w:val="28"/>
          <w:szCs w:val="28"/>
        </w:rPr>
        <w:t>представляет количественную зависимость, выраженную высотой столбика, например, таких факторов: себестоимость изделия от вида изделия, сумма потерь в результате брака от процесса, сумма выручки от магазина и т. д. При построении столбчатого графика по оси ординат откладывают количество, а по осп абсцисс — факторы; каждому фактору соответствует столбик.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iCs/>
          <w:sz w:val="28"/>
          <w:szCs w:val="28"/>
        </w:rPr>
        <w:t xml:space="preserve">Круговой график </w:t>
      </w:r>
      <w:r w:rsidRPr="00723C6A">
        <w:rPr>
          <w:sz w:val="28"/>
          <w:szCs w:val="28"/>
        </w:rPr>
        <w:t xml:space="preserve">— им </w:t>
      </w:r>
      <w:r w:rsidRPr="00723C6A">
        <w:rPr>
          <w:bCs/>
          <w:sz w:val="28"/>
          <w:szCs w:val="28"/>
        </w:rPr>
        <w:t xml:space="preserve">выражают соотношение составляющих какого-то </w:t>
      </w:r>
      <w:r w:rsidR="00B7339F" w:rsidRPr="00723C6A">
        <w:rPr>
          <w:sz w:val="28"/>
          <w:szCs w:val="28"/>
        </w:rPr>
        <w:t>ц</w:t>
      </w:r>
      <w:r w:rsidRPr="00723C6A">
        <w:rPr>
          <w:sz w:val="28"/>
          <w:szCs w:val="28"/>
        </w:rPr>
        <w:t>елого параметра и всего параметра в целом, например: соотношение сумм выручки от продажи отдельно по видам деталей и полной суммы выручки; соотношение элементов, составляющих себестоимость изделия, и целого числа, выражающего себестоимость, и т. д.</w:t>
      </w:r>
    </w:p>
    <w:p w:rsidR="00723C6A" w:rsidRDefault="002B41E9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Л</w:t>
      </w:r>
      <w:r w:rsidR="006066A8" w:rsidRPr="00723C6A">
        <w:rPr>
          <w:iCs/>
          <w:sz w:val="28"/>
          <w:szCs w:val="28"/>
        </w:rPr>
        <w:t>енточный график</w:t>
      </w:r>
      <w:r w:rsidR="006066A8" w:rsidRPr="00723C6A">
        <w:rPr>
          <w:sz w:val="28"/>
          <w:szCs w:val="28"/>
        </w:rPr>
        <w:t xml:space="preserve"> используют для наглядного представления соотношения составляющих какого-то параметра и одновременно для выражения изменения этих составляющих с течением времени: для графического представления соотношения составляющих суммы выручки от продажи изделий по видам изделий и их изменения по месяцам (годам); для представления причин дефектов и изменения их по месяцам и т. д.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Карта сравнения плановых и фактических показателей — представляет собой таблицу, у которой в две строки проставляют плановые и фактические показатели. Таблица может быть использована также для отдельных видов оборудования, отдельных операций, для состояния выполнения проекта, для тем занятий кружков качества и т. д.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bCs/>
          <w:sz w:val="28"/>
          <w:szCs w:val="28"/>
        </w:rPr>
        <w:t xml:space="preserve">3. Диаграмма Парето. </w:t>
      </w:r>
      <w:r w:rsidRPr="00723C6A">
        <w:rPr>
          <w:sz w:val="28"/>
          <w:szCs w:val="28"/>
        </w:rPr>
        <w:t xml:space="preserve">В деятельности фирм, предприятий постоянно возникают всевозможные проблемы, решению которых может способствовать использование диаграммы Парето: трудности с оборотом кредитных сумм, с освоением новых правил принятия заказов; появление брака, неполадок оборудования; удлинение времени от выпуска партий изделий до ее сбыта; наличие на складах продукции, лежащей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мертвым грузом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; поступление рекламаций, количество которых не уменьшается невзирая на старания повысить качество и т. д.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Диаграмма Парето используется и в противоположном случае, когда положительный опыт отдельных цехов или подразделений хотят внедрить на всем предприятии. С помощью диаграммы Парето выявляют основные причины успехов и широко пропагандируют эффективные методы работы.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При использовании диаграммы Парето для контроля важнейших факторов наиболее распространенным методом анализа является так называемый ЛВС-анализ. Допустим, на складе находится большое число деталей — 1 000, 3 000 и более. Проводить контроль всех деталей одинаково, без всякого различия, очевидно, неэффективно. Если же эти детали разделить на группы, допустим, по их стоимости, то на долю группы наиболее дорогих деталей, составляющих 20-30% от общего числа хранящихся на складе деталей, придется 70-80% от обшей стоимости всех деталей, а на долю группы самых дешевых деталей, составляющей 40-50% от всего количества деталей, придется всего 5-10% от общей стоимости.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Назовем первую — группой А, вторую — группой С. Промежуточную группу, стоимость которой составляет 20-30% от общей стоимости, назовем группой В. Теперь ясно, что контроль деталей на складе будет эффективным в том случае, если контроль деталей группы А будет самым жестким, а контроль деталей группы С — упрощенным.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Такой анализ широко применяется для контроля складов, клиентуры, денежных сумм, связанных со сбытом, и т. д.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Диаграмма Парето для решения таких проблем, как появление брака, неполадки оборудования, контроль деталей на складах и т. д., строится в виде столбчатого графика. Диаграмма составляется не в одном варианте. Рекомендуется составлять несколько вспомогательных диаграмм, входящих в состав группы А, с тем чтобы, последовательно анализируя их, в конечном итоге составить отдельную диаграмму Парето для конкретных явлений недоброкачественности.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Диаграмму Парето целесообразно применять вместе с причинно-следственной диаграммой. Чтобы решить очень серьезную проблему, связанную с низким качеством изделия, необходимо уяснить сущность явления по каждому конкретному виду дефекта.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В подобной ситуации собирают по возможности большее число заинтересованных лиц и начинают всесторонне изучать коренную причину недоброкачественности (от мелкой причины до конечной). В результате останавливаются на четырех-пяти причинах, требующих первоочередного внимания.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После проведения корректирующих мероприятий диаграмму Парето можно вновь построить для изменившихся в результате коррекции условий и проверить эффективность проведенных улучшений.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В сложной экономической жизни фирмы (предприятия) проблемы могут возникнуть в любой момент в любом подразделении. Анализ этих проблем всегда целесообразно начинать с составления диаграммы Парето. С их помощью можно анализировать широкий круг проблем, относящихся практически к любой сфере деятельности на фирме.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bCs/>
          <w:sz w:val="28"/>
          <w:szCs w:val="28"/>
        </w:rPr>
        <w:t xml:space="preserve">4. Причинно-следственная диаграмма (схема Исикавы). </w:t>
      </w:r>
      <w:r w:rsidRPr="00723C6A">
        <w:rPr>
          <w:sz w:val="28"/>
          <w:szCs w:val="28"/>
        </w:rPr>
        <w:t xml:space="preserve">Причинно-следственную диаграмму можно представить графически. Такую диаграмму иногда называют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рыбья кость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При составлении причинно-следственной диаграммы подбирают максимальное число факторов, имеющих отношение к характеристике, которая вышла за пределы допустимых значений.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При исследовании причин явления необходимо привлекать и третьих лиц, не имеющих непосредственного отношения к работе, так как у них, в отличие от лиц, привычных к данной рабочей обстановке, может возникнуть неожиданный подход в выявлении причин недоброкачественности изделий.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 xml:space="preserve">Наиболее эффективным считается групповой метод анализа причин, называемый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мозговым штурмом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 xml:space="preserve">. При использовании метода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мозгового штурма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 xml:space="preserve"> для выявления причин возникновения проблемы необходимо: 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 xml:space="preserve">- обеспечить атмосферу для свободного высказывания членами группы мнения по поводу причин возникновения проблемы; - исключить бесплодные разговоры, ценя идеи и сознательное оперирование фактами; - лицам руководящего состава никогда не высказываться первыми; - при составлении причинно-следственной диаграммы последней стрелкой среди причин следует обозначить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и прочие неучтенные факторы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bCs/>
          <w:sz w:val="28"/>
          <w:szCs w:val="28"/>
        </w:rPr>
        <w:t xml:space="preserve">5. Гистограмма </w:t>
      </w:r>
      <w:r w:rsidRPr="00723C6A">
        <w:rPr>
          <w:sz w:val="28"/>
          <w:szCs w:val="28"/>
        </w:rPr>
        <w:t>— позволяет оценить состояние качества. Гистограмма представляет собой столбчатый график, построенный по полученным за определенный период (час, неделю, месяц) данным, которые разбиваются на несколько интервалов. Число данных, попавших в каждый из интервалов (частота), выражается высотой столбика.</w:t>
      </w:r>
    </w:p>
    <w:p w:rsidR="00723C6A" w:rsidRDefault="00492C1E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П</w:t>
      </w:r>
      <w:r w:rsidR="006066A8" w:rsidRPr="00723C6A">
        <w:rPr>
          <w:sz w:val="28"/>
          <w:szCs w:val="28"/>
        </w:rPr>
        <w:t xml:space="preserve">рименяется главным образом для анализа значений измеренных параметров, но может использоваться и для расчетных значений. Благодаря простоте построения и наглядности гистограммы нашли применение в различных областях: - для анализа сроков получения заказа (за контрольный норматив принимается срок поставки согласно договору); - для анализа времени реагирования группы обслуживания от момента получения заявки от клиента, времени обработки рекламации от момента ее получения и т. д.; - для анализа значений показателей качества, таких как размеры, масса, механические характеристики, химический состав, выход продукции и т. д. </w:t>
      </w:r>
      <w:r w:rsidR="00723C6A">
        <w:rPr>
          <w:sz w:val="28"/>
          <w:szCs w:val="28"/>
        </w:rPr>
        <w:t xml:space="preserve"> </w:t>
      </w:r>
      <w:r w:rsidR="006066A8" w:rsidRPr="00723C6A">
        <w:rPr>
          <w:sz w:val="28"/>
          <w:szCs w:val="28"/>
        </w:rPr>
        <w:t>- при контроле готовой продукции, при приемочном контроле, при контроле процесса в самых разных сферах деятельности; - для анализа чистого времени операций, времени износа режущей поверхности и т. д.; - для анализа числа бракованных изделий, числа дефектов, числа поломок и т.д.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bCs/>
          <w:sz w:val="28"/>
          <w:szCs w:val="28"/>
        </w:rPr>
        <w:t xml:space="preserve">6. Диаграмма разброса </w:t>
      </w:r>
      <w:r w:rsidRPr="00723C6A">
        <w:rPr>
          <w:sz w:val="28"/>
          <w:szCs w:val="28"/>
        </w:rPr>
        <w:t>применяется для исследования зависимости между двумя видами данных, например для анализа зависимости суммы выручки от числа обращений к продавцу; сопротивления удару от давления, при котором производилась обработка, и т. д.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Диаграмма разброса, так же как и метод расслоения, используется для выявления причинно-следственных связей показателей качества и влияющих факторов при анализе причинно-следственной диаграммы.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Диаграмма разброса (рассеяния) строится в таком порядке: по горизонтальной оси откладываются измерения величин одной переменной, а по вертикальной оси — другой переменной.</w:t>
      </w:r>
    </w:p>
    <w:p w:rsidR="00723C6A" w:rsidRDefault="006066A8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bCs/>
          <w:sz w:val="28"/>
          <w:szCs w:val="28"/>
        </w:rPr>
        <w:t xml:space="preserve">7. Контрольные карты </w:t>
      </w:r>
      <w:r w:rsidRPr="00723C6A">
        <w:rPr>
          <w:sz w:val="28"/>
          <w:szCs w:val="28"/>
        </w:rPr>
        <w:t>используются в виде графиков, полученных в ходе технологического процесса. Графики отражают динамику процесса. Применяют различные контрольные карты: X - R, медиан, р-карты (дефектной продукции), pn-карты, с-карты.</w:t>
      </w:r>
    </w:p>
    <w:p w:rsidR="00592F49" w:rsidRPr="00723C6A" w:rsidRDefault="00592F49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92F49" w:rsidRPr="00723C6A" w:rsidRDefault="00723C6A" w:rsidP="00723C6A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  <w:bookmarkStart w:id="3" w:name="_Toc123223207"/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592F49" w:rsidRPr="00723C6A">
        <w:rPr>
          <w:rFonts w:ascii="Times New Roman" w:hAnsi="Times New Roman" w:cs="Times New Roman"/>
          <w:b w:val="0"/>
          <w:sz w:val="28"/>
          <w:szCs w:val="28"/>
        </w:rPr>
        <w:t>3. Покажите на примере производства и реализации конкретной продукции (или предоставления конкретной услуги), как происходит управление качеством на отдельных стадиях жизненного цикла продукции (</w:t>
      </w:r>
      <w:r>
        <w:rPr>
          <w:rFonts w:ascii="Times New Roman" w:hAnsi="Times New Roman" w:cs="Times New Roman"/>
          <w:b w:val="0"/>
          <w:sz w:val="28"/>
          <w:szCs w:val="28"/>
        </w:rPr>
        <w:t>"</w:t>
      </w:r>
      <w:r w:rsidR="00592F49" w:rsidRPr="00723C6A">
        <w:rPr>
          <w:rFonts w:ascii="Times New Roman" w:hAnsi="Times New Roman" w:cs="Times New Roman"/>
          <w:b w:val="0"/>
          <w:sz w:val="28"/>
          <w:szCs w:val="28"/>
        </w:rPr>
        <w:t>петли качества</w:t>
      </w:r>
      <w:r>
        <w:rPr>
          <w:rFonts w:ascii="Times New Roman" w:hAnsi="Times New Roman" w:cs="Times New Roman"/>
          <w:b w:val="0"/>
          <w:sz w:val="28"/>
          <w:szCs w:val="28"/>
        </w:rPr>
        <w:t>"</w:t>
      </w:r>
      <w:r w:rsidR="00592F49" w:rsidRPr="00723C6A">
        <w:rPr>
          <w:rFonts w:ascii="Times New Roman" w:hAnsi="Times New Roman" w:cs="Times New Roman"/>
          <w:b w:val="0"/>
          <w:sz w:val="28"/>
          <w:szCs w:val="28"/>
        </w:rPr>
        <w:t>)</w:t>
      </w:r>
      <w:bookmarkEnd w:id="3"/>
    </w:p>
    <w:p w:rsidR="001A55B8" w:rsidRPr="00723C6A" w:rsidRDefault="001A55B8" w:rsidP="00723C6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592F49" w:rsidRPr="00723C6A" w:rsidRDefault="00CB1C8E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Рассмотрим как происходит управление качеством на отдельных стадиях жизненного цикла продукции на примере предоставления образовательных услуг.</w: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723C6A">
        <w:rPr>
          <w:bCs/>
          <w:sz w:val="28"/>
          <w:szCs w:val="28"/>
        </w:rPr>
        <w:t>Продукция отрасли образования, её конечный продукт – это трудовой потенциал выпускников.</w: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723C6A">
        <w:rPr>
          <w:bCs/>
          <w:sz w:val="28"/>
          <w:szCs w:val="28"/>
        </w:rPr>
        <w:t>Качество продукции отрасли образования – совокупность знаний, умений и навыков выпускника, обусловливающих его способность удовлетворить потребности рынка труда в определённых компетенциях.</w: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723C6A">
        <w:rPr>
          <w:bCs/>
          <w:sz w:val="28"/>
          <w:szCs w:val="28"/>
        </w:rPr>
        <w:t>Задача управления качеством отрасли образования, находящейся в ведении государства, состоит в том, чтобы предотвратить получение неудовлетворительных результатов, обеспечив высокое качество процесса предоставления образовательных услуг на всех его стадиях.</w:t>
      </w:r>
    </w:p>
    <w:p w:rsidR="00723C6A" w:rsidRDefault="00CB1C8E" w:rsidP="00723C6A">
      <w:pPr>
        <w:pStyle w:val="aa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 xml:space="preserve">Обеспечение качества продукции на основе процедур обеспечения качества на каждой стадии её жизненного цикла получило название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петли качества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.</w: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Петля качества – концептуальная модель взаимосвязанных видов деятельности, влияющих на качество на различных стадиях от определения потребностей до оценки их удовлетворения.</w: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 xml:space="preserve">Классическая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петля качества Ситтеги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 xml:space="preserve"> насчитывает 11 позиций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жизненного цикла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 xml:space="preserve"> производства промышленной продукции от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изучения рынка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 xml:space="preserve"> до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утилизации после использования продукции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.</w: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Отрасль образования относится к сфере услуг. Принцип управления качеством услуги (по аналогии с принципом управления качеством продукции) представляет собой воздействие на процесс предоставления услуги путём реализации управленческих функций с целью обеспечения качества услуги.</w: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Принципы управления качеством в сфере услуг, в том числе и в сфере образовательных услуг, сходны, таким образом, с принципами управления качеством в промышленности. Впрочем, каждый вид производства или услуг отличается конкретным содержанием своей деятельности. Имеет свою специфику и отрасль образования. Это своеобразие выражается, прежде всего, в характеристиках отдельных звеньев петли качества.</w: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Определим элементы петли качества предоставления образовательных услуг на основе трёх ста</w:t>
      </w:r>
      <w:r w:rsidR="00FA0694" w:rsidRPr="00723C6A">
        <w:rPr>
          <w:sz w:val="28"/>
          <w:szCs w:val="28"/>
        </w:rPr>
        <w:t>дий его производственного цикла</w:t>
      </w:r>
      <w:r w:rsidRPr="00723C6A">
        <w:rPr>
          <w:sz w:val="28"/>
          <w:szCs w:val="28"/>
        </w:rPr>
        <w:t>.</w: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B1C8E" w:rsidRPr="00723C6A" w:rsidRDefault="00E369AE" w:rsidP="00723C6A">
      <w:pPr>
        <w:tabs>
          <w:tab w:val="left" w:pos="3225"/>
          <w:tab w:val="center" w:pos="4320"/>
          <w:tab w:val="left" w:pos="477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6.25pt;height:120.75pt">
            <v:imagedata r:id="rId7" o:title=""/>
          </v:shape>
        </w:pict>
      </w:r>
    </w:p>
    <w:p w:rsidR="00CB1C8E" w:rsidRPr="00723C6A" w:rsidRDefault="00CB1C8E" w:rsidP="00723C6A">
      <w:pPr>
        <w:suppressAutoHyphens/>
        <w:spacing w:line="360" w:lineRule="auto"/>
        <w:ind w:firstLine="709"/>
        <w:jc w:val="both"/>
        <w:rPr>
          <w:sz w:val="28"/>
        </w:rPr>
      </w:pPr>
      <w:r w:rsidRPr="00723C6A">
        <w:rPr>
          <w:sz w:val="28"/>
        </w:rPr>
        <w:t>Рис. 1</w:t>
      </w:r>
      <w:r w:rsidR="00FA0694" w:rsidRPr="00723C6A">
        <w:rPr>
          <w:sz w:val="28"/>
        </w:rPr>
        <w:t xml:space="preserve">. </w:t>
      </w:r>
      <w:r w:rsidRPr="00723C6A">
        <w:rPr>
          <w:sz w:val="28"/>
        </w:rPr>
        <w:t>Петля качества процесса предоставления образовательных услуг.</w:t>
      </w:r>
    </w:p>
    <w:p w:rsidR="00CB1C8E" w:rsidRPr="00723C6A" w:rsidRDefault="00CB1C8E" w:rsidP="00723C6A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изучение потребностей рынков труда и образовательных услуг</w:t>
      </w:r>
    </w:p>
    <w:p w:rsidR="00CB1C8E" w:rsidRPr="00723C6A" w:rsidRDefault="00CB1C8E" w:rsidP="00723C6A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разработка квалификационных требований</w:t>
      </w:r>
    </w:p>
    <w:p w:rsidR="00CB1C8E" w:rsidRPr="00723C6A" w:rsidRDefault="00CB1C8E" w:rsidP="00723C6A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формирование программ и методов обучения</w:t>
      </w:r>
    </w:p>
    <w:p w:rsidR="00CB1C8E" w:rsidRPr="00723C6A" w:rsidRDefault="00CB1C8E" w:rsidP="00723C6A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обеспечение обучения людскими ресурсами</w:t>
      </w:r>
    </w:p>
    <w:p w:rsidR="00CB1C8E" w:rsidRPr="00723C6A" w:rsidRDefault="00CB1C8E" w:rsidP="00723C6A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обеспечение обучения материальными ресурсами</w:t>
      </w:r>
    </w:p>
    <w:p w:rsidR="00CB1C8E" w:rsidRPr="00723C6A" w:rsidRDefault="00CB1C8E" w:rsidP="00723C6A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процесс обучения</w:t>
      </w:r>
    </w:p>
    <w:p w:rsidR="00CB1C8E" w:rsidRPr="00723C6A" w:rsidRDefault="00CB1C8E" w:rsidP="00723C6A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присвоение квалификации выпускникам</w:t>
      </w:r>
    </w:p>
    <w:p w:rsidR="00CB1C8E" w:rsidRPr="00723C6A" w:rsidRDefault="00CB1C8E" w:rsidP="00723C6A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мониторинг трудоустройства выпускников</w:t>
      </w:r>
      <w:r w:rsidR="00FA0694" w:rsidRPr="00723C6A">
        <w:rPr>
          <w:sz w:val="28"/>
          <w:szCs w:val="28"/>
        </w:rPr>
        <w:t>.</w:t>
      </w:r>
    </w:p>
    <w:p w:rsidR="001A55B8" w:rsidRPr="00723C6A" w:rsidRDefault="001A55B8" w:rsidP="00723C6A">
      <w:pPr>
        <w:pStyle w:val="2"/>
        <w:suppressAutoHyphens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B1C8E" w:rsidRPr="00723C6A" w:rsidRDefault="00CB1C8E" w:rsidP="00723C6A">
      <w:pPr>
        <w:pStyle w:val="2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Каждый из предложенных восьми элементов петли качества процесса предоставления образовательных услуг может быть расчленён на соответствующие операции. Предполагается, что все эти элементы и их составные части являются объектами для применения определённых инструментов управления, направленных на обеспечение требуемого качества.</w:t>
      </w:r>
    </w:p>
    <w:p w:rsidR="001C7537" w:rsidRPr="00723C6A" w:rsidRDefault="001C7537" w:rsidP="00723C6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23C6A">
        <w:rPr>
          <w:sz w:val="28"/>
          <w:szCs w:val="28"/>
        </w:rPr>
        <w:t>Целью управления качеством является проектирование базового уровня качества, отвечающего требованиям потребителей, и достижение минимального разрыва между достигнутым уровнем качества и базовым уровнем качества процесса и результата предоставления образовательных услуг.</w:t>
      </w:r>
    </w:p>
    <w:p w:rsidR="001C7537" w:rsidRPr="00723C6A" w:rsidRDefault="001C7537" w:rsidP="00723C6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3C6A">
        <w:rPr>
          <w:sz w:val="28"/>
          <w:szCs w:val="28"/>
        </w:rPr>
        <w:t xml:space="preserve">Для достижения данной цели используется замкнутый цикл управления качеством, который состоит из последовательных этапов проектирования, обеспечения и мониторинга качества –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треугольник качества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.</w:t>
      </w:r>
    </w:p>
    <w:p w:rsidR="00723C6A" w:rsidRPr="00723C6A" w:rsidRDefault="00723C6A" w:rsidP="00723C6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C7537" w:rsidRPr="00723C6A" w:rsidRDefault="00E369AE" w:rsidP="00723C6A">
      <w:pPr>
        <w:tabs>
          <w:tab w:val="left" w:pos="294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234.75pt;height:141.75pt">
            <v:imagedata r:id="rId8" o:title=""/>
          </v:shape>
        </w:pict>
      </w:r>
    </w:p>
    <w:p w:rsidR="001C7537" w:rsidRPr="00723C6A" w:rsidRDefault="001C7537" w:rsidP="00723C6A">
      <w:pPr>
        <w:pStyle w:val="a8"/>
        <w:tabs>
          <w:tab w:val="left" w:pos="2940"/>
        </w:tabs>
        <w:suppressAutoHyphens/>
        <w:spacing w:after="0" w:line="360" w:lineRule="auto"/>
        <w:ind w:firstLine="709"/>
        <w:jc w:val="both"/>
        <w:rPr>
          <w:sz w:val="28"/>
          <w:lang w:val="en-US"/>
        </w:rPr>
      </w:pPr>
      <w:r w:rsidRPr="00723C6A">
        <w:rPr>
          <w:sz w:val="28"/>
        </w:rPr>
        <w:t>Рис. 2.</w:t>
      </w:r>
      <w:r w:rsidR="00723C6A">
        <w:rPr>
          <w:sz w:val="28"/>
        </w:rPr>
        <w:t xml:space="preserve"> </w:t>
      </w:r>
      <w:r w:rsidRPr="00723C6A">
        <w:rPr>
          <w:sz w:val="28"/>
        </w:rPr>
        <w:t xml:space="preserve">Схема замкнутого цикла управления качеством образования – </w:t>
      </w:r>
      <w:r w:rsidR="00723C6A">
        <w:rPr>
          <w:sz w:val="28"/>
        </w:rPr>
        <w:t>"</w:t>
      </w:r>
      <w:r w:rsidRPr="00723C6A">
        <w:rPr>
          <w:sz w:val="28"/>
        </w:rPr>
        <w:t>треугольник управления качеством</w:t>
      </w:r>
      <w:r w:rsidR="00723C6A">
        <w:rPr>
          <w:sz w:val="28"/>
        </w:rPr>
        <w:t>"</w:t>
      </w:r>
      <w:r w:rsidRPr="00723C6A">
        <w:rPr>
          <w:sz w:val="28"/>
        </w:rPr>
        <w:t>.</w:t>
      </w:r>
    </w:p>
    <w:p w:rsidR="00723C6A" w:rsidRPr="00723C6A" w:rsidRDefault="00723C6A" w:rsidP="00723C6A">
      <w:pPr>
        <w:pStyle w:val="a8"/>
        <w:tabs>
          <w:tab w:val="left" w:pos="2940"/>
        </w:tabs>
        <w:suppressAutoHyphens/>
        <w:spacing w:after="0" w:line="360" w:lineRule="auto"/>
        <w:ind w:firstLine="709"/>
        <w:jc w:val="both"/>
        <w:rPr>
          <w:sz w:val="28"/>
          <w:lang w:val="en-US"/>
        </w:rPr>
      </w:pPr>
    </w:p>
    <w:p w:rsidR="001C7537" w:rsidRPr="00723C6A" w:rsidRDefault="00FD4820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723C6A">
        <w:rPr>
          <w:rFonts w:ascii="Times New Roman" w:hAnsi="Times New Roman" w:cs="Times New Roman"/>
          <w:color w:val="auto"/>
          <w:sz w:val="28"/>
        </w:rPr>
        <w:t xml:space="preserve">Элементы </w:t>
      </w:r>
      <w:r w:rsidR="00723C6A">
        <w:rPr>
          <w:rFonts w:ascii="Times New Roman" w:hAnsi="Times New Roman" w:cs="Times New Roman"/>
          <w:color w:val="auto"/>
          <w:sz w:val="28"/>
        </w:rPr>
        <w:t>"</w:t>
      </w:r>
      <w:r w:rsidRPr="00723C6A">
        <w:rPr>
          <w:rFonts w:ascii="Times New Roman" w:hAnsi="Times New Roman" w:cs="Times New Roman"/>
          <w:color w:val="auto"/>
          <w:sz w:val="28"/>
        </w:rPr>
        <w:t>треугольника управления качеством</w:t>
      </w:r>
      <w:r w:rsidR="00723C6A">
        <w:rPr>
          <w:rFonts w:ascii="Times New Roman" w:hAnsi="Times New Roman" w:cs="Times New Roman"/>
          <w:color w:val="auto"/>
          <w:sz w:val="28"/>
        </w:rPr>
        <w:t>"</w:t>
      </w:r>
      <w:r w:rsidRPr="00723C6A">
        <w:rPr>
          <w:rFonts w:ascii="Times New Roman" w:hAnsi="Times New Roman" w:cs="Times New Roman"/>
          <w:color w:val="auto"/>
          <w:sz w:val="28"/>
        </w:rPr>
        <w:t xml:space="preserve"> постоянно пересекаются с элементами </w:t>
      </w:r>
      <w:r w:rsidR="00723C6A">
        <w:rPr>
          <w:rFonts w:ascii="Times New Roman" w:hAnsi="Times New Roman" w:cs="Times New Roman"/>
          <w:color w:val="auto"/>
          <w:sz w:val="28"/>
        </w:rPr>
        <w:t>"</w:t>
      </w:r>
      <w:r w:rsidRPr="00723C6A">
        <w:rPr>
          <w:rFonts w:ascii="Times New Roman" w:hAnsi="Times New Roman" w:cs="Times New Roman"/>
          <w:color w:val="auto"/>
          <w:sz w:val="28"/>
        </w:rPr>
        <w:t>петли качества</w:t>
      </w:r>
      <w:r w:rsidR="00723C6A">
        <w:rPr>
          <w:rFonts w:ascii="Times New Roman" w:hAnsi="Times New Roman" w:cs="Times New Roman"/>
          <w:color w:val="auto"/>
          <w:sz w:val="28"/>
        </w:rPr>
        <w:t>"</w:t>
      </w:r>
      <w:r w:rsidRPr="00723C6A">
        <w:rPr>
          <w:rFonts w:ascii="Times New Roman" w:hAnsi="Times New Roman" w:cs="Times New Roman"/>
          <w:color w:val="auto"/>
          <w:sz w:val="28"/>
        </w:rPr>
        <w:t>, образуя единый процесс тотального управления качеством образования.</w:t>
      </w:r>
    </w:p>
    <w:p w:rsidR="001C7537" w:rsidRPr="00723C6A" w:rsidRDefault="00FD4820" w:rsidP="00723C6A">
      <w:pPr>
        <w:pStyle w:val="a7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723C6A">
        <w:rPr>
          <w:rFonts w:ascii="Times New Roman" w:hAnsi="Times New Roman" w:cs="Times New Roman"/>
          <w:color w:val="auto"/>
          <w:sz w:val="28"/>
        </w:rPr>
        <w:t>Взаимодействие двух циклов является эффективным в том случае, если после каждого цикла управления качеством петля качества образовательных услуг превращается в восходящую спираль, закручивающуюся вокруг вектора повышения качества.</w:t>
      </w:r>
    </w:p>
    <w:p w:rsidR="00592F49" w:rsidRPr="00723C6A" w:rsidRDefault="00723C6A" w:rsidP="00723C6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23C6A">
        <w:rPr>
          <w:bCs/>
          <w:sz w:val="28"/>
          <w:szCs w:val="28"/>
        </w:rPr>
        <w:br w:type="page"/>
      </w:r>
      <w:bookmarkStart w:id="4" w:name="_Toc123223208"/>
      <w:r w:rsidR="00592F49" w:rsidRPr="00723C6A">
        <w:rPr>
          <w:sz w:val="28"/>
          <w:szCs w:val="28"/>
        </w:rPr>
        <w:t>Список литературы</w:t>
      </w:r>
      <w:bookmarkEnd w:id="4"/>
    </w:p>
    <w:p w:rsidR="00723C6A" w:rsidRPr="00723C6A" w:rsidRDefault="00723C6A" w:rsidP="00723C6A">
      <w:pPr>
        <w:suppressAutoHyphens/>
        <w:spacing w:line="360" w:lineRule="auto"/>
        <w:rPr>
          <w:sz w:val="28"/>
          <w:szCs w:val="28"/>
          <w:lang w:val="en-US"/>
        </w:rPr>
      </w:pPr>
    </w:p>
    <w:p w:rsidR="008E5BDD" w:rsidRPr="00723C6A" w:rsidRDefault="008E5BDD" w:rsidP="00723C6A">
      <w:pPr>
        <w:pStyle w:val="ac"/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723C6A">
        <w:rPr>
          <w:sz w:val="28"/>
          <w:szCs w:val="28"/>
        </w:rPr>
        <w:t>Закон</w:t>
      </w:r>
      <w:r w:rsidR="00723C6A">
        <w:rPr>
          <w:sz w:val="28"/>
          <w:szCs w:val="28"/>
        </w:rPr>
        <w:t xml:space="preserve"> </w:t>
      </w:r>
      <w:r w:rsidRPr="00723C6A">
        <w:rPr>
          <w:sz w:val="28"/>
          <w:szCs w:val="28"/>
        </w:rPr>
        <w:t xml:space="preserve">РФ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О сертификации продукции и услуг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 xml:space="preserve"> (в ред. от 31.07.98г. № 154 – 93).</w:t>
      </w:r>
    </w:p>
    <w:p w:rsidR="008E5BDD" w:rsidRPr="00723C6A" w:rsidRDefault="008E5BDD" w:rsidP="00723C6A">
      <w:pPr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723C6A">
        <w:rPr>
          <w:sz w:val="28"/>
          <w:szCs w:val="28"/>
        </w:rPr>
        <w:t>Международный стандарт качества ИСО 9004.2</w:t>
      </w:r>
    </w:p>
    <w:p w:rsidR="008E5BDD" w:rsidRPr="00723C6A" w:rsidRDefault="008E5BDD" w:rsidP="00723C6A">
      <w:pPr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723C6A">
        <w:rPr>
          <w:sz w:val="28"/>
          <w:szCs w:val="28"/>
        </w:rPr>
        <w:t xml:space="preserve">Стандарт ИСО 8402 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Управление качеством и обеспечение качества. Словарь</w:t>
      </w:r>
      <w:r w:rsidR="00723C6A">
        <w:rPr>
          <w:sz w:val="28"/>
          <w:szCs w:val="28"/>
        </w:rPr>
        <w:t>"</w:t>
      </w:r>
      <w:r w:rsidRPr="00723C6A">
        <w:rPr>
          <w:sz w:val="28"/>
          <w:szCs w:val="28"/>
        </w:rPr>
        <w:t>.</w:t>
      </w:r>
    </w:p>
    <w:p w:rsidR="008E5BDD" w:rsidRPr="00723C6A" w:rsidRDefault="008E5BDD" w:rsidP="00723C6A">
      <w:pPr>
        <w:pStyle w:val="ac"/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723C6A">
        <w:rPr>
          <w:sz w:val="28"/>
          <w:szCs w:val="28"/>
        </w:rPr>
        <w:t>ГОСТ Р 40.003 – 2000 Система сертификации ГОСТ Р. Регистр систем качества. Порядок проведения сертификации систем качества и сертификации производства.</w:t>
      </w:r>
    </w:p>
    <w:p w:rsidR="008E5BDD" w:rsidRPr="00723C6A" w:rsidRDefault="008E5BDD" w:rsidP="00723C6A">
      <w:pPr>
        <w:pStyle w:val="a7"/>
        <w:numPr>
          <w:ilvl w:val="0"/>
          <w:numId w:val="4"/>
        </w:numPr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723C6A">
        <w:rPr>
          <w:rFonts w:ascii="Times New Roman" w:hAnsi="Times New Roman" w:cs="Times New Roman"/>
          <w:color w:val="auto"/>
          <w:sz w:val="28"/>
          <w:szCs w:val="28"/>
        </w:rPr>
        <w:t xml:space="preserve">Ребрин Ю.И. </w:t>
      </w:r>
      <w:r w:rsidRPr="00F5271F">
        <w:rPr>
          <w:rFonts w:ascii="Times New Roman" w:hAnsi="Times New Roman" w:cs="Times New Roman"/>
          <w:bCs/>
          <w:color w:val="auto"/>
          <w:sz w:val="28"/>
          <w:szCs w:val="28"/>
        </w:rPr>
        <w:t>Управление качеством</w:t>
      </w:r>
      <w:r w:rsidRPr="00723C6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Учебное пособие. - Таганрог: </w:t>
      </w:r>
      <w:r w:rsidRPr="00F5271F">
        <w:rPr>
          <w:rFonts w:ascii="Times New Roman" w:hAnsi="Times New Roman" w:cs="Times New Roman"/>
          <w:bCs/>
          <w:color w:val="auto"/>
          <w:sz w:val="28"/>
          <w:szCs w:val="28"/>
        </w:rPr>
        <w:t>Изд-во ТРТУ</w:t>
      </w:r>
      <w:r w:rsidRPr="00723C6A">
        <w:rPr>
          <w:rFonts w:ascii="Times New Roman" w:hAnsi="Times New Roman" w:cs="Times New Roman"/>
          <w:bCs/>
          <w:color w:val="auto"/>
          <w:sz w:val="28"/>
          <w:szCs w:val="28"/>
        </w:rPr>
        <w:t>, 2004. – 430 с..</w:t>
      </w:r>
      <w:bookmarkStart w:id="5" w:name="_GoBack"/>
      <w:bookmarkEnd w:id="5"/>
    </w:p>
    <w:sectPr w:rsidR="008E5BDD" w:rsidRPr="00723C6A" w:rsidSect="00723C6A">
      <w:headerReference w:type="even" r:id="rId9"/>
      <w:headerReference w:type="default" r:id="rId10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B8F" w:rsidRDefault="00D57B8F">
      <w:r>
        <w:separator/>
      </w:r>
    </w:p>
  </w:endnote>
  <w:endnote w:type="continuationSeparator" w:id="0">
    <w:p w:rsidR="00D57B8F" w:rsidRDefault="00D5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B8F" w:rsidRDefault="00D57B8F">
      <w:r>
        <w:separator/>
      </w:r>
    </w:p>
  </w:footnote>
  <w:footnote w:type="continuationSeparator" w:id="0">
    <w:p w:rsidR="00D57B8F" w:rsidRDefault="00D57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F49" w:rsidRDefault="00592F49" w:rsidP="002818B0">
    <w:pPr>
      <w:pStyle w:val="a3"/>
      <w:framePr w:wrap="around" w:vAnchor="text" w:hAnchor="margin" w:xAlign="right" w:y="1"/>
      <w:rPr>
        <w:rStyle w:val="a5"/>
      </w:rPr>
    </w:pPr>
  </w:p>
  <w:p w:rsidR="00592F49" w:rsidRDefault="00592F49" w:rsidP="00592F4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F49" w:rsidRDefault="00592F49" w:rsidP="00592F4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A5C34"/>
    <w:multiLevelType w:val="hybridMultilevel"/>
    <w:tmpl w:val="192068C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4E717B"/>
    <w:multiLevelType w:val="hybridMultilevel"/>
    <w:tmpl w:val="85C07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A295AA3"/>
    <w:multiLevelType w:val="hybridMultilevel"/>
    <w:tmpl w:val="5308D4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B1E0E50"/>
    <w:multiLevelType w:val="hybridMultilevel"/>
    <w:tmpl w:val="A886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06A"/>
    <w:rsid w:val="000446F5"/>
    <w:rsid w:val="001A55B8"/>
    <w:rsid w:val="001C7537"/>
    <w:rsid w:val="00204185"/>
    <w:rsid w:val="00245F4F"/>
    <w:rsid w:val="002818B0"/>
    <w:rsid w:val="002B41E9"/>
    <w:rsid w:val="00416798"/>
    <w:rsid w:val="00430432"/>
    <w:rsid w:val="00492C1E"/>
    <w:rsid w:val="005620E2"/>
    <w:rsid w:val="00567866"/>
    <w:rsid w:val="00592F49"/>
    <w:rsid w:val="0059541D"/>
    <w:rsid w:val="005D1D4D"/>
    <w:rsid w:val="006066A8"/>
    <w:rsid w:val="006E1374"/>
    <w:rsid w:val="00723C6A"/>
    <w:rsid w:val="00891492"/>
    <w:rsid w:val="008E5BDD"/>
    <w:rsid w:val="009713BD"/>
    <w:rsid w:val="00977125"/>
    <w:rsid w:val="009C38EB"/>
    <w:rsid w:val="00B7339F"/>
    <w:rsid w:val="00BD3980"/>
    <w:rsid w:val="00C072B5"/>
    <w:rsid w:val="00C44855"/>
    <w:rsid w:val="00CB1C8E"/>
    <w:rsid w:val="00CB5D62"/>
    <w:rsid w:val="00CF3FC6"/>
    <w:rsid w:val="00D20E17"/>
    <w:rsid w:val="00D3688E"/>
    <w:rsid w:val="00D57B8F"/>
    <w:rsid w:val="00E0527F"/>
    <w:rsid w:val="00E369AE"/>
    <w:rsid w:val="00E71834"/>
    <w:rsid w:val="00F5271F"/>
    <w:rsid w:val="00F6206A"/>
    <w:rsid w:val="00FA0694"/>
    <w:rsid w:val="00FC12AE"/>
    <w:rsid w:val="00FD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30C2528-130D-4989-A469-F5867F89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2F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592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592F49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2818B0"/>
  </w:style>
  <w:style w:type="character" w:styleId="a6">
    <w:name w:val="Hyperlink"/>
    <w:uiPriority w:val="99"/>
    <w:rsid w:val="002818B0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0446F5"/>
    <w:pPr>
      <w:spacing w:before="167" w:after="167"/>
    </w:pPr>
    <w:rPr>
      <w:rFonts w:ascii="Arial" w:hAnsi="Arial" w:cs="Arial"/>
      <w:color w:val="333333"/>
      <w:sz w:val="20"/>
      <w:szCs w:val="20"/>
    </w:rPr>
  </w:style>
  <w:style w:type="paragraph" w:styleId="a8">
    <w:name w:val="Body Text"/>
    <w:basedOn w:val="a"/>
    <w:link w:val="a9"/>
    <w:uiPriority w:val="99"/>
    <w:rsid w:val="00CB1C8E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CB1C8E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CB1C8E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</w:rPr>
  </w:style>
  <w:style w:type="character" w:styleId="ae">
    <w:name w:val="footnote reference"/>
    <w:uiPriority w:val="99"/>
    <w:semiHidden/>
    <w:rsid w:val="00CB1C8E"/>
    <w:rPr>
      <w:rFonts w:cs="Times New Roman"/>
      <w:vertAlign w:val="superscript"/>
    </w:rPr>
  </w:style>
  <w:style w:type="paragraph" w:styleId="2">
    <w:name w:val="Body Text Indent 2"/>
    <w:basedOn w:val="a"/>
    <w:link w:val="20"/>
    <w:uiPriority w:val="99"/>
    <w:rsid w:val="00CB1C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CF3FC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rsid w:val="00CF3FC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73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3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2941</Words>
  <Characters>16769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2005-12-29T10:36:00Z</cp:lastPrinted>
  <dcterms:created xsi:type="dcterms:W3CDTF">2014-03-20T09:15:00Z</dcterms:created>
  <dcterms:modified xsi:type="dcterms:W3CDTF">2014-03-20T09:15:00Z</dcterms:modified>
</cp:coreProperties>
</file>