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23C" w:rsidRDefault="00BF56F2">
      <w:pPr>
        <w:pStyle w:val="1"/>
        <w:jc w:val="center"/>
      </w:pPr>
      <w:r>
        <w:t>Маркетинг</w:t>
      </w:r>
    </w:p>
    <w:p w:rsidR="006B323C" w:rsidRPr="00BF56F2" w:rsidRDefault="00BF56F2">
      <w:pPr>
        <w:pStyle w:val="a3"/>
      </w:pPr>
      <w:r>
        <w:t>Практическая часть.</w:t>
      </w:r>
    </w:p>
    <w:p w:rsidR="006B323C" w:rsidRDefault="006B323C"/>
    <w:p w:rsidR="006B323C" w:rsidRPr="00BF56F2" w:rsidRDefault="00BF56F2">
      <w:pPr>
        <w:pStyle w:val="a3"/>
      </w:pPr>
      <w:r>
        <w:t>Прежде чем проводить исследование рынка необходимо более широко изучить его характеристики. Рассмотрим основные параметры, которые покупатели учитывают при отборе и покупке монитора.</w:t>
      </w:r>
    </w:p>
    <w:p w:rsidR="006B323C" w:rsidRDefault="006B323C"/>
    <w:p w:rsidR="006B323C" w:rsidRPr="00BF56F2" w:rsidRDefault="00BF56F2">
      <w:pPr>
        <w:pStyle w:val="a3"/>
      </w:pPr>
      <w:r>
        <w:t>Размер экрана.</w:t>
      </w:r>
    </w:p>
    <w:p w:rsidR="006B323C" w:rsidRDefault="00BF56F2">
      <w:pPr>
        <w:pStyle w:val="a3"/>
      </w:pPr>
      <w:r>
        <w:t>До недавнего времени поставщики называли «15 дюймовыми» все мониторы, имеющие 15-дюймовую электронно-лучевую трубку, несмотря на то, что полдюйма экрана закрывала рамка лицевой панели монитора. Сегодня ситуация меняется. Благодаря недавним судебным процессам, на которых несколько производителей было обвинено в лживой рекламе, стали указывать максимальный размер видимого изображения. У разных мониторов размеры рамки лицевой панели отличаются: одни рамки оставляют из 17» 16,1, другие 15,6. Поэтому максимальный размер фактически видимого изображения может быть меньше размера экрана ЭЛТ. В большинстве мониторов средних и старших моделей имеется возможность растянуть изображение во всех направлениях, чтобы довести его края до краев рамки, однако в целях сохранения качества изображения большинство изготовителей не рекомендует этого делать.</w:t>
      </w:r>
    </w:p>
    <w:p w:rsidR="006B323C" w:rsidRDefault="006B323C"/>
    <w:p w:rsidR="006B323C" w:rsidRPr="00BF56F2" w:rsidRDefault="00BF56F2">
      <w:pPr>
        <w:pStyle w:val="a3"/>
      </w:pPr>
      <w:r>
        <w:t>Разрешение.</w:t>
      </w:r>
    </w:p>
    <w:p w:rsidR="006B323C" w:rsidRDefault="00BF56F2">
      <w:pPr>
        <w:pStyle w:val="a3"/>
      </w:pPr>
      <w:r>
        <w:t>При выборе монитора покупателю необходимо подумать с каким разрешением он чаще всего работает, чем оно выше тем больший монитор необходим. Наиболее вероятно, что вы будете работать с одним из четырех стандартных разрешений для ПК. Разрешение VGA позволяет увидеть на экране 640 элементов изображения в ширину и 480 в высоту. При разрешении SVGA изображение образует 800* 600 точек. Большая четкость достигается при разрешениях 1024*768 (иногда его называют XGA) и 1280*1024. Некоторые мониторы старших моделей поддерживают разрешение 1600*1200 и1600*12800 и, как минимум, одно устройство (ViewSonic P815) обеспечивает разрешение 1800*1440. Однако такие сверхвысокие разрешения нужны в основном тем, кто работает с настольными издательскими системами или САПР. В графических средах, таких как Windows 95 и OS/2 Warp, более высокое разрешение дает возможность увеличить количество отображаемой на экране информации. Это существенно повысит производительность однако за высокое разрешение приходится платить: изображение на экране становится мелким.</w:t>
      </w:r>
    </w:p>
    <w:p w:rsidR="006B323C" w:rsidRDefault="006B323C"/>
    <w:p w:rsidR="006B323C" w:rsidRPr="00BF56F2" w:rsidRDefault="00BF56F2">
      <w:pPr>
        <w:pStyle w:val="a3"/>
      </w:pPr>
      <w:r>
        <w:t>Что дает разница в один дюйм.</w:t>
      </w:r>
    </w:p>
    <w:p w:rsidR="006B323C" w:rsidRDefault="00BF56F2">
      <w:pPr>
        <w:pStyle w:val="a3"/>
      </w:pPr>
      <w:r>
        <w:t>Бытует мнение, что монитор с диагональю 15» не на много лучше 14-дюймового. Однако это не так. Площадь изображения на обычном 14 дюймовом мониторе составляет примерно 464 кв. см. У монитора с диагональю 15» площадь возрастает до 580 кв. см и таким образом, одно и тоже изображение при том же самом масштабе будет содержать на 25 % больше информации. Предельное разрешение 15 дюймового монитора составляет 1024*768 точек. Это почти идеально для работы в графической среде Windows 95. Размер изображения на экране монитора 17» обычно составляет 742 кв. см это на 28 % больше, чем у 15 дюймового и на 60 % чем у 14 дюймового. Еще более удобно работать с монитором 21». Однако при всей привлекательности монитора с большим экраном, он слишком велик для большинства настольных ПК. Глубина монитора 21» почти равна размеру по диагонали, и он с трудом размещается на рабочем столе. Кроме того, такой монитор весит 30 кг. Поэтому большинство пользователей настольных ПК останавливает свой выбор на менее громоздких моделях с диагональю 15» и 17», тогда как применение мониторов большего размера оправдано при интенсивной работе с настольными издательскими системами или САПР.</w:t>
      </w:r>
    </w:p>
    <w:p w:rsidR="006B323C" w:rsidRDefault="006B323C"/>
    <w:p w:rsidR="006B323C" w:rsidRPr="00BF56F2" w:rsidRDefault="00BF56F2">
      <w:pPr>
        <w:pStyle w:val="a3"/>
      </w:pPr>
      <w:r>
        <w:t>Частота вертикальной развертки.</w:t>
      </w:r>
    </w:p>
    <w:p w:rsidR="006B323C" w:rsidRDefault="00BF56F2">
      <w:pPr>
        <w:pStyle w:val="a3"/>
      </w:pPr>
      <w:r>
        <w:t xml:space="preserve">Изображение может создаваться за один или два прохода электронного луча. При двух проходах (черезстрочной развертке) сначала вырисовываются, а затем - все нечетные. Обычно черезстрочная развертка приводит к мерцанию изображения и утомлению глаз. Такой способ прорисовки экранного изображения существует уже много лет, однако сегодня черезстрочная развертка имеет настолько плохую репутацию, что лишь немногие производители рискуют ее использовать. Поэтому при выборе монитора необходимо убедиться, что он способен осуществлять высокое разрешение не используя черезстрочную развертку (в паспорте изделия аббревиатура NI). Другой важный параметр мониторов - частота обновления экрана, называемая также частотой кадров или частотой вертикальной развертки, которая измеряется в герцах. Эта величина показывает, сколько раз в течении одной секунды перерисовывается изображение. При частоте меньше 75 Гц мерцание экрана заметно глазу. </w:t>
      </w:r>
    </w:p>
    <w:p w:rsidR="006B323C" w:rsidRDefault="006B323C"/>
    <w:p w:rsidR="006B323C" w:rsidRPr="00BF56F2" w:rsidRDefault="00BF56F2">
      <w:pPr>
        <w:pStyle w:val="a3"/>
      </w:pPr>
      <w:r>
        <w:t>Форма поверхности экрана.</w:t>
      </w:r>
    </w:p>
    <w:p w:rsidR="006B323C" w:rsidRDefault="00BF56F2">
      <w:pPr>
        <w:pStyle w:val="a3"/>
      </w:pPr>
      <w:r>
        <w:t>Она может быть сферической, цилиндрической, плоско - прямоугольной и плоской. Поверхность сферической (самой дешевой) ЭЛТ закруглена как в горизонтальном, так и в вертикальном направлениях. На таких экранах изображение имеет искаженные края. На таких трубках изготовлены большинство 14 дюймовых мониторов, и это одна из причин снижения потребительского интереса. Цилиндрические ЭЛТ, например Trinitron фирмы Sony и DiamondTron компании Mitsubishi, закруглены только в горизонтальном направлении. Такие трубки значительно меньше искажают изображение и не дают бликов от верхних источников света. Поверхность ЭЛТ с плоско - прямоугольным экраном представляет собой сферический сегмент столь большого радиуса, что экран выглядит практически плоским. Ими оснащены большинство мониторов с диагональю 15», 17», 21». Плоскую поверхность имеет, например, новая ЭЛТ Pure Flat компании Panasonic, дающая самое высококачественное изображение.</w:t>
      </w:r>
    </w:p>
    <w:p w:rsidR="006B323C" w:rsidRDefault="006B323C"/>
    <w:p w:rsidR="006B323C" w:rsidRPr="00BF56F2" w:rsidRDefault="00BF56F2">
      <w:pPr>
        <w:pStyle w:val="a3"/>
      </w:pPr>
      <w:r>
        <w:t xml:space="preserve">Шаг маски и антибликовое покрытие. </w:t>
      </w:r>
    </w:p>
    <w:p w:rsidR="006B323C" w:rsidRDefault="00BF56F2">
      <w:pPr>
        <w:pStyle w:val="a3"/>
      </w:pPr>
      <w:r>
        <w:t>Точечная и щелевая маски характеризуются различными величинами шага - расстояниями между точками люминофора одного цвета. Шаг маски определяет предельное разрешение, при котором линии еще не становятся расплывчатыми. В ЭЛТ с точечными масками шаг маски оценивается как расстояние между двумя точками одного цвета. Хорошие мониторы 15» и 17» имеют шаг не выше0,28 мм, а мониторы с большим экраном - не выше 0,31 мм. В ЭЛТ с щелевыми масками шаг определяется аналогичным образом. Для 17» не должен превышать 0,25 мм, а для мониторов 20» -21» - 0,30 мм. Подавляющее большинство современных ЭЛТ имеет антибликовое покрытие, иногда обладающее и антистатическими свойствами. Наиболее популярным методом борьбы с бликами является применение кремневого покрытия. Прежде оно толстым слоем напылялось на экран, что уменьшало качество изображения. Сегодня наиболее часто используют метод покрытия в центрифуге, что дает более тонкий и чистый слой. У большинства изготовителей антибликовые покрытия имеют свои, фирменные названия; однако внимание стоит обращать лишь на их оптические характеристики.</w:t>
      </w:r>
    </w:p>
    <w:p w:rsidR="006B323C" w:rsidRDefault="006B323C"/>
    <w:p w:rsidR="006B323C" w:rsidRPr="00BF56F2" w:rsidRDefault="00BF56F2">
      <w:pPr>
        <w:pStyle w:val="a3"/>
      </w:pPr>
      <w:r>
        <w:t>Регулировка.</w:t>
      </w:r>
    </w:p>
    <w:p w:rsidR="006B323C" w:rsidRDefault="00BF56F2">
      <w:pPr>
        <w:pStyle w:val="a3"/>
      </w:pPr>
      <w:r>
        <w:t>В большинстве мониторов предусмотрена возможность регулировки различных параметров: яркости, контраста, размера, положения изображения и пр. В недорогих моделях используются аналоговые регуляторы: ручки или колесики с накаткой. В этом случае при смене разрешений каждый раз придется перенастраивать монитор. Мониторы с цифровыми регуляторами хранят в памяти предпочтительные значения параметров для каждого разрешения. Когда изменяется разрешение экрана, такой монитор автоматически меняет настройки. Довольно часто в цифровых мониторах для наглядности при настройке параметров используются экранные меню.</w:t>
      </w:r>
    </w:p>
    <w:p w:rsidR="006B323C" w:rsidRDefault="00BF56F2">
      <w:pPr>
        <w:pStyle w:val="a3"/>
      </w:pPr>
      <w:r>
        <w:t>Соединительные кабели.</w:t>
      </w:r>
    </w:p>
    <w:p w:rsidR="006B323C" w:rsidRDefault="00BF56F2">
      <w:pPr>
        <w:pStyle w:val="a3"/>
      </w:pPr>
      <w:r>
        <w:t xml:space="preserve">Практически во всех мониторах используется стандартный 15 штырьковый разъем и кабель VGA. Новой особенностью такого кабеля является поддержка протокола Display Data Channel (DDC), который разработан ассоциацией VESА и обеспечивает обмен данными между монитором и ПК. DDC служит основой для реализации стандарта plug-and-play. ОС получает информацию от монитора и графической платы и определяет, какие разрешения и частоты обновления они используют. Благодаря этому для каждого разрешения автоматически устанавливается оптимальная частота обновления. </w:t>
      </w:r>
    </w:p>
    <w:p w:rsidR="006B323C" w:rsidRDefault="006B323C"/>
    <w:p w:rsidR="006B323C" w:rsidRPr="00BF56F2" w:rsidRDefault="00BF56F2">
      <w:pPr>
        <w:pStyle w:val="a3"/>
      </w:pPr>
      <w:r>
        <w:t>Экологичность и безопасность.</w:t>
      </w:r>
    </w:p>
    <w:p w:rsidR="006B323C" w:rsidRDefault="00BF56F2">
      <w:pPr>
        <w:pStyle w:val="a3"/>
      </w:pPr>
      <w:r>
        <w:t xml:space="preserve">Практически любой современный монитор соответствует основным стандартам по энергосбережению и электромагнитному излучению. Наиболее известные из них - Energy Star, определяющий максимальную величину потребления энергии в режимах энергосбережения, и Display Power Management Signalling, который отвечает за снижение энергопотребления монитором в ответ на сигнал от совместимой с DPMS графической платы. Еще никто не доказал, что низкочастотные излучения представляют опасность для здоровья человека. Однако в большинстве мониторов предусмотрено специальное экранирование. Стандарт MPR-1, накладывающий ограничения на электромагнитные излучение, в настоящее время заменен более строгим MPR-2. Если вы действительно обеспокоены величиной излучения, следует выбрать монитор по стандарту ТСО. ТСО92 дополнительно предусматривает наличие энергосбережения, а ТСО 95 требует, чтобы как монитор, так и его упаковка были выполнены из экологически безопасных материалов. </w:t>
      </w:r>
    </w:p>
    <w:p w:rsidR="006B323C" w:rsidRDefault="006B323C"/>
    <w:p w:rsidR="006B323C" w:rsidRPr="00BF56F2" w:rsidRDefault="00BF56F2">
      <w:pPr>
        <w:pStyle w:val="a3"/>
      </w:pPr>
      <w:r>
        <w:t>Выше мы рассмотрели основные параметры мониторов выявив их можно перейти к определению основных тенденций которые господствовали и будут господствовать на данном рынке в ближайшем году. Дабы это стало возможно необходимо провести анализ развития рынка на протяжении нескольких лет. В данной работе будет рассмотрен трех летний период с 1995 по 1997 год и спрогнозированы перспективы на 1998 год.</w:t>
      </w:r>
    </w:p>
    <w:p w:rsidR="006B323C" w:rsidRDefault="006B323C"/>
    <w:p w:rsidR="006B323C" w:rsidRPr="00BF56F2" w:rsidRDefault="00BF56F2">
      <w:pPr>
        <w:pStyle w:val="a3"/>
      </w:pPr>
      <w:r>
        <w:t>1995.</w:t>
      </w:r>
    </w:p>
    <w:p w:rsidR="006B323C" w:rsidRDefault="006B323C"/>
    <w:p w:rsidR="006B323C" w:rsidRPr="00BF56F2" w:rsidRDefault="00BF56F2">
      <w:pPr>
        <w:pStyle w:val="a3"/>
      </w:pPr>
      <w:r>
        <w:t>Одним из итогов года стало то, что давно предсказанный закат продаж мониторов 14» так и не произошел. Этот феномен озадачил многих аналитиков предсказывавших быстрый переход на мониторы побольше и получше. Перспектива развития состоит в том, что в 1996-м году произойдет значительное увеличение спроса на мониторы с большим экраном. Господство графических сред таких как Windows 95 вынуждает пользователя улучшать используемые мониторы. Для решения простейших задач таких как работа с текстовыми редакторами вполне приемлема для пользователей. Но если кому-то захочется расширить рабочую площадь открыть побольше приложений, поработать с электронными таблицами и мультимедиа, ограничения монитора становятся очевидными. И хотя большинство мониторов 14» поддерживают более высокое разрешение, для подобных задач это недостаточно.</w:t>
      </w:r>
    </w:p>
    <w:p w:rsidR="006B323C" w:rsidRDefault="00BF56F2">
      <w:pPr>
        <w:pStyle w:val="a3"/>
      </w:pPr>
      <w:r>
        <w:t>До сих пор переход на мониторы с большим экраном сдерживается их высокой ценой. Итак одним из ограничений продаж мониторов с диагональю является цена, его преодоление должно обеспечить резкий рост объемов продаж. Став ограничением на одном сегменте на другом превратилось в условие роста продаж. У многих производителей стали бестселлерами 14- дюймовые модели. Согласно исследованию Dataquest, на первое место среди производителей мониторов выдвинулась фирма Compaq, продажи ее продуктов составили 15% рынка, принадлежащего десятке крупнейших производителей. Однако около половины продаваемых в Великобритании продуктов Compaq - это по-прежнему 14-дюймовые мониторы.</w:t>
      </w:r>
    </w:p>
    <w:p w:rsidR="006B323C" w:rsidRDefault="006B323C"/>
    <w:p w:rsidR="006B323C" w:rsidRPr="00BF56F2" w:rsidRDefault="00BF56F2">
      <w:pPr>
        <w:pStyle w:val="a3"/>
      </w:pPr>
      <w:r>
        <w:t>14-дюймовый тихо не уйдет.</w:t>
      </w:r>
    </w:p>
    <w:p w:rsidR="006B323C" w:rsidRDefault="00BF56F2">
      <w:pPr>
        <w:pStyle w:val="a3"/>
      </w:pPr>
      <w:r>
        <w:t xml:space="preserve">Как бы подчеркивая, что 14» мониторы по прежнему важны фирма Compaq запустила в производство новую модель, предсказывая ей судьбу бестселлера для корпоративных клиентов. Монитор Compaq140 помещен в списке продукции рядом с недавно выпушенным 15-дюймовым монитором Compaq150. Размер точки у него равен 0,28 мм, монитор оптимизирован для работы в режиме с построчной разверткой при разрешении 800*600. Менеджер по продажам компании ADI Systems Тони Хоуп абсолютно уверен, что 14-дюймовые мониторы не теряют своей актуальности. «Но только из-за своей цены, - уточняет он Сейчас продаются три вида мониторов: простейший SVGA с диагональю 14», 14-дюймовые с построчной разверткой и, наконец, 15-дюймовый. Ценовая разница между моделями 14 и 15 дюймов очень велика, и клиенту сложно оправдать необходимость такой покупки». </w:t>
      </w:r>
    </w:p>
    <w:p w:rsidR="006B323C" w:rsidRDefault="006B323C"/>
    <w:p w:rsidR="006B323C" w:rsidRPr="00BF56F2" w:rsidRDefault="00BF56F2">
      <w:pPr>
        <w:pStyle w:val="a3"/>
      </w:pPr>
      <w:r>
        <w:t>Определение стандартов.</w:t>
      </w:r>
    </w:p>
    <w:p w:rsidR="006B323C" w:rsidRDefault="00BF56F2">
      <w:pPr>
        <w:pStyle w:val="a3"/>
      </w:pPr>
      <w:r>
        <w:t>В пункте описания основных технических характеристик мы уже касались данной темы теперь рассмотрим вновь введенный в 1995 году стандарт ТСО 95, который будет влиять на продажи в следующие годы.</w:t>
      </w:r>
    </w:p>
    <w:p w:rsidR="006B323C" w:rsidRDefault="00BF56F2">
      <w:pPr>
        <w:pStyle w:val="a3"/>
      </w:pPr>
      <w:r>
        <w:t xml:space="preserve">На выставке «CeBIT’95» шведская конфедерация профессиональных служащих (ТСО) объявила, что ее программа сертификации по излучению и эффективности использования энергии ТСО92 будет дополнена стандартом ТСО95, впервые в мире предъявляющим глобальные требования с точки зрения эргономики и охраны окружающей среды к компьютеру в целом, а не только к монитору. Сейчас более 30 производителей выпускают мониторы, соответствующие стандарту ТСО92. Экологические требования в программе ТСО95 довольно строги. Использование химических соединений CFC, HCFC, кадмия и ртути в процессе производства запрещены; кроме того, в пластиковом корпусе монитора и системного блока не должны использоваться бромидные огнеупоры, а все компоненты должны быть пригодны для переработки. Учитывается также размер экрана, наличие бликов, цвет, коэффициент отражения от стекла и ряд других показателей. Применение ТСО95 вовсе не будет обязательным. Тем не менее, программа сертификации оказала значительное влияние на рынок (в частности, в Германии и Скандинавии), и от новой программы ожидают того же. «Стандарт ТСО похож на MRP2»,- пояснил директор по маркетингу Европейского отделения фирмы Wyse Technology Джон Каммине. - Законной силы в Европе этот стандарт иметь не будет. Но чтобы успешно конкурировать на рынке, производителям все таки придется его придерживаться». </w:t>
      </w:r>
    </w:p>
    <w:p w:rsidR="006B323C" w:rsidRDefault="006B323C"/>
    <w:p w:rsidR="006B323C" w:rsidRPr="00BF56F2" w:rsidRDefault="00BF56F2">
      <w:pPr>
        <w:pStyle w:val="a3"/>
      </w:pPr>
      <w:r>
        <w:t>И все же он уйдет.</w:t>
      </w:r>
    </w:p>
    <w:p w:rsidR="006B323C" w:rsidRDefault="00BF56F2">
      <w:pPr>
        <w:pStyle w:val="a3"/>
      </w:pPr>
      <w:r>
        <w:t xml:space="preserve">У производителей мониторов есть разногласия по поводу того, сможет ли 14» монитор соответствовать требованиям ТСО сохраняя при этом конкурентно способную цену. Большинство изготовителей согласно, что 14-дюймовые мониторы с построчной разверткой будет нецелесообразно сертифицировать по ТСО95 и, тем более, нежизнеспособные модели, работающие с высоким разрешением с черезстрочной разверткой. С этим соглашается директор по продажам и маркетингу фирмы Taxan Хадж Чепелл: «Монитор 14» вот-вот умрет. Посмотрите, кто делает 14-дюймовые ЭЛТ - Тайвань, Малайзия и Корея». Японцы перестали выпускать 14» мониторы, зато подавляющее большинство мониторов с экраном 15 дюймов теперь делают именно в Японии. Фирма СРТ, и имеющая заводы в Тайване и в Малайзии является крупнейшим в мире производителем 14-дюймовых ЭЛТ, скоро выпустит 15» модель. Philips уже производит 15» ЭЛТ; начать их производство собираются Samsung и Goldstar. Скоро производство 15» ЭЛТ сместится из Японии в Малайзию и на Тайвань, что сделает их значительно дешевле. </w:t>
      </w:r>
    </w:p>
    <w:p w:rsidR="006B323C" w:rsidRDefault="006B323C"/>
    <w:p w:rsidR="006B323C" w:rsidRPr="00BF56F2" w:rsidRDefault="00BF56F2">
      <w:pPr>
        <w:pStyle w:val="a3"/>
      </w:pPr>
      <w:r>
        <w:t>Новое поколение.</w:t>
      </w:r>
    </w:p>
    <w:p w:rsidR="006B323C" w:rsidRDefault="00BF56F2">
      <w:pPr>
        <w:pStyle w:val="a3"/>
      </w:pPr>
      <w:r>
        <w:t xml:space="preserve">Производители уже готовятся к захвату новых позиций. Например, компания ADI Systems выпустила дешевый 15» монитор MicroScan 4GP сертифицированный по стандарту ТСО92. Производитель мониторов из Норвегии- фирма Tandberg Data пошла несколько дальше и выпустила мониторы 15» и 17» серии ErgoClass, соответствующие ТСО95. Они стали первыми изделиями этого класса, сертифицированными по новому стандарту. Новые 17» мониторы тоже идут неплохо. Их рынок столь же широк, как и рынок ПК. Когда покупателю требуется более высокое разрешение, то он сначала обращает внимание на 15», а затем думает «не раскошелится ли на17»?». Неплохо идут продажи 17-дюймовых мониторов вместе с домашними ПК. Известный производитель мониторов фирма ViewSonic также сообщает о хорошем спросе на свои продукты с диагональю 17 и 21 дюйм. Недавно компания выпустила 17» ViewSonic 17GS, удовлетворяющего основным стандартам. </w:t>
      </w:r>
    </w:p>
    <w:p w:rsidR="006B323C" w:rsidRDefault="006B323C"/>
    <w:p w:rsidR="006B323C" w:rsidRPr="00BF56F2" w:rsidRDefault="00BF56F2">
      <w:pPr>
        <w:pStyle w:val="a3"/>
      </w:pPr>
      <w:r>
        <w:t>Появление новых моделей на определенном сегменте рынка свидетельствует о наличии перспектив роста или о спросе на нем. В 1995 году лишь немногие производители выпускают новые 14» мониторы, что свидетельствует о переходе данного товара на стадию насыщения спроса. Первенство мониторов младших моделей над старшими достигалось их низкой ценой. Так как основным производителем мониторов 15» в 1995 г. была Япония цены на них были высоки в силу ряда экономических факторов в первую очередь из-за дороговизны рабочей силы. Смещение подобных производств на Тайвань и в Малайзию позволит снизить на них цену. Кроме того появление новых стандартов в отношении производства и эксплуатации мониторов повысит конкурентоспособность старших моделей по сравнению с 14-дюймовыми которые невыгодно сертифицировать по новым стандартам.</w:t>
      </w:r>
    </w:p>
    <w:p w:rsidR="006B323C" w:rsidRDefault="006B323C"/>
    <w:p w:rsidR="006B323C" w:rsidRPr="00BF56F2" w:rsidRDefault="00BF56F2">
      <w:pPr>
        <w:pStyle w:val="a3"/>
      </w:pPr>
      <w:r>
        <w:t>1996.</w:t>
      </w:r>
    </w:p>
    <w:p w:rsidR="006B323C" w:rsidRDefault="00BF56F2">
      <w:pPr>
        <w:pStyle w:val="a3"/>
      </w:pPr>
      <w:r>
        <w:t>Как указывалось выше, поставщиков трубок для мониторов - немного. Наиболее известные - Philips, Toshiba, Matushita, Hitachi, Sony, GoldStar (LG), Samsung, NEC и др. А вот торговые марки мониторов весьма разнообразны, поскольку, например, в мониторах ViewSonic используются трубки Mansushita и Hitachi, а в мониторах MAG - трубки Hitachi и Sony. Как правило, информацию об изготовителе ЭЛТ можно узнать лишь сняв крышку дисплея. Если мониторы продаются под торговой маркой производителя системного блока компьютера, то в документации не указаны ни производители компонентов, ни производители самих мониторов. Мониторы производителей компьютеров - одни из самых дорогих: стоимость мониторов ARL, к примеру, почти в два раза выше цены монитора с таким же размером экрана. Самостоятельно производит мониторы и корпорация Acer (да и что другое можно ожидать от «создателя»). Однако отследить упомянутые ОЕМ соглашения по всем известным маркам сложно. С определенной степенью достоверности можно считать, что на рынке Москвы представлены главным образом 18 ТМ: Acer, ADI, Bridg, CTX, Daewoo, Funai, Hitachi, LG, JVC, MAG, NEC, PackardBell, Panasonic, Philips, Samsung, Sjny, Tatung, VeiwSonic. Существуют также и отечественные мониторы «Рекорд» Александровского завода. Однако, соперничая с вышеперечисленными мониторами по техническим параметрам, на конъюнктуру рынка они не влияют. Рынок достаточно перспективен, но московских фирм сделавших себе имя исключительно на продаже мониторов (как фирма MAREX) -практически нет.</w:t>
      </w:r>
    </w:p>
    <w:p w:rsidR="006B323C" w:rsidRDefault="00BF56F2">
      <w:pPr>
        <w:pStyle w:val="a3"/>
      </w:pPr>
      <w:r>
        <w:t xml:space="preserve">Рассмотрим две группы мониторов, наиболее интересных как для коммерсантов, так и для покупателей - это модели с размером экрана 15» и 17». </w:t>
      </w:r>
    </w:p>
    <w:p w:rsidR="006B323C" w:rsidRDefault="00BF56F2">
      <w:pPr>
        <w:pStyle w:val="a3"/>
      </w:pPr>
      <w:r>
        <w:t xml:space="preserve">Почему мы не стали включать в рассмотрение модели мониторов с шириной экрана 20» и 21», понятно. Это товар профессиональный, штучный. А распространенные 14 дюймовые обделены вниманием потому, что основной режим в современных программах под Windows характеризуется разрешением 800*600 и наиболее ходовыми становятся 15». Так данный на рубеже 1992, 1993 годов прогноз Dataquest, о том, что в 1996 будут проданы 7.5 млн. 15» и только 3.3 млн. 14» в основном сбылся. Большинство ведущих производителей уже сняли 14» с производства. Отметим, что на московском рынке мониторов 14» наибольшее число предложений в диапазоне цен $230-250 имеют LG и Tatung, $260-280 Samsung и Daewoo, $285-295 CityStar. </w:t>
      </w:r>
    </w:p>
    <w:p w:rsidR="006B323C" w:rsidRDefault="00BF56F2">
      <w:pPr>
        <w:pStyle w:val="a3"/>
      </w:pPr>
      <w:r>
        <w:t>Мониторы с диагональю 15».</w:t>
      </w:r>
    </w:p>
    <w:p w:rsidR="006B323C" w:rsidRDefault="00BF56F2">
      <w:pPr>
        <w:pStyle w:val="a3"/>
      </w:pPr>
      <w:r>
        <w:t xml:space="preserve">Аппараты данного класса стоят до $500. И хотя обвального понижения цен в целом на этом сегменте не происходит, данный тип мониторов также дешевеет. К примеру, весной 1996 года в компании «Формоза» впервые появились мониторы 15» по цене менее $300. По числу предложений здесь выделяются: в диапазоне цен $320-360-монитор Daewoo 1502, $290-335 мониторы Bridg. Весьма котируется в столице цифровой монитор производства фирмы ADI. Это и следствие «раскрученности» марки, и дань уважения его качеству. Размер точки 0.28 разрешение 1280*1024 в режиме ,монитор отвечает стандарту , имеет встроенный жидкокристаллический индикатор и режим энергосбережения. Хороший сбыт в Москве у мониторов NEC, MAG, Samsung SyncMaster, тогда как из тройки особо почитаемых за пределами нашей родины производителей- Panasonic, Philips, Sony- в нашей столице раскручена только последняя марка. Ни в каких рекламных буклетах не указана «география» данных моделей: Sony15SX производится в Таиланде ($530), Sony 15SF1 в Мексике ($495-565), Sony 15SF2 в Японии ($530-600). Продажи мониторов в Москве можно оценить в 800 штук в месяц, главным образом благодаря усилиям MAREX, DVM Group, «Эксимер» (только 15»), «Партия» (только 17»), «Элис». </w:t>
      </w:r>
    </w:p>
    <w:p w:rsidR="006B323C" w:rsidRDefault="00BF56F2">
      <w:pPr>
        <w:pStyle w:val="a3"/>
      </w:pPr>
      <w:r>
        <w:t>Если оценивать возможность широкомасштабного выхода на российский рынок какой либо известной торговой марки, которая еще не завоевала у нас достаточно признания, то в качестве удачного примера можно выделить марку мониторов panasonic. У этой фирмы линейка мониторов начинается как раз с 15» моделей. К примеру, PanaSync/Pro 4G TX-T1562 имеет практически весь возможный набор качеств монитора: LR, Ergonomcs, MPR2, NI, регулировку энергопотребления, а также полное цифровое управление с передней панели экранного дисплея. Еще два важных параметра разрешение 1280*1024 размер зерна 0.25. Соотношение цена качество вполне приемлемо для российского покупателя. Однако допустим для компании CompuLinc продажи мониторов составляли около 100 шт. в месяц значительно меньше, чем NEX или MAG.</w:t>
      </w:r>
    </w:p>
    <w:p w:rsidR="006B323C" w:rsidRDefault="006B323C"/>
    <w:p w:rsidR="006B323C" w:rsidRPr="00BF56F2" w:rsidRDefault="00BF56F2">
      <w:pPr>
        <w:pStyle w:val="a3"/>
      </w:pPr>
      <w:r>
        <w:t>Мониторы с диагональю 17».</w:t>
      </w:r>
    </w:p>
    <w:p w:rsidR="006B323C" w:rsidRDefault="00BF56F2">
      <w:pPr>
        <w:pStyle w:val="a3"/>
      </w:pPr>
      <w:r>
        <w:t xml:space="preserve">Их относят уже к профессиональным, в них реализуются технические новинки, которые в 15 -дюймовых могут отсутствовать. Не вдаваясь в многочисленные технические подробности опишем несколько примечательных образцов. </w:t>
      </w:r>
    </w:p>
    <w:p w:rsidR="006B323C" w:rsidRDefault="00BF56F2">
      <w:pPr>
        <w:pStyle w:val="a3"/>
      </w:pPr>
      <w:r>
        <w:t xml:space="preserve">Все 17» мониторы делают в Японии. Популярный в России Sony Maltiscan 17SF ($990-1100) привлекает большим размером экрана (эффективный размер по диагонали 16.1»)и отсутствием дорогостоящих излишеств. Приходящий ему на смену 17SF2 дороже приблизительно на $50. Последний писк моды профессиональный монитор Sony 17SE ($1250-1450) достоин более подробного описания для обозначения некой планки качества продукции для профессионалов. Этот монитор с подавлением фликер-шумов. Содержит процессор и ПЗУ с «зашитыми» программами, которые обеспечивают цифровое управление и контроль основных параметров изображения. Имеет размер зерна 0.25 и три фиксированных установки цветовой температуры. </w:t>
      </w:r>
    </w:p>
    <w:p w:rsidR="006B323C" w:rsidRDefault="00BF56F2">
      <w:pPr>
        <w:pStyle w:val="a3"/>
      </w:pPr>
      <w:r>
        <w:t xml:space="preserve">Мониторы 17’’ Philips имеют единую маркировку, зависящую в первую очередь от типа трубки и размера зерна. Все они являются цифровыми. Но их цены не являются конкурентно способными по сравнению, на пример, с ценами на мониторы 17’ Samsung SyncMaster 17Gli, 17GLSi. Последние имеют размер зерна 0.26 и стоимость $850-900. Однако по оценкам фирмы «Татрис» из 160 проданных мониторов 150 - это 15» и лишь 10 17 дюймовые. </w:t>
      </w:r>
    </w:p>
    <w:p w:rsidR="006B323C" w:rsidRDefault="006B323C"/>
    <w:tbl>
      <w:tblPr>
        <w:tblpPr w:leftFromText="45" w:rightFromText="45" w:vertAnchor="text"/>
        <w:tblW w:w="0" w:type="auto"/>
        <w:tblCellSpacing w:w="0" w:type="dxa"/>
        <w:tblCellMar>
          <w:top w:w="15" w:type="dxa"/>
          <w:left w:w="15" w:type="dxa"/>
          <w:bottom w:w="15" w:type="dxa"/>
          <w:right w:w="15" w:type="dxa"/>
        </w:tblCellMar>
        <w:tblLook w:val="04A0" w:firstRow="1" w:lastRow="0" w:firstColumn="1" w:lastColumn="0" w:noHBand="0" w:noVBand="1"/>
      </w:tblPr>
      <w:tblGrid>
        <w:gridCol w:w="320"/>
        <w:gridCol w:w="320"/>
        <w:gridCol w:w="320"/>
        <w:gridCol w:w="96"/>
        <w:gridCol w:w="96"/>
        <w:gridCol w:w="96"/>
        <w:gridCol w:w="96"/>
        <w:gridCol w:w="96"/>
        <w:gridCol w:w="80"/>
        <w:gridCol w:w="80"/>
        <w:gridCol w:w="80"/>
        <w:gridCol w:w="80"/>
        <w:gridCol w:w="80"/>
        <w:gridCol w:w="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tblGrid>
      <w:tr w:rsidR="006B323C">
        <w:trPr>
          <w:tblCellSpacing w:w="0" w:type="dxa"/>
        </w:trPr>
        <w:tc>
          <w:tcPr>
            <w:tcW w:w="0" w:type="auto"/>
            <w:vAlign w:val="center"/>
            <w:hideMark/>
          </w:tcPr>
          <w:p w:rsidR="006B323C" w:rsidRDefault="006B323C"/>
        </w:tc>
        <w:tc>
          <w:tcPr>
            <w:tcW w:w="0" w:type="auto"/>
            <w:vAlign w:val="center"/>
            <w:hideMark/>
          </w:tcPr>
          <w:p w:rsidR="006B323C" w:rsidRDefault="00BF56F2">
            <w:r>
              <w:rPr>
                <w:b/>
                <w:bCs/>
                <w:u w:val="single"/>
              </w:rPr>
              <w:t>Первичные данные исследования.</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pPr>
              <w:jc w:val="center"/>
            </w:pPr>
            <w:r>
              <w:rPr>
                <w:i/>
                <w:iCs/>
              </w:rPr>
              <w:t>Название фирмы.</w:t>
            </w:r>
          </w:p>
        </w:tc>
        <w:tc>
          <w:tcPr>
            <w:tcW w:w="0" w:type="auto"/>
            <w:vAlign w:val="center"/>
            <w:hideMark/>
          </w:tcPr>
          <w:p w:rsidR="006B323C" w:rsidRDefault="006B323C"/>
        </w:tc>
        <w:tc>
          <w:tcPr>
            <w:tcW w:w="0" w:type="auto"/>
            <w:vAlign w:val="center"/>
            <w:hideMark/>
          </w:tcPr>
          <w:p w:rsidR="006B323C" w:rsidRDefault="00BF56F2">
            <w:pPr>
              <w:jc w:val="center"/>
            </w:pPr>
            <w:r>
              <w:t>Ascent</w:t>
            </w:r>
          </w:p>
        </w:tc>
        <w:tc>
          <w:tcPr>
            <w:tcW w:w="0" w:type="auto"/>
            <w:vAlign w:val="center"/>
            <w:hideMark/>
          </w:tcPr>
          <w:p w:rsidR="006B323C" w:rsidRDefault="00BF56F2">
            <w:pPr>
              <w:jc w:val="center"/>
            </w:pPr>
            <w:r>
              <w:t>Бриз</w:t>
            </w:r>
          </w:p>
        </w:tc>
        <w:tc>
          <w:tcPr>
            <w:tcW w:w="0" w:type="auto"/>
            <w:vAlign w:val="center"/>
            <w:hideMark/>
          </w:tcPr>
          <w:p w:rsidR="006B323C" w:rsidRDefault="00BF56F2">
            <w:pPr>
              <w:jc w:val="center"/>
            </w:pPr>
            <w:r>
              <w:t>Омега</w:t>
            </w:r>
          </w:p>
        </w:tc>
        <w:tc>
          <w:tcPr>
            <w:tcW w:w="0" w:type="auto"/>
            <w:vAlign w:val="center"/>
            <w:hideMark/>
          </w:tcPr>
          <w:p w:rsidR="006B323C" w:rsidRDefault="00BF56F2">
            <w:pPr>
              <w:jc w:val="center"/>
            </w:pPr>
            <w:r>
              <w:t>Nika Cmputers</w:t>
            </w:r>
          </w:p>
        </w:tc>
        <w:tc>
          <w:tcPr>
            <w:tcW w:w="0" w:type="auto"/>
            <w:vAlign w:val="center"/>
            <w:hideMark/>
          </w:tcPr>
          <w:p w:rsidR="006B323C" w:rsidRDefault="00BF56F2">
            <w:pPr>
              <w:jc w:val="center"/>
            </w:pPr>
            <w:r>
              <w:t>Городок</w:t>
            </w:r>
          </w:p>
        </w:tc>
        <w:tc>
          <w:tcPr>
            <w:tcW w:w="0" w:type="auto"/>
            <w:vAlign w:val="center"/>
            <w:hideMark/>
          </w:tcPr>
          <w:p w:rsidR="006B323C" w:rsidRDefault="00BF56F2">
            <w:pPr>
              <w:jc w:val="center"/>
            </w:pPr>
            <w:r>
              <w:t>Средняя фирма</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pPr>
              <w:jc w:val="center"/>
            </w:pPr>
            <w:r>
              <w:rPr>
                <w:i/>
                <w:iCs/>
              </w:rPr>
              <w:t>Срок работы на рынке</w:t>
            </w:r>
          </w:p>
        </w:tc>
        <w:tc>
          <w:tcPr>
            <w:tcW w:w="0" w:type="auto"/>
            <w:vAlign w:val="center"/>
            <w:hideMark/>
          </w:tcPr>
          <w:p w:rsidR="006B323C" w:rsidRDefault="006B323C"/>
        </w:tc>
        <w:tc>
          <w:tcPr>
            <w:tcW w:w="0" w:type="auto"/>
            <w:vAlign w:val="center"/>
            <w:hideMark/>
          </w:tcPr>
          <w:p w:rsidR="006B323C" w:rsidRDefault="00BF56F2">
            <w:pPr>
              <w:jc w:val="center"/>
            </w:pPr>
            <w:r>
              <w:t>2 года</w:t>
            </w:r>
          </w:p>
        </w:tc>
        <w:tc>
          <w:tcPr>
            <w:tcW w:w="0" w:type="auto"/>
            <w:vAlign w:val="center"/>
            <w:hideMark/>
          </w:tcPr>
          <w:p w:rsidR="006B323C" w:rsidRDefault="00BF56F2">
            <w:pPr>
              <w:jc w:val="center"/>
            </w:pPr>
            <w:r>
              <w:t>2 года</w:t>
            </w:r>
          </w:p>
        </w:tc>
        <w:tc>
          <w:tcPr>
            <w:tcW w:w="0" w:type="auto"/>
            <w:vAlign w:val="center"/>
            <w:hideMark/>
          </w:tcPr>
          <w:p w:rsidR="006B323C" w:rsidRDefault="00BF56F2">
            <w:pPr>
              <w:jc w:val="center"/>
            </w:pPr>
            <w:r>
              <w:t>3 месяца</w:t>
            </w:r>
          </w:p>
        </w:tc>
        <w:tc>
          <w:tcPr>
            <w:tcW w:w="0" w:type="auto"/>
            <w:vAlign w:val="center"/>
            <w:hideMark/>
          </w:tcPr>
          <w:p w:rsidR="006B323C" w:rsidRDefault="00BF56F2">
            <w:pPr>
              <w:jc w:val="center"/>
            </w:pPr>
            <w:r>
              <w:t>2 года</w:t>
            </w:r>
          </w:p>
        </w:tc>
        <w:tc>
          <w:tcPr>
            <w:tcW w:w="0" w:type="auto"/>
            <w:vAlign w:val="center"/>
            <w:hideMark/>
          </w:tcPr>
          <w:p w:rsidR="006B323C" w:rsidRDefault="00BF56F2">
            <w:pPr>
              <w:jc w:val="center"/>
            </w:pPr>
            <w:r>
              <w:t>1 год</w:t>
            </w:r>
          </w:p>
        </w:tc>
        <w:tc>
          <w:tcPr>
            <w:tcW w:w="0" w:type="auto"/>
            <w:vAlign w:val="center"/>
            <w:hideMark/>
          </w:tcPr>
          <w:p w:rsidR="006B323C" w:rsidRDefault="00BF56F2">
            <w:pPr>
              <w:jc w:val="center"/>
            </w:pPr>
            <w:r>
              <w:t>1.5 года</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pPr>
              <w:jc w:val="center"/>
            </w:pPr>
            <w:r>
              <w:rPr>
                <w:i/>
                <w:iCs/>
              </w:rPr>
              <w:t xml:space="preserve">Средний срок гарантии </w:t>
            </w:r>
          </w:p>
        </w:tc>
        <w:tc>
          <w:tcPr>
            <w:tcW w:w="0" w:type="auto"/>
            <w:vAlign w:val="center"/>
            <w:hideMark/>
          </w:tcPr>
          <w:p w:rsidR="006B323C" w:rsidRDefault="006B323C"/>
        </w:tc>
        <w:tc>
          <w:tcPr>
            <w:tcW w:w="0" w:type="auto"/>
            <w:vAlign w:val="center"/>
            <w:hideMark/>
          </w:tcPr>
          <w:p w:rsidR="006B323C" w:rsidRDefault="00BF56F2">
            <w:pPr>
              <w:jc w:val="center"/>
            </w:pPr>
            <w:r>
              <w:t>1 год</w:t>
            </w:r>
          </w:p>
        </w:tc>
        <w:tc>
          <w:tcPr>
            <w:tcW w:w="0" w:type="auto"/>
            <w:vAlign w:val="center"/>
            <w:hideMark/>
          </w:tcPr>
          <w:p w:rsidR="006B323C" w:rsidRDefault="00BF56F2">
            <w:pPr>
              <w:jc w:val="center"/>
            </w:pPr>
            <w:r>
              <w:t>год и более</w:t>
            </w:r>
          </w:p>
        </w:tc>
        <w:tc>
          <w:tcPr>
            <w:tcW w:w="0" w:type="auto"/>
            <w:vAlign w:val="center"/>
            <w:hideMark/>
          </w:tcPr>
          <w:p w:rsidR="006B323C" w:rsidRDefault="00BF56F2">
            <w:pPr>
              <w:jc w:val="center"/>
            </w:pPr>
            <w:r>
              <w:t>1год</w:t>
            </w:r>
          </w:p>
        </w:tc>
        <w:tc>
          <w:tcPr>
            <w:tcW w:w="0" w:type="auto"/>
            <w:vAlign w:val="center"/>
            <w:hideMark/>
          </w:tcPr>
          <w:p w:rsidR="006B323C" w:rsidRDefault="00BF56F2">
            <w:pPr>
              <w:jc w:val="center"/>
            </w:pPr>
            <w:r>
              <w:t>1 год</w:t>
            </w:r>
          </w:p>
        </w:tc>
        <w:tc>
          <w:tcPr>
            <w:tcW w:w="0" w:type="auto"/>
            <w:vAlign w:val="center"/>
            <w:hideMark/>
          </w:tcPr>
          <w:p w:rsidR="006B323C" w:rsidRDefault="00BF56F2">
            <w:pPr>
              <w:jc w:val="center"/>
            </w:pPr>
            <w:r>
              <w:t>1 год</w:t>
            </w:r>
          </w:p>
        </w:tc>
        <w:tc>
          <w:tcPr>
            <w:tcW w:w="0" w:type="auto"/>
            <w:vAlign w:val="center"/>
            <w:hideMark/>
          </w:tcPr>
          <w:p w:rsidR="006B323C" w:rsidRDefault="00BF56F2">
            <w:pPr>
              <w:jc w:val="center"/>
            </w:pPr>
            <w:r>
              <w:t>1 год</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r>
              <w:rPr>
                <w:i/>
                <w:iCs/>
              </w:rPr>
              <w:t>Какие модели наиболее перспективны</w:t>
            </w:r>
          </w:p>
        </w:tc>
        <w:tc>
          <w:tcPr>
            <w:tcW w:w="0" w:type="auto"/>
            <w:vAlign w:val="center"/>
            <w:hideMark/>
          </w:tcPr>
          <w:p w:rsidR="006B323C" w:rsidRDefault="006B323C"/>
        </w:tc>
        <w:tc>
          <w:tcPr>
            <w:tcW w:w="0" w:type="auto"/>
            <w:vAlign w:val="center"/>
            <w:hideMark/>
          </w:tcPr>
          <w:p w:rsidR="006B323C" w:rsidRDefault="00BF56F2">
            <w:pPr>
              <w:jc w:val="center"/>
            </w:pPr>
            <w:r>
              <w:t>17''</w:t>
            </w:r>
          </w:p>
        </w:tc>
        <w:tc>
          <w:tcPr>
            <w:tcW w:w="0" w:type="auto"/>
            <w:vAlign w:val="center"/>
            <w:hideMark/>
          </w:tcPr>
          <w:p w:rsidR="006B323C" w:rsidRDefault="00BF56F2">
            <w:pPr>
              <w:jc w:val="center"/>
            </w:pPr>
            <w:r>
              <w:t>15"</w:t>
            </w:r>
          </w:p>
        </w:tc>
        <w:tc>
          <w:tcPr>
            <w:tcW w:w="0" w:type="auto"/>
            <w:vAlign w:val="center"/>
            <w:hideMark/>
          </w:tcPr>
          <w:p w:rsidR="006B323C" w:rsidRDefault="00BF56F2">
            <w:pPr>
              <w:jc w:val="center"/>
            </w:pPr>
            <w:r>
              <w:t>15"</w:t>
            </w:r>
          </w:p>
        </w:tc>
        <w:tc>
          <w:tcPr>
            <w:tcW w:w="0" w:type="auto"/>
            <w:vAlign w:val="center"/>
            <w:hideMark/>
          </w:tcPr>
          <w:p w:rsidR="006B323C" w:rsidRDefault="00BF56F2">
            <w:pPr>
              <w:jc w:val="center"/>
            </w:pPr>
            <w:r>
              <w:t>15"</w:t>
            </w:r>
          </w:p>
        </w:tc>
        <w:tc>
          <w:tcPr>
            <w:tcW w:w="0" w:type="auto"/>
            <w:vAlign w:val="center"/>
            <w:hideMark/>
          </w:tcPr>
          <w:p w:rsidR="006B323C" w:rsidRDefault="00BF56F2">
            <w:pPr>
              <w:jc w:val="center"/>
            </w:pPr>
            <w:r>
              <w:t>15"</w:t>
            </w:r>
          </w:p>
        </w:tc>
        <w:tc>
          <w:tcPr>
            <w:tcW w:w="0" w:type="auto"/>
            <w:vAlign w:val="center"/>
            <w:hideMark/>
          </w:tcPr>
          <w:p w:rsidR="006B323C" w:rsidRDefault="00BF56F2">
            <w:pPr>
              <w:jc w:val="center"/>
            </w:pPr>
            <w:r>
              <w:t>15"</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r>
              <w:rPr>
                <w:i/>
                <w:iCs/>
              </w:rPr>
              <w:t xml:space="preserve">Наиболее продаваемые модели </w:t>
            </w:r>
          </w:p>
        </w:tc>
        <w:tc>
          <w:tcPr>
            <w:tcW w:w="0" w:type="auto"/>
            <w:vAlign w:val="center"/>
            <w:hideMark/>
          </w:tcPr>
          <w:p w:rsidR="006B323C" w:rsidRDefault="006B323C"/>
        </w:tc>
        <w:tc>
          <w:tcPr>
            <w:tcW w:w="0" w:type="auto"/>
            <w:vAlign w:val="center"/>
            <w:hideMark/>
          </w:tcPr>
          <w:p w:rsidR="006B323C" w:rsidRDefault="00BF56F2">
            <w:pPr>
              <w:jc w:val="center"/>
            </w:pPr>
            <w:r>
              <w:t>Philips</w:t>
            </w:r>
          </w:p>
        </w:tc>
        <w:tc>
          <w:tcPr>
            <w:tcW w:w="0" w:type="auto"/>
            <w:vAlign w:val="center"/>
            <w:hideMark/>
          </w:tcPr>
          <w:p w:rsidR="006B323C" w:rsidRDefault="00BF56F2">
            <w:pPr>
              <w:jc w:val="center"/>
            </w:pPr>
            <w:r>
              <w:t>ViewSonic</w:t>
            </w:r>
          </w:p>
        </w:tc>
        <w:tc>
          <w:tcPr>
            <w:tcW w:w="0" w:type="auto"/>
            <w:vAlign w:val="center"/>
            <w:hideMark/>
          </w:tcPr>
          <w:p w:rsidR="006B323C" w:rsidRDefault="00BF56F2">
            <w:pPr>
              <w:jc w:val="center"/>
            </w:pPr>
            <w:r>
              <w:t>LG</w:t>
            </w:r>
          </w:p>
        </w:tc>
        <w:tc>
          <w:tcPr>
            <w:tcW w:w="0" w:type="auto"/>
            <w:vAlign w:val="center"/>
            <w:hideMark/>
          </w:tcPr>
          <w:p w:rsidR="006B323C" w:rsidRDefault="00BF56F2">
            <w:pPr>
              <w:jc w:val="center"/>
            </w:pPr>
            <w:r>
              <w:t>CTX</w:t>
            </w:r>
          </w:p>
        </w:tc>
        <w:tc>
          <w:tcPr>
            <w:tcW w:w="0" w:type="auto"/>
            <w:vAlign w:val="center"/>
            <w:hideMark/>
          </w:tcPr>
          <w:p w:rsidR="006B323C" w:rsidRDefault="00BF56F2">
            <w:pPr>
              <w:jc w:val="center"/>
            </w:pPr>
            <w:r>
              <w:t>Sony</w:t>
            </w:r>
          </w:p>
        </w:tc>
        <w:tc>
          <w:tcPr>
            <w:tcW w:w="0" w:type="auto"/>
            <w:vAlign w:val="center"/>
            <w:hideMark/>
          </w:tcPr>
          <w:p w:rsidR="006B323C" w:rsidRDefault="00BF56F2">
            <w:pPr>
              <w:jc w:val="center"/>
            </w:pPr>
            <w:r>
              <w:t>Sony</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r>
              <w:rPr>
                <w:i/>
                <w:iCs/>
              </w:rPr>
              <w:t>(фирмы производители)</w:t>
            </w:r>
          </w:p>
        </w:tc>
        <w:tc>
          <w:tcPr>
            <w:tcW w:w="0" w:type="auto"/>
            <w:vAlign w:val="center"/>
            <w:hideMark/>
          </w:tcPr>
          <w:p w:rsidR="006B323C" w:rsidRDefault="006B323C"/>
        </w:tc>
        <w:tc>
          <w:tcPr>
            <w:tcW w:w="0" w:type="auto"/>
            <w:vAlign w:val="center"/>
            <w:hideMark/>
          </w:tcPr>
          <w:p w:rsidR="006B323C" w:rsidRDefault="00BF56F2">
            <w:pPr>
              <w:jc w:val="center"/>
            </w:pPr>
            <w:r>
              <w:t>Samsung</w:t>
            </w:r>
          </w:p>
        </w:tc>
        <w:tc>
          <w:tcPr>
            <w:tcW w:w="0" w:type="auto"/>
            <w:vAlign w:val="center"/>
            <w:hideMark/>
          </w:tcPr>
          <w:p w:rsidR="006B323C" w:rsidRDefault="00BF56F2">
            <w:pPr>
              <w:jc w:val="center"/>
            </w:pPr>
            <w:r>
              <w:t>Sony</w:t>
            </w:r>
          </w:p>
        </w:tc>
        <w:tc>
          <w:tcPr>
            <w:tcW w:w="0" w:type="auto"/>
            <w:vAlign w:val="center"/>
            <w:hideMark/>
          </w:tcPr>
          <w:p w:rsidR="006B323C" w:rsidRDefault="00BF56F2">
            <w:pPr>
              <w:jc w:val="center"/>
            </w:pPr>
            <w:r>
              <w:t>ViewSonic</w:t>
            </w:r>
          </w:p>
        </w:tc>
        <w:tc>
          <w:tcPr>
            <w:tcW w:w="0" w:type="auto"/>
            <w:vAlign w:val="center"/>
            <w:hideMark/>
          </w:tcPr>
          <w:p w:rsidR="006B323C" w:rsidRDefault="00BF56F2">
            <w:pPr>
              <w:jc w:val="center"/>
            </w:pPr>
            <w:r>
              <w:t>ViewSonic</w:t>
            </w:r>
          </w:p>
        </w:tc>
        <w:tc>
          <w:tcPr>
            <w:tcW w:w="0" w:type="auto"/>
            <w:vAlign w:val="center"/>
            <w:hideMark/>
          </w:tcPr>
          <w:p w:rsidR="006B323C" w:rsidRDefault="00BF56F2">
            <w:pPr>
              <w:jc w:val="center"/>
            </w:pPr>
            <w:r>
              <w:t>Samsung</w:t>
            </w:r>
          </w:p>
        </w:tc>
        <w:tc>
          <w:tcPr>
            <w:tcW w:w="0" w:type="auto"/>
            <w:vAlign w:val="center"/>
            <w:hideMark/>
          </w:tcPr>
          <w:p w:rsidR="006B323C" w:rsidRDefault="00BF56F2">
            <w:pPr>
              <w:jc w:val="center"/>
            </w:pPr>
            <w:r>
              <w:t>ViewSonic</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pPr>
              <w:jc w:val="center"/>
            </w:pPr>
          </w:p>
        </w:tc>
        <w:tc>
          <w:tcPr>
            <w:tcW w:w="0" w:type="auto"/>
            <w:vAlign w:val="center"/>
            <w:hideMark/>
          </w:tcPr>
          <w:p w:rsidR="006B323C" w:rsidRDefault="006B323C">
            <w:pPr>
              <w:jc w:val="center"/>
            </w:pPr>
          </w:p>
        </w:tc>
        <w:tc>
          <w:tcPr>
            <w:tcW w:w="0" w:type="auto"/>
            <w:vAlign w:val="center"/>
            <w:hideMark/>
          </w:tcPr>
          <w:p w:rsidR="006B323C" w:rsidRDefault="00BF56F2">
            <w:pPr>
              <w:jc w:val="center"/>
            </w:pPr>
            <w:r>
              <w:t>Daewoo</w:t>
            </w:r>
          </w:p>
        </w:tc>
        <w:tc>
          <w:tcPr>
            <w:tcW w:w="0" w:type="auto"/>
            <w:vAlign w:val="center"/>
            <w:hideMark/>
          </w:tcPr>
          <w:p w:rsidR="006B323C" w:rsidRDefault="00BF56F2">
            <w:pPr>
              <w:jc w:val="center"/>
            </w:pPr>
            <w:r>
              <w:t>Sony</w:t>
            </w:r>
          </w:p>
        </w:tc>
        <w:tc>
          <w:tcPr>
            <w:tcW w:w="0" w:type="auto"/>
            <w:vAlign w:val="center"/>
            <w:hideMark/>
          </w:tcPr>
          <w:p w:rsidR="006B323C" w:rsidRDefault="00BF56F2">
            <w:pPr>
              <w:jc w:val="center"/>
            </w:pPr>
            <w:r>
              <w:t>ViewSonic</w:t>
            </w:r>
          </w:p>
        </w:tc>
        <w:tc>
          <w:tcPr>
            <w:tcW w:w="0" w:type="auto"/>
            <w:vAlign w:val="center"/>
            <w:hideMark/>
          </w:tcPr>
          <w:p w:rsidR="006B323C" w:rsidRDefault="00BF56F2">
            <w:pPr>
              <w:jc w:val="center"/>
            </w:pPr>
            <w:r>
              <w:t>Samsung</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pPr>
              <w:jc w:val="center"/>
            </w:pPr>
          </w:p>
        </w:tc>
        <w:tc>
          <w:tcPr>
            <w:tcW w:w="0" w:type="auto"/>
            <w:vAlign w:val="center"/>
            <w:hideMark/>
          </w:tcPr>
          <w:p w:rsidR="006B323C" w:rsidRDefault="006B323C">
            <w:pPr>
              <w:jc w:val="center"/>
            </w:pPr>
          </w:p>
        </w:tc>
        <w:tc>
          <w:tcPr>
            <w:tcW w:w="0" w:type="auto"/>
            <w:vAlign w:val="center"/>
            <w:hideMark/>
          </w:tcPr>
          <w:p w:rsidR="006B323C" w:rsidRDefault="006B323C">
            <w:pPr>
              <w:jc w:val="center"/>
            </w:pPr>
          </w:p>
        </w:tc>
        <w:tc>
          <w:tcPr>
            <w:tcW w:w="0" w:type="auto"/>
            <w:vAlign w:val="center"/>
            <w:hideMark/>
          </w:tcPr>
          <w:p w:rsidR="006B323C" w:rsidRDefault="006B323C">
            <w:pPr>
              <w:jc w:val="center"/>
            </w:pPr>
          </w:p>
        </w:tc>
        <w:tc>
          <w:tcPr>
            <w:tcW w:w="0" w:type="auto"/>
            <w:vAlign w:val="center"/>
            <w:hideMark/>
          </w:tcPr>
          <w:p w:rsidR="006B323C" w:rsidRDefault="006B323C">
            <w:pPr>
              <w:jc w:val="center"/>
            </w:pPr>
          </w:p>
        </w:tc>
        <w:tc>
          <w:tcPr>
            <w:tcW w:w="0" w:type="auto"/>
            <w:vAlign w:val="center"/>
            <w:hideMark/>
          </w:tcPr>
          <w:p w:rsidR="006B323C" w:rsidRDefault="006B323C">
            <w:pPr>
              <w:jc w:val="center"/>
            </w:pP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pPr>
              <w:jc w:val="center"/>
            </w:pPr>
            <w:r>
              <w:rPr>
                <w:i/>
                <w:iCs/>
              </w:rPr>
              <w:t>Объем продаж (%)</w:t>
            </w:r>
          </w:p>
        </w:tc>
        <w:tc>
          <w:tcPr>
            <w:tcW w:w="0" w:type="auto"/>
            <w:vAlign w:val="center"/>
            <w:hideMark/>
          </w:tcPr>
          <w:p w:rsidR="006B323C" w:rsidRDefault="006B323C"/>
        </w:tc>
        <w:tc>
          <w:tcPr>
            <w:tcW w:w="0" w:type="auto"/>
            <w:vAlign w:val="center"/>
            <w:hideMark/>
          </w:tcPr>
          <w:p w:rsidR="006B323C" w:rsidRDefault="006B323C">
            <w:pPr>
              <w:jc w:val="center"/>
            </w:pPr>
          </w:p>
        </w:tc>
        <w:tc>
          <w:tcPr>
            <w:tcW w:w="0" w:type="auto"/>
            <w:vAlign w:val="center"/>
            <w:hideMark/>
          </w:tcPr>
          <w:p w:rsidR="006B323C" w:rsidRDefault="006B323C">
            <w:pPr>
              <w:jc w:val="center"/>
            </w:pPr>
          </w:p>
        </w:tc>
        <w:tc>
          <w:tcPr>
            <w:tcW w:w="0" w:type="auto"/>
            <w:vAlign w:val="center"/>
            <w:hideMark/>
          </w:tcPr>
          <w:p w:rsidR="006B323C" w:rsidRDefault="006B323C">
            <w:pPr>
              <w:jc w:val="center"/>
            </w:pPr>
          </w:p>
        </w:tc>
        <w:tc>
          <w:tcPr>
            <w:tcW w:w="0" w:type="auto"/>
            <w:vAlign w:val="center"/>
            <w:hideMark/>
          </w:tcPr>
          <w:p w:rsidR="006B323C" w:rsidRDefault="006B323C">
            <w:pPr>
              <w:jc w:val="center"/>
            </w:pPr>
          </w:p>
        </w:tc>
        <w:tc>
          <w:tcPr>
            <w:tcW w:w="0" w:type="auto"/>
            <w:vAlign w:val="center"/>
            <w:hideMark/>
          </w:tcPr>
          <w:p w:rsidR="006B323C" w:rsidRDefault="006B323C">
            <w:pPr>
              <w:jc w:val="center"/>
            </w:pPr>
          </w:p>
        </w:tc>
        <w:tc>
          <w:tcPr>
            <w:tcW w:w="0" w:type="auto"/>
            <w:vAlign w:val="center"/>
            <w:hideMark/>
          </w:tcPr>
          <w:p w:rsidR="006B323C" w:rsidRDefault="006B323C">
            <w:pPr>
              <w:jc w:val="center"/>
            </w:pP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pPr>
              <w:jc w:val="center"/>
            </w:pPr>
            <w:r>
              <w:rPr>
                <w:i/>
                <w:iCs/>
              </w:rPr>
              <w:t>14"</w:t>
            </w:r>
          </w:p>
        </w:tc>
        <w:tc>
          <w:tcPr>
            <w:tcW w:w="0" w:type="auto"/>
            <w:vAlign w:val="center"/>
            <w:hideMark/>
          </w:tcPr>
          <w:p w:rsidR="006B323C" w:rsidRDefault="006B323C"/>
        </w:tc>
        <w:tc>
          <w:tcPr>
            <w:tcW w:w="0" w:type="auto"/>
            <w:vAlign w:val="center"/>
            <w:hideMark/>
          </w:tcPr>
          <w:p w:rsidR="006B323C" w:rsidRDefault="00BF56F2">
            <w:pPr>
              <w:jc w:val="center"/>
            </w:pPr>
            <w:r>
              <w:t>10</w:t>
            </w:r>
          </w:p>
        </w:tc>
        <w:tc>
          <w:tcPr>
            <w:tcW w:w="0" w:type="auto"/>
            <w:vAlign w:val="center"/>
            <w:hideMark/>
          </w:tcPr>
          <w:p w:rsidR="006B323C" w:rsidRDefault="00BF56F2">
            <w:pPr>
              <w:jc w:val="center"/>
            </w:pPr>
            <w:r>
              <w:t>15</w:t>
            </w:r>
          </w:p>
        </w:tc>
        <w:tc>
          <w:tcPr>
            <w:tcW w:w="0" w:type="auto"/>
            <w:vAlign w:val="center"/>
            <w:hideMark/>
          </w:tcPr>
          <w:p w:rsidR="006B323C" w:rsidRDefault="00BF56F2">
            <w:pPr>
              <w:jc w:val="center"/>
            </w:pPr>
            <w:r>
              <w:t>2</w:t>
            </w:r>
          </w:p>
        </w:tc>
        <w:tc>
          <w:tcPr>
            <w:tcW w:w="0" w:type="auto"/>
            <w:vAlign w:val="center"/>
            <w:hideMark/>
          </w:tcPr>
          <w:p w:rsidR="006B323C" w:rsidRDefault="00BF56F2">
            <w:pPr>
              <w:jc w:val="center"/>
            </w:pPr>
            <w:r>
              <w:t>10</w:t>
            </w:r>
          </w:p>
        </w:tc>
        <w:tc>
          <w:tcPr>
            <w:tcW w:w="0" w:type="auto"/>
            <w:vAlign w:val="center"/>
            <w:hideMark/>
          </w:tcPr>
          <w:p w:rsidR="006B323C" w:rsidRDefault="00BF56F2">
            <w:pPr>
              <w:jc w:val="center"/>
            </w:pPr>
            <w:r>
              <w:t>13</w:t>
            </w:r>
          </w:p>
        </w:tc>
        <w:tc>
          <w:tcPr>
            <w:tcW w:w="0" w:type="auto"/>
            <w:vAlign w:val="center"/>
            <w:hideMark/>
          </w:tcPr>
          <w:p w:rsidR="006B323C" w:rsidRDefault="00BF56F2">
            <w:pPr>
              <w:jc w:val="center"/>
            </w:pPr>
            <w:r>
              <w:t>10</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pPr>
              <w:jc w:val="center"/>
            </w:pPr>
            <w:r>
              <w:rPr>
                <w:i/>
                <w:iCs/>
              </w:rPr>
              <w:t>15"</w:t>
            </w:r>
          </w:p>
        </w:tc>
        <w:tc>
          <w:tcPr>
            <w:tcW w:w="0" w:type="auto"/>
            <w:vAlign w:val="center"/>
            <w:hideMark/>
          </w:tcPr>
          <w:p w:rsidR="006B323C" w:rsidRDefault="006B323C"/>
        </w:tc>
        <w:tc>
          <w:tcPr>
            <w:tcW w:w="0" w:type="auto"/>
            <w:vAlign w:val="center"/>
            <w:hideMark/>
          </w:tcPr>
          <w:p w:rsidR="006B323C" w:rsidRDefault="00BF56F2">
            <w:pPr>
              <w:jc w:val="center"/>
            </w:pPr>
            <w:r>
              <w:t>70</w:t>
            </w:r>
          </w:p>
        </w:tc>
        <w:tc>
          <w:tcPr>
            <w:tcW w:w="0" w:type="auto"/>
            <w:vAlign w:val="center"/>
            <w:hideMark/>
          </w:tcPr>
          <w:p w:rsidR="006B323C" w:rsidRDefault="00BF56F2">
            <w:pPr>
              <w:jc w:val="center"/>
            </w:pPr>
            <w:r>
              <w:t>80</w:t>
            </w:r>
          </w:p>
        </w:tc>
        <w:tc>
          <w:tcPr>
            <w:tcW w:w="0" w:type="auto"/>
            <w:vAlign w:val="center"/>
            <w:hideMark/>
          </w:tcPr>
          <w:p w:rsidR="006B323C" w:rsidRDefault="00BF56F2">
            <w:pPr>
              <w:jc w:val="center"/>
            </w:pPr>
            <w:r>
              <w:t>70</w:t>
            </w:r>
          </w:p>
        </w:tc>
        <w:tc>
          <w:tcPr>
            <w:tcW w:w="0" w:type="auto"/>
            <w:vAlign w:val="center"/>
            <w:hideMark/>
          </w:tcPr>
          <w:p w:rsidR="006B323C" w:rsidRDefault="00BF56F2">
            <w:pPr>
              <w:jc w:val="center"/>
            </w:pPr>
            <w:r>
              <w:t>60</w:t>
            </w:r>
          </w:p>
        </w:tc>
        <w:tc>
          <w:tcPr>
            <w:tcW w:w="0" w:type="auto"/>
            <w:vAlign w:val="center"/>
            <w:hideMark/>
          </w:tcPr>
          <w:p w:rsidR="006B323C" w:rsidRDefault="00BF56F2">
            <w:pPr>
              <w:jc w:val="center"/>
            </w:pPr>
            <w:r>
              <w:t>70</w:t>
            </w:r>
          </w:p>
        </w:tc>
        <w:tc>
          <w:tcPr>
            <w:tcW w:w="0" w:type="auto"/>
            <w:vAlign w:val="center"/>
            <w:hideMark/>
          </w:tcPr>
          <w:p w:rsidR="006B323C" w:rsidRDefault="00BF56F2">
            <w:pPr>
              <w:jc w:val="center"/>
            </w:pPr>
            <w:r>
              <w:t>70</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pPr>
              <w:jc w:val="center"/>
            </w:pPr>
            <w:r>
              <w:rPr>
                <w:i/>
                <w:iCs/>
              </w:rPr>
              <w:t>17"</w:t>
            </w:r>
          </w:p>
        </w:tc>
        <w:tc>
          <w:tcPr>
            <w:tcW w:w="0" w:type="auto"/>
            <w:vAlign w:val="center"/>
            <w:hideMark/>
          </w:tcPr>
          <w:p w:rsidR="006B323C" w:rsidRDefault="006B323C"/>
        </w:tc>
        <w:tc>
          <w:tcPr>
            <w:tcW w:w="0" w:type="auto"/>
            <w:vAlign w:val="center"/>
            <w:hideMark/>
          </w:tcPr>
          <w:p w:rsidR="006B323C" w:rsidRDefault="00BF56F2">
            <w:pPr>
              <w:jc w:val="center"/>
            </w:pPr>
            <w:r>
              <w:t>20</w:t>
            </w:r>
          </w:p>
        </w:tc>
        <w:tc>
          <w:tcPr>
            <w:tcW w:w="0" w:type="auto"/>
            <w:vAlign w:val="center"/>
            <w:hideMark/>
          </w:tcPr>
          <w:p w:rsidR="006B323C" w:rsidRDefault="00BF56F2">
            <w:pPr>
              <w:jc w:val="center"/>
            </w:pPr>
            <w:r>
              <w:t>5</w:t>
            </w:r>
          </w:p>
        </w:tc>
        <w:tc>
          <w:tcPr>
            <w:tcW w:w="0" w:type="auto"/>
            <w:vAlign w:val="center"/>
            <w:hideMark/>
          </w:tcPr>
          <w:p w:rsidR="006B323C" w:rsidRDefault="00BF56F2">
            <w:pPr>
              <w:jc w:val="center"/>
            </w:pPr>
            <w:r>
              <w:t>38</w:t>
            </w:r>
          </w:p>
        </w:tc>
        <w:tc>
          <w:tcPr>
            <w:tcW w:w="0" w:type="auto"/>
            <w:vAlign w:val="center"/>
            <w:hideMark/>
          </w:tcPr>
          <w:p w:rsidR="006B323C" w:rsidRDefault="00BF56F2">
            <w:pPr>
              <w:jc w:val="center"/>
            </w:pPr>
            <w:r>
              <w:t>20</w:t>
            </w:r>
          </w:p>
        </w:tc>
        <w:tc>
          <w:tcPr>
            <w:tcW w:w="0" w:type="auto"/>
            <w:vAlign w:val="center"/>
            <w:hideMark/>
          </w:tcPr>
          <w:p w:rsidR="006B323C" w:rsidRDefault="00BF56F2">
            <w:pPr>
              <w:jc w:val="center"/>
            </w:pPr>
            <w:r>
              <w:t>27</w:t>
            </w:r>
          </w:p>
        </w:tc>
        <w:tc>
          <w:tcPr>
            <w:tcW w:w="0" w:type="auto"/>
            <w:vAlign w:val="center"/>
            <w:hideMark/>
          </w:tcPr>
          <w:p w:rsidR="006B323C" w:rsidRDefault="00BF56F2">
            <w:pPr>
              <w:jc w:val="center"/>
            </w:pPr>
            <w:r>
              <w:t>24</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pPr>
              <w:jc w:val="center"/>
            </w:pPr>
            <w:r>
              <w:rPr>
                <w:i/>
                <w:iCs/>
              </w:rPr>
              <w:t>Диапозон цен на мониторы</w:t>
            </w:r>
          </w:p>
        </w:tc>
        <w:tc>
          <w:tcPr>
            <w:tcW w:w="0" w:type="auto"/>
            <w:vAlign w:val="center"/>
            <w:hideMark/>
          </w:tcPr>
          <w:p w:rsidR="006B323C" w:rsidRDefault="006B323C"/>
        </w:tc>
        <w:tc>
          <w:tcPr>
            <w:tcW w:w="0" w:type="auto"/>
            <w:vAlign w:val="center"/>
            <w:hideMark/>
          </w:tcPr>
          <w:p w:rsidR="006B323C" w:rsidRDefault="006B323C">
            <w:pPr>
              <w:jc w:val="center"/>
            </w:pPr>
          </w:p>
        </w:tc>
        <w:tc>
          <w:tcPr>
            <w:tcW w:w="0" w:type="auto"/>
            <w:vAlign w:val="center"/>
            <w:hideMark/>
          </w:tcPr>
          <w:p w:rsidR="006B323C" w:rsidRDefault="006B323C">
            <w:pPr>
              <w:jc w:val="center"/>
            </w:pPr>
          </w:p>
        </w:tc>
        <w:tc>
          <w:tcPr>
            <w:tcW w:w="0" w:type="auto"/>
            <w:vAlign w:val="center"/>
            <w:hideMark/>
          </w:tcPr>
          <w:p w:rsidR="006B323C" w:rsidRDefault="006B323C">
            <w:pPr>
              <w:jc w:val="center"/>
            </w:pPr>
          </w:p>
        </w:tc>
        <w:tc>
          <w:tcPr>
            <w:tcW w:w="0" w:type="auto"/>
            <w:vAlign w:val="center"/>
            <w:hideMark/>
          </w:tcPr>
          <w:p w:rsidR="006B323C" w:rsidRDefault="006B323C">
            <w:pPr>
              <w:jc w:val="center"/>
            </w:pPr>
          </w:p>
        </w:tc>
        <w:tc>
          <w:tcPr>
            <w:tcW w:w="0" w:type="auto"/>
            <w:vAlign w:val="center"/>
            <w:hideMark/>
          </w:tcPr>
          <w:p w:rsidR="006B323C" w:rsidRDefault="006B323C">
            <w:pPr>
              <w:jc w:val="center"/>
            </w:pPr>
          </w:p>
        </w:tc>
        <w:tc>
          <w:tcPr>
            <w:tcW w:w="0" w:type="auto"/>
            <w:vAlign w:val="center"/>
            <w:hideMark/>
          </w:tcPr>
          <w:p w:rsidR="006B323C" w:rsidRDefault="006B323C">
            <w:pPr>
              <w:jc w:val="center"/>
            </w:pP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pPr>
              <w:jc w:val="center"/>
            </w:pPr>
            <w:r>
              <w:rPr>
                <w:i/>
                <w:iCs/>
              </w:rPr>
              <w:t xml:space="preserve">мин. 14" </w:t>
            </w:r>
          </w:p>
        </w:tc>
        <w:tc>
          <w:tcPr>
            <w:tcW w:w="0" w:type="auto"/>
            <w:vAlign w:val="center"/>
            <w:hideMark/>
          </w:tcPr>
          <w:p w:rsidR="006B323C" w:rsidRDefault="006B323C"/>
        </w:tc>
        <w:tc>
          <w:tcPr>
            <w:tcW w:w="0" w:type="auto"/>
            <w:vAlign w:val="center"/>
            <w:hideMark/>
          </w:tcPr>
          <w:p w:rsidR="006B323C" w:rsidRDefault="00BF56F2">
            <w:pPr>
              <w:jc w:val="center"/>
            </w:pPr>
            <w:r>
              <w:t>130</w:t>
            </w:r>
          </w:p>
        </w:tc>
        <w:tc>
          <w:tcPr>
            <w:tcW w:w="0" w:type="auto"/>
            <w:vAlign w:val="center"/>
            <w:hideMark/>
          </w:tcPr>
          <w:p w:rsidR="006B323C" w:rsidRDefault="00BF56F2">
            <w:pPr>
              <w:jc w:val="center"/>
            </w:pPr>
            <w:r>
              <w:t>200</w:t>
            </w:r>
          </w:p>
        </w:tc>
        <w:tc>
          <w:tcPr>
            <w:tcW w:w="0" w:type="auto"/>
            <w:vAlign w:val="center"/>
            <w:hideMark/>
          </w:tcPr>
          <w:p w:rsidR="006B323C" w:rsidRDefault="00BF56F2">
            <w:pPr>
              <w:jc w:val="center"/>
            </w:pPr>
            <w:r>
              <w:t>160</w:t>
            </w:r>
          </w:p>
        </w:tc>
        <w:tc>
          <w:tcPr>
            <w:tcW w:w="0" w:type="auto"/>
            <w:vAlign w:val="center"/>
            <w:hideMark/>
          </w:tcPr>
          <w:p w:rsidR="006B323C" w:rsidRDefault="00BF56F2">
            <w:pPr>
              <w:jc w:val="center"/>
            </w:pPr>
            <w:r>
              <w:t>130</w:t>
            </w:r>
          </w:p>
        </w:tc>
        <w:tc>
          <w:tcPr>
            <w:tcW w:w="0" w:type="auto"/>
            <w:vAlign w:val="center"/>
            <w:hideMark/>
          </w:tcPr>
          <w:p w:rsidR="006B323C" w:rsidRDefault="00BF56F2">
            <w:pPr>
              <w:jc w:val="center"/>
            </w:pPr>
            <w:r>
              <w:t>160</w:t>
            </w:r>
          </w:p>
        </w:tc>
        <w:tc>
          <w:tcPr>
            <w:tcW w:w="0" w:type="auto"/>
            <w:vAlign w:val="center"/>
            <w:hideMark/>
          </w:tcPr>
          <w:p w:rsidR="006B323C" w:rsidRDefault="00BF56F2">
            <w:pPr>
              <w:jc w:val="center"/>
            </w:pPr>
            <w:r>
              <w:t>156</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pPr>
              <w:jc w:val="center"/>
            </w:pPr>
            <w:r>
              <w:rPr>
                <w:i/>
                <w:iCs/>
              </w:rPr>
              <w:t>макс. 14"</w:t>
            </w:r>
          </w:p>
        </w:tc>
        <w:tc>
          <w:tcPr>
            <w:tcW w:w="0" w:type="auto"/>
            <w:vAlign w:val="center"/>
            <w:hideMark/>
          </w:tcPr>
          <w:p w:rsidR="006B323C" w:rsidRDefault="006B323C"/>
        </w:tc>
        <w:tc>
          <w:tcPr>
            <w:tcW w:w="0" w:type="auto"/>
            <w:vAlign w:val="center"/>
            <w:hideMark/>
          </w:tcPr>
          <w:p w:rsidR="006B323C" w:rsidRDefault="00BF56F2">
            <w:pPr>
              <w:jc w:val="center"/>
            </w:pPr>
            <w:r>
              <w:t>160</w:t>
            </w:r>
          </w:p>
        </w:tc>
        <w:tc>
          <w:tcPr>
            <w:tcW w:w="0" w:type="auto"/>
            <w:vAlign w:val="center"/>
            <w:hideMark/>
          </w:tcPr>
          <w:p w:rsidR="006B323C" w:rsidRDefault="00BF56F2">
            <w:pPr>
              <w:jc w:val="center"/>
            </w:pPr>
            <w:r>
              <w:t>240</w:t>
            </w:r>
          </w:p>
        </w:tc>
        <w:tc>
          <w:tcPr>
            <w:tcW w:w="0" w:type="auto"/>
            <w:vAlign w:val="center"/>
            <w:hideMark/>
          </w:tcPr>
          <w:p w:rsidR="006B323C" w:rsidRDefault="00BF56F2">
            <w:pPr>
              <w:jc w:val="center"/>
            </w:pPr>
            <w:r>
              <w:t>208</w:t>
            </w:r>
          </w:p>
        </w:tc>
        <w:tc>
          <w:tcPr>
            <w:tcW w:w="0" w:type="auto"/>
            <w:vAlign w:val="center"/>
            <w:hideMark/>
          </w:tcPr>
          <w:p w:rsidR="006B323C" w:rsidRDefault="00BF56F2">
            <w:pPr>
              <w:jc w:val="center"/>
            </w:pPr>
            <w:r>
              <w:t>200</w:t>
            </w:r>
          </w:p>
        </w:tc>
        <w:tc>
          <w:tcPr>
            <w:tcW w:w="0" w:type="auto"/>
            <w:vAlign w:val="center"/>
            <w:hideMark/>
          </w:tcPr>
          <w:p w:rsidR="006B323C" w:rsidRDefault="00BF56F2">
            <w:pPr>
              <w:jc w:val="center"/>
            </w:pPr>
            <w:r>
              <w:t>270</w:t>
            </w:r>
          </w:p>
        </w:tc>
        <w:tc>
          <w:tcPr>
            <w:tcW w:w="0" w:type="auto"/>
            <w:vAlign w:val="center"/>
            <w:hideMark/>
          </w:tcPr>
          <w:p w:rsidR="006B323C" w:rsidRDefault="00BF56F2">
            <w:pPr>
              <w:jc w:val="center"/>
            </w:pPr>
            <w:r>
              <w:t>216</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pPr>
              <w:jc w:val="center"/>
            </w:pPr>
            <w:r>
              <w:rPr>
                <w:i/>
                <w:iCs/>
              </w:rPr>
              <w:t xml:space="preserve">мин. 15" </w:t>
            </w:r>
          </w:p>
        </w:tc>
        <w:tc>
          <w:tcPr>
            <w:tcW w:w="0" w:type="auto"/>
            <w:vAlign w:val="center"/>
            <w:hideMark/>
          </w:tcPr>
          <w:p w:rsidR="006B323C" w:rsidRDefault="006B323C"/>
        </w:tc>
        <w:tc>
          <w:tcPr>
            <w:tcW w:w="0" w:type="auto"/>
            <w:vAlign w:val="center"/>
            <w:hideMark/>
          </w:tcPr>
          <w:p w:rsidR="006B323C" w:rsidRDefault="00BF56F2">
            <w:pPr>
              <w:jc w:val="center"/>
            </w:pPr>
            <w:r>
              <w:t>230</w:t>
            </w:r>
          </w:p>
        </w:tc>
        <w:tc>
          <w:tcPr>
            <w:tcW w:w="0" w:type="auto"/>
            <w:vAlign w:val="center"/>
            <w:hideMark/>
          </w:tcPr>
          <w:p w:rsidR="006B323C" w:rsidRDefault="00BF56F2">
            <w:pPr>
              <w:jc w:val="center"/>
            </w:pPr>
            <w:r>
              <w:t>270</w:t>
            </w:r>
          </w:p>
        </w:tc>
        <w:tc>
          <w:tcPr>
            <w:tcW w:w="0" w:type="auto"/>
            <w:vAlign w:val="center"/>
            <w:hideMark/>
          </w:tcPr>
          <w:p w:rsidR="006B323C" w:rsidRDefault="00BF56F2">
            <w:pPr>
              <w:jc w:val="center"/>
            </w:pPr>
            <w:r>
              <w:t>270</w:t>
            </w:r>
          </w:p>
        </w:tc>
        <w:tc>
          <w:tcPr>
            <w:tcW w:w="0" w:type="auto"/>
            <w:vAlign w:val="center"/>
            <w:hideMark/>
          </w:tcPr>
          <w:p w:rsidR="006B323C" w:rsidRDefault="00BF56F2">
            <w:pPr>
              <w:jc w:val="center"/>
            </w:pPr>
            <w:r>
              <w:t>280</w:t>
            </w:r>
          </w:p>
        </w:tc>
        <w:tc>
          <w:tcPr>
            <w:tcW w:w="0" w:type="auto"/>
            <w:vAlign w:val="center"/>
            <w:hideMark/>
          </w:tcPr>
          <w:p w:rsidR="006B323C" w:rsidRDefault="00BF56F2">
            <w:pPr>
              <w:jc w:val="center"/>
            </w:pPr>
            <w:r>
              <w:t>290</w:t>
            </w:r>
          </w:p>
        </w:tc>
        <w:tc>
          <w:tcPr>
            <w:tcW w:w="0" w:type="auto"/>
            <w:vAlign w:val="center"/>
            <w:hideMark/>
          </w:tcPr>
          <w:p w:rsidR="006B323C" w:rsidRDefault="00BF56F2">
            <w:pPr>
              <w:jc w:val="center"/>
            </w:pPr>
            <w:r>
              <w:t>268</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pPr>
              <w:jc w:val="center"/>
            </w:pPr>
            <w:r>
              <w:rPr>
                <w:i/>
                <w:iCs/>
              </w:rPr>
              <w:t>макс. 15"</w:t>
            </w:r>
          </w:p>
        </w:tc>
        <w:tc>
          <w:tcPr>
            <w:tcW w:w="0" w:type="auto"/>
            <w:vAlign w:val="center"/>
            <w:hideMark/>
          </w:tcPr>
          <w:p w:rsidR="006B323C" w:rsidRDefault="006B323C"/>
        </w:tc>
        <w:tc>
          <w:tcPr>
            <w:tcW w:w="0" w:type="auto"/>
            <w:vAlign w:val="center"/>
            <w:hideMark/>
          </w:tcPr>
          <w:p w:rsidR="006B323C" w:rsidRDefault="00BF56F2">
            <w:pPr>
              <w:jc w:val="center"/>
            </w:pPr>
            <w:r>
              <w:t>430</w:t>
            </w:r>
          </w:p>
        </w:tc>
        <w:tc>
          <w:tcPr>
            <w:tcW w:w="0" w:type="auto"/>
            <w:vAlign w:val="center"/>
            <w:hideMark/>
          </w:tcPr>
          <w:p w:rsidR="006B323C" w:rsidRDefault="00BF56F2">
            <w:pPr>
              <w:jc w:val="center"/>
            </w:pPr>
            <w:r>
              <w:t>470</w:t>
            </w:r>
          </w:p>
        </w:tc>
        <w:tc>
          <w:tcPr>
            <w:tcW w:w="0" w:type="auto"/>
            <w:vAlign w:val="center"/>
            <w:hideMark/>
          </w:tcPr>
          <w:p w:rsidR="006B323C" w:rsidRDefault="00BF56F2">
            <w:pPr>
              <w:jc w:val="center"/>
            </w:pPr>
            <w:r>
              <w:t>445</w:t>
            </w:r>
          </w:p>
        </w:tc>
        <w:tc>
          <w:tcPr>
            <w:tcW w:w="0" w:type="auto"/>
            <w:vAlign w:val="center"/>
            <w:hideMark/>
          </w:tcPr>
          <w:p w:rsidR="006B323C" w:rsidRDefault="00BF56F2">
            <w:pPr>
              <w:jc w:val="center"/>
            </w:pPr>
            <w:r>
              <w:t>500</w:t>
            </w:r>
          </w:p>
        </w:tc>
        <w:tc>
          <w:tcPr>
            <w:tcW w:w="0" w:type="auto"/>
            <w:vAlign w:val="center"/>
            <w:hideMark/>
          </w:tcPr>
          <w:p w:rsidR="006B323C" w:rsidRDefault="00BF56F2">
            <w:pPr>
              <w:jc w:val="center"/>
            </w:pPr>
            <w:r>
              <w:t>520</w:t>
            </w:r>
          </w:p>
        </w:tc>
        <w:tc>
          <w:tcPr>
            <w:tcW w:w="0" w:type="auto"/>
            <w:vAlign w:val="center"/>
            <w:hideMark/>
          </w:tcPr>
          <w:p w:rsidR="006B323C" w:rsidRDefault="00BF56F2">
            <w:pPr>
              <w:jc w:val="center"/>
            </w:pPr>
            <w:r>
              <w:t>473</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pPr>
              <w:jc w:val="center"/>
            </w:pPr>
            <w:r>
              <w:rPr>
                <w:i/>
                <w:iCs/>
              </w:rPr>
              <w:t xml:space="preserve">мин. 17" </w:t>
            </w:r>
          </w:p>
        </w:tc>
        <w:tc>
          <w:tcPr>
            <w:tcW w:w="0" w:type="auto"/>
            <w:vAlign w:val="center"/>
            <w:hideMark/>
          </w:tcPr>
          <w:p w:rsidR="006B323C" w:rsidRDefault="006B323C"/>
        </w:tc>
        <w:tc>
          <w:tcPr>
            <w:tcW w:w="0" w:type="auto"/>
            <w:vAlign w:val="center"/>
            <w:hideMark/>
          </w:tcPr>
          <w:p w:rsidR="006B323C" w:rsidRDefault="00BF56F2">
            <w:pPr>
              <w:jc w:val="center"/>
            </w:pPr>
            <w:r>
              <w:t>480</w:t>
            </w:r>
          </w:p>
        </w:tc>
        <w:tc>
          <w:tcPr>
            <w:tcW w:w="0" w:type="auto"/>
            <w:vAlign w:val="center"/>
            <w:hideMark/>
          </w:tcPr>
          <w:p w:rsidR="006B323C" w:rsidRDefault="00BF56F2">
            <w:pPr>
              <w:jc w:val="center"/>
            </w:pPr>
            <w:r>
              <w:t>650</w:t>
            </w:r>
          </w:p>
        </w:tc>
        <w:tc>
          <w:tcPr>
            <w:tcW w:w="0" w:type="auto"/>
            <w:vAlign w:val="center"/>
            <w:hideMark/>
          </w:tcPr>
          <w:p w:rsidR="006B323C" w:rsidRDefault="00BF56F2">
            <w:pPr>
              <w:jc w:val="center"/>
            </w:pPr>
            <w:r>
              <w:t>644</w:t>
            </w:r>
          </w:p>
        </w:tc>
        <w:tc>
          <w:tcPr>
            <w:tcW w:w="0" w:type="auto"/>
            <w:vAlign w:val="center"/>
            <w:hideMark/>
          </w:tcPr>
          <w:p w:rsidR="006B323C" w:rsidRDefault="00BF56F2">
            <w:pPr>
              <w:jc w:val="center"/>
            </w:pPr>
            <w:r>
              <w:t>650</w:t>
            </w:r>
          </w:p>
        </w:tc>
        <w:tc>
          <w:tcPr>
            <w:tcW w:w="0" w:type="auto"/>
            <w:vAlign w:val="center"/>
            <w:hideMark/>
          </w:tcPr>
          <w:p w:rsidR="006B323C" w:rsidRDefault="00BF56F2">
            <w:pPr>
              <w:jc w:val="center"/>
            </w:pPr>
            <w:r>
              <w:t>600</w:t>
            </w:r>
          </w:p>
        </w:tc>
        <w:tc>
          <w:tcPr>
            <w:tcW w:w="0" w:type="auto"/>
            <w:vAlign w:val="center"/>
            <w:hideMark/>
          </w:tcPr>
          <w:p w:rsidR="006B323C" w:rsidRDefault="00BF56F2">
            <w:pPr>
              <w:jc w:val="center"/>
            </w:pPr>
            <w:r>
              <w:t>604.8</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pPr>
              <w:jc w:val="center"/>
            </w:pPr>
            <w:r>
              <w:rPr>
                <w:i/>
                <w:iCs/>
              </w:rPr>
              <w:t>макс. 17"</w:t>
            </w:r>
          </w:p>
        </w:tc>
        <w:tc>
          <w:tcPr>
            <w:tcW w:w="0" w:type="auto"/>
            <w:vAlign w:val="center"/>
            <w:hideMark/>
          </w:tcPr>
          <w:p w:rsidR="006B323C" w:rsidRDefault="006B323C"/>
        </w:tc>
        <w:tc>
          <w:tcPr>
            <w:tcW w:w="0" w:type="auto"/>
            <w:vAlign w:val="center"/>
            <w:hideMark/>
          </w:tcPr>
          <w:p w:rsidR="006B323C" w:rsidRDefault="00BF56F2">
            <w:pPr>
              <w:jc w:val="center"/>
            </w:pPr>
            <w:r>
              <w:t>1000</w:t>
            </w:r>
          </w:p>
        </w:tc>
        <w:tc>
          <w:tcPr>
            <w:tcW w:w="0" w:type="auto"/>
            <w:vAlign w:val="center"/>
            <w:hideMark/>
          </w:tcPr>
          <w:p w:rsidR="006B323C" w:rsidRDefault="00BF56F2">
            <w:pPr>
              <w:jc w:val="center"/>
            </w:pPr>
            <w:r>
              <w:t>1200</w:t>
            </w:r>
          </w:p>
        </w:tc>
        <w:tc>
          <w:tcPr>
            <w:tcW w:w="0" w:type="auto"/>
            <w:vAlign w:val="center"/>
            <w:hideMark/>
          </w:tcPr>
          <w:p w:rsidR="006B323C" w:rsidRDefault="00BF56F2">
            <w:pPr>
              <w:jc w:val="center"/>
            </w:pPr>
            <w:r>
              <w:t>770</w:t>
            </w:r>
          </w:p>
        </w:tc>
        <w:tc>
          <w:tcPr>
            <w:tcW w:w="0" w:type="auto"/>
            <w:vAlign w:val="center"/>
            <w:hideMark/>
          </w:tcPr>
          <w:p w:rsidR="006B323C" w:rsidRDefault="00BF56F2">
            <w:pPr>
              <w:jc w:val="center"/>
            </w:pPr>
            <w:r>
              <w:t>1100</w:t>
            </w:r>
          </w:p>
        </w:tc>
        <w:tc>
          <w:tcPr>
            <w:tcW w:w="0" w:type="auto"/>
            <w:vAlign w:val="center"/>
            <w:hideMark/>
          </w:tcPr>
          <w:p w:rsidR="006B323C" w:rsidRDefault="00BF56F2">
            <w:pPr>
              <w:jc w:val="center"/>
            </w:pPr>
            <w:r>
              <w:t>1000</w:t>
            </w:r>
          </w:p>
        </w:tc>
        <w:tc>
          <w:tcPr>
            <w:tcW w:w="0" w:type="auto"/>
            <w:vAlign w:val="center"/>
            <w:hideMark/>
          </w:tcPr>
          <w:p w:rsidR="006B323C" w:rsidRDefault="00BF56F2">
            <w:pPr>
              <w:jc w:val="center"/>
            </w:pPr>
            <w:r>
              <w:t>1014</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restart"/>
            <w:vAlign w:val="center"/>
            <w:hideMark/>
          </w:tcPr>
          <w:p w:rsidR="006B323C" w:rsidRDefault="00BF56F2">
            <w:r>
              <w:br/>
            </w:r>
            <w:r w:rsidR="00B84A3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289.5pt;height:168pt">
                  <v:imagedata r:id="rId4" o:title=""/>
                </v:shape>
              </w:pic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pPr>
              <w:jc w:val="center"/>
            </w:pPr>
            <w:r>
              <w:rPr>
                <w:i/>
                <w:iCs/>
              </w:rPr>
              <w:t>14"</w:t>
            </w:r>
          </w:p>
        </w:tc>
        <w:tc>
          <w:tcPr>
            <w:tcW w:w="0" w:type="auto"/>
            <w:vAlign w:val="center"/>
            <w:hideMark/>
          </w:tcPr>
          <w:p w:rsidR="006B323C" w:rsidRDefault="00BF56F2">
            <w:pPr>
              <w:jc w:val="center"/>
            </w:pPr>
            <w:r>
              <w:t>15</w:t>
            </w:r>
          </w:p>
        </w:tc>
        <w:tc>
          <w:tcPr>
            <w:tcW w:w="0" w:type="auto"/>
            <w:vAlign w:val="center"/>
            <w:hideMark/>
          </w:tcPr>
          <w:p w:rsidR="006B323C" w:rsidRDefault="00BF56F2">
            <w:pPr>
              <w:jc w:val="center"/>
            </w:pPr>
            <w:r>
              <w:rPr>
                <w:i/>
                <w:iCs/>
              </w:rPr>
              <w:t>14"</w:t>
            </w:r>
          </w:p>
        </w:tc>
        <w:tc>
          <w:tcPr>
            <w:tcW w:w="0" w:type="auto"/>
            <w:vAlign w:val="center"/>
            <w:hideMark/>
          </w:tcPr>
          <w:p w:rsidR="006B323C" w:rsidRDefault="00BF56F2">
            <w:pPr>
              <w:jc w:val="center"/>
            </w:pPr>
            <w:r>
              <w:t>2</w:t>
            </w:r>
          </w:p>
        </w:tc>
        <w:tc>
          <w:tcPr>
            <w:tcW w:w="0" w:type="auto"/>
            <w:vAlign w:val="center"/>
            <w:hideMark/>
          </w:tcPr>
          <w:p w:rsidR="006B323C" w:rsidRDefault="00BF56F2">
            <w:pPr>
              <w:jc w:val="center"/>
            </w:pPr>
            <w:r>
              <w:rPr>
                <w:i/>
                <w:iCs/>
              </w:rPr>
              <w:t>14"</w:t>
            </w:r>
          </w:p>
        </w:tc>
        <w:tc>
          <w:tcPr>
            <w:tcW w:w="0" w:type="auto"/>
            <w:vAlign w:val="center"/>
            <w:hideMark/>
          </w:tcPr>
          <w:p w:rsidR="006B323C" w:rsidRDefault="00BF56F2">
            <w:pPr>
              <w:jc w:val="center"/>
            </w:pPr>
            <w:r>
              <w:t>10</w:t>
            </w:r>
          </w:p>
        </w:tc>
        <w:tc>
          <w:tcPr>
            <w:tcW w:w="0" w:type="auto"/>
            <w:vAlign w:val="center"/>
            <w:hideMark/>
          </w:tcPr>
          <w:p w:rsidR="006B323C" w:rsidRDefault="00BF56F2">
            <w:pPr>
              <w:jc w:val="center"/>
            </w:pPr>
            <w:r>
              <w:rPr>
                <w:i/>
                <w:iCs/>
              </w:rPr>
              <w:t>14"</w:t>
            </w:r>
          </w:p>
        </w:tc>
        <w:tc>
          <w:tcPr>
            <w:tcW w:w="0" w:type="auto"/>
            <w:vAlign w:val="center"/>
            <w:hideMark/>
          </w:tcPr>
          <w:p w:rsidR="006B323C" w:rsidRDefault="00BF56F2">
            <w:pPr>
              <w:jc w:val="center"/>
            </w:pPr>
            <w:r>
              <w:t>13</w:t>
            </w:r>
          </w:p>
        </w:tc>
        <w:tc>
          <w:tcPr>
            <w:tcW w:w="0" w:type="auto"/>
            <w:vAlign w:val="center"/>
            <w:hideMark/>
          </w:tcPr>
          <w:p w:rsidR="006B323C" w:rsidRDefault="00BF56F2">
            <w:pPr>
              <w:jc w:val="center"/>
            </w:pPr>
            <w:r>
              <w:rPr>
                <w:i/>
                <w:iCs/>
              </w:rPr>
              <w:t>14"</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3"/>
            <w:vMerge w:val="restart"/>
            <w:vAlign w:val="center"/>
            <w:hideMark/>
          </w:tcPr>
          <w:p w:rsidR="006B323C" w:rsidRDefault="00BF56F2">
            <w:r>
              <w:br/>
            </w:r>
            <w:r w:rsidR="00B84A30">
              <w:rPr>
                <w:noProof/>
              </w:rPr>
              <w:pict>
                <v:shape id="_x0000_i1054" type="#_x0000_t75" style="width:291.75pt;height:111.75pt">
                  <v:imagedata r:id="rId5" o:title=""/>
                </v:shape>
              </w:pict>
            </w:r>
          </w:p>
        </w:tc>
        <w:tc>
          <w:tcPr>
            <w:tcW w:w="0" w:type="auto"/>
            <w:vAlign w:val="center"/>
            <w:hideMark/>
          </w:tcPr>
          <w:p w:rsidR="006B323C" w:rsidRDefault="00BF56F2">
            <w:pPr>
              <w:jc w:val="center"/>
            </w:pPr>
            <w:r>
              <w:rPr>
                <w:i/>
                <w:iCs/>
              </w:rPr>
              <w:t>15"</w:t>
            </w:r>
          </w:p>
        </w:tc>
        <w:tc>
          <w:tcPr>
            <w:tcW w:w="0" w:type="auto"/>
            <w:vAlign w:val="center"/>
            <w:hideMark/>
          </w:tcPr>
          <w:p w:rsidR="006B323C" w:rsidRDefault="00BF56F2">
            <w:pPr>
              <w:jc w:val="center"/>
            </w:pPr>
            <w:r>
              <w:t>80</w:t>
            </w:r>
          </w:p>
        </w:tc>
        <w:tc>
          <w:tcPr>
            <w:tcW w:w="0" w:type="auto"/>
            <w:vAlign w:val="center"/>
            <w:hideMark/>
          </w:tcPr>
          <w:p w:rsidR="006B323C" w:rsidRDefault="00BF56F2">
            <w:pPr>
              <w:jc w:val="center"/>
            </w:pPr>
            <w:r>
              <w:rPr>
                <w:i/>
                <w:iCs/>
              </w:rPr>
              <w:t>15"</w:t>
            </w:r>
          </w:p>
        </w:tc>
        <w:tc>
          <w:tcPr>
            <w:tcW w:w="0" w:type="auto"/>
            <w:vAlign w:val="center"/>
            <w:hideMark/>
          </w:tcPr>
          <w:p w:rsidR="006B323C" w:rsidRDefault="00BF56F2">
            <w:pPr>
              <w:jc w:val="center"/>
            </w:pPr>
            <w:r>
              <w:t>70</w:t>
            </w:r>
          </w:p>
        </w:tc>
        <w:tc>
          <w:tcPr>
            <w:tcW w:w="0" w:type="auto"/>
            <w:vAlign w:val="center"/>
            <w:hideMark/>
          </w:tcPr>
          <w:p w:rsidR="006B323C" w:rsidRDefault="00BF56F2">
            <w:pPr>
              <w:jc w:val="center"/>
            </w:pPr>
            <w:r>
              <w:rPr>
                <w:i/>
                <w:iCs/>
              </w:rPr>
              <w:t>15"</w:t>
            </w:r>
          </w:p>
        </w:tc>
        <w:tc>
          <w:tcPr>
            <w:tcW w:w="0" w:type="auto"/>
            <w:vAlign w:val="center"/>
            <w:hideMark/>
          </w:tcPr>
          <w:p w:rsidR="006B323C" w:rsidRDefault="00BF56F2">
            <w:pPr>
              <w:jc w:val="center"/>
            </w:pPr>
            <w:r>
              <w:t>60</w:t>
            </w:r>
          </w:p>
        </w:tc>
        <w:tc>
          <w:tcPr>
            <w:tcW w:w="0" w:type="auto"/>
            <w:vAlign w:val="center"/>
            <w:hideMark/>
          </w:tcPr>
          <w:p w:rsidR="006B323C" w:rsidRDefault="00BF56F2">
            <w:pPr>
              <w:jc w:val="center"/>
            </w:pPr>
            <w:r>
              <w:rPr>
                <w:i/>
                <w:iCs/>
              </w:rPr>
              <w:t>15"</w:t>
            </w:r>
          </w:p>
        </w:tc>
        <w:tc>
          <w:tcPr>
            <w:tcW w:w="0" w:type="auto"/>
            <w:vAlign w:val="center"/>
            <w:hideMark/>
          </w:tcPr>
          <w:p w:rsidR="006B323C" w:rsidRDefault="00BF56F2">
            <w:pPr>
              <w:jc w:val="center"/>
            </w:pPr>
            <w:r>
              <w:t>70</w:t>
            </w:r>
          </w:p>
        </w:tc>
        <w:tc>
          <w:tcPr>
            <w:tcW w:w="0" w:type="auto"/>
            <w:vAlign w:val="center"/>
            <w:hideMark/>
          </w:tcPr>
          <w:p w:rsidR="006B323C" w:rsidRDefault="00BF56F2">
            <w:pPr>
              <w:jc w:val="center"/>
            </w:pPr>
            <w:r>
              <w:rPr>
                <w:i/>
                <w:iCs/>
              </w:rPr>
              <w:t>15"</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3"/>
            <w:vMerge/>
            <w:vAlign w:val="center"/>
            <w:hideMark/>
          </w:tcPr>
          <w:p w:rsidR="006B323C" w:rsidRDefault="006B323C"/>
        </w:tc>
        <w:tc>
          <w:tcPr>
            <w:tcW w:w="0" w:type="auto"/>
            <w:vAlign w:val="center"/>
            <w:hideMark/>
          </w:tcPr>
          <w:p w:rsidR="006B323C" w:rsidRDefault="00BF56F2">
            <w:pPr>
              <w:jc w:val="center"/>
            </w:pPr>
            <w:r>
              <w:rPr>
                <w:i/>
                <w:iCs/>
              </w:rPr>
              <w:t>17"</w:t>
            </w:r>
          </w:p>
        </w:tc>
        <w:tc>
          <w:tcPr>
            <w:tcW w:w="0" w:type="auto"/>
            <w:vAlign w:val="center"/>
            <w:hideMark/>
          </w:tcPr>
          <w:p w:rsidR="006B323C" w:rsidRDefault="00BF56F2">
            <w:pPr>
              <w:jc w:val="center"/>
            </w:pPr>
            <w:r>
              <w:t>5</w:t>
            </w:r>
          </w:p>
        </w:tc>
        <w:tc>
          <w:tcPr>
            <w:tcW w:w="0" w:type="auto"/>
            <w:vAlign w:val="center"/>
            <w:hideMark/>
          </w:tcPr>
          <w:p w:rsidR="006B323C" w:rsidRDefault="00BF56F2">
            <w:pPr>
              <w:jc w:val="center"/>
            </w:pPr>
            <w:r>
              <w:rPr>
                <w:i/>
                <w:iCs/>
              </w:rPr>
              <w:t>17"</w:t>
            </w:r>
          </w:p>
        </w:tc>
        <w:tc>
          <w:tcPr>
            <w:tcW w:w="0" w:type="auto"/>
            <w:vAlign w:val="center"/>
            <w:hideMark/>
          </w:tcPr>
          <w:p w:rsidR="006B323C" w:rsidRDefault="00BF56F2">
            <w:pPr>
              <w:jc w:val="center"/>
            </w:pPr>
            <w:r>
              <w:t>38</w:t>
            </w:r>
          </w:p>
        </w:tc>
        <w:tc>
          <w:tcPr>
            <w:tcW w:w="0" w:type="auto"/>
            <w:vAlign w:val="center"/>
            <w:hideMark/>
          </w:tcPr>
          <w:p w:rsidR="006B323C" w:rsidRDefault="00BF56F2">
            <w:pPr>
              <w:jc w:val="center"/>
            </w:pPr>
            <w:r>
              <w:rPr>
                <w:i/>
                <w:iCs/>
              </w:rPr>
              <w:t>17"</w:t>
            </w:r>
          </w:p>
        </w:tc>
        <w:tc>
          <w:tcPr>
            <w:tcW w:w="0" w:type="auto"/>
            <w:vAlign w:val="center"/>
            <w:hideMark/>
          </w:tcPr>
          <w:p w:rsidR="006B323C" w:rsidRDefault="00BF56F2">
            <w:pPr>
              <w:jc w:val="center"/>
            </w:pPr>
            <w:r>
              <w:t>20</w:t>
            </w:r>
          </w:p>
        </w:tc>
        <w:tc>
          <w:tcPr>
            <w:tcW w:w="0" w:type="auto"/>
            <w:vAlign w:val="center"/>
            <w:hideMark/>
          </w:tcPr>
          <w:p w:rsidR="006B323C" w:rsidRDefault="00BF56F2">
            <w:pPr>
              <w:jc w:val="center"/>
            </w:pPr>
            <w:r>
              <w:rPr>
                <w:i/>
                <w:iCs/>
              </w:rPr>
              <w:t>17"</w:t>
            </w:r>
          </w:p>
        </w:tc>
        <w:tc>
          <w:tcPr>
            <w:tcW w:w="0" w:type="auto"/>
            <w:vAlign w:val="center"/>
            <w:hideMark/>
          </w:tcPr>
          <w:p w:rsidR="006B323C" w:rsidRDefault="00BF56F2">
            <w:pPr>
              <w:jc w:val="center"/>
            </w:pPr>
            <w:r>
              <w:t>27</w:t>
            </w:r>
          </w:p>
        </w:tc>
        <w:tc>
          <w:tcPr>
            <w:tcW w:w="0" w:type="auto"/>
            <w:vAlign w:val="center"/>
            <w:hideMark/>
          </w:tcPr>
          <w:p w:rsidR="006B323C" w:rsidRDefault="00BF56F2">
            <w:pPr>
              <w:jc w:val="center"/>
            </w:pPr>
            <w:r>
              <w:rPr>
                <w:i/>
                <w:iCs/>
              </w:rPr>
              <w:t>17"</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3"/>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3"/>
            <w:vMerge/>
            <w:vAlign w:val="center"/>
            <w:hideMark/>
          </w:tcPr>
          <w:p w:rsidR="006B323C" w:rsidRDefault="006B323C"/>
        </w:tc>
        <w:tc>
          <w:tcPr>
            <w:tcW w:w="0" w:type="auto"/>
            <w:gridSpan w:val="5"/>
            <w:vMerge w:val="restart"/>
            <w:vAlign w:val="center"/>
            <w:hideMark/>
          </w:tcPr>
          <w:p w:rsidR="006B323C" w:rsidRDefault="00BF56F2">
            <w:r>
              <w:br/>
            </w:r>
            <w:r w:rsidR="00B84A30">
              <w:rPr>
                <w:noProof/>
              </w:rPr>
              <w:pict>
                <v:shape id="_x0000_i1057" type="#_x0000_t75" style="width:318pt;height:111.75pt">
                  <v:imagedata r:id="rId6" o:title=""/>
                </v:shape>
              </w:pic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3"/>
            <w:vMerge/>
            <w:vAlign w:val="center"/>
            <w:hideMark/>
          </w:tcPr>
          <w:p w:rsidR="006B323C" w:rsidRDefault="006B323C"/>
        </w:tc>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3"/>
            <w:vMerge/>
            <w:vAlign w:val="center"/>
            <w:hideMark/>
          </w:tcPr>
          <w:p w:rsidR="006B323C" w:rsidRDefault="006B323C"/>
        </w:tc>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3"/>
            <w:vMerge/>
            <w:vAlign w:val="center"/>
            <w:hideMark/>
          </w:tcPr>
          <w:p w:rsidR="006B323C" w:rsidRDefault="006B323C"/>
        </w:tc>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3"/>
            <w:vMerge/>
            <w:vAlign w:val="center"/>
            <w:hideMark/>
          </w:tcPr>
          <w:p w:rsidR="006B323C" w:rsidRDefault="006B323C"/>
        </w:tc>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restart"/>
            <w:vAlign w:val="center"/>
            <w:hideMark/>
          </w:tcPr>
          <w:p w:rsidR="006B323C" w:rsidRDefault="00BF56F2">
            <w:r>
              <w:br/>
            </w:r>
            <w:r w:rsidR="00B84A30">
              <w:rPr>
                <w:noProof/>
              </w:rPr>
              <w:pict>
                <v:shape id="_x0000_i1060" type="#_x0000_t75" style="width:289.5pt;height:111.75pt">
                  <v:imagedata r:id="rId7" o:title=""/>
                </v:shape>
              </w:pic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3"/>
            <w:vMerge/>
            <w:vAlign w:val="center"/>
            <w:hideMark/>
          </w:tcPr>
          <w:p w:rsidR="006B323C" w:rsidRDefault="006B323C"/>
        </w:tc>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restart"/>
            <w:vAlign w:val="center"/>
            <w:hideMark/>
          </w:tcPr>
          <w:p w:rsidR="006B323C" w:rsidRDefault="00BF56F2">
            <w:r>
              <w:br/>
            </w:r>
            <w:r w:rsidR="00B84A30">
              <w:rPr>
                <w:noProof/>
              </w:rPr>
              <w:pict>
                <v:shape id="_x0000_i1063" type="#_x0000_t75" style="width:314.25pt;height:255.75pt">
                  <v:imagedata r:id="rId8" o:title=""/>
                </v:shape>
              </w:pic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gridSpan w:val="5"/>
            <w:vMerge w:val="restart"/>
            <w:vAlign w:val="center"/>
            <w:hideMark/>
          </w:tcPr>
          <w:p w:rsidR="006B323C" w:rsidRDefault="00BF56F2">
            <w:r>
              <w:br/>
            </w:r>
            <w:r w:rsidR="00B84A30">
              <w:rPr>
                <w:noProof/>
              </w:rPr>
              <w:pict>
                <v:shape id="_x0000_i1066" type="#_x0000_t75" style="width:5in;height:241.5pt">
                  <v:imagedata r:id="rId9" o:title=""/>
                </v:shape>
              </w:pict>
            </w:r>
          </w:p>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r>
              <w:t>Дисководы</w:t>
            </w:r>
          </w:p>
        </w:tc>
        <w:tc>
          <w:tcPr>
            <w:tcW w:w="0" w:type="auto"/>
            <w:vAlign w:val="center"/>
            <w:hideMark/>
          </w:tcPr>
          <w:p w:rsidR="006B323C" w:rsidRDefault="00BF56F2">
            <w:pPr>
              <w:jc w:val="right"/>
            </w:pPr>
            <w:r>
              <w:t>24</w:t>
            </w:r>
          </w:p>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r>
              <w:t>Клавиатуры</w:t>
            </w:r>
          </w:p>
        </w:tc>
        <w:tc>
          <w:tcPr>
            <w:tcW w:w="0" w:type="auto"/>
            <w:vAlign w:val="center"/>
            <w:hideMark/>
          </w:tcPr>
          <w:p w:rsidR="006B323C" w:rsidRDefault="00BF56F2">
            <w:pPr>
              <w:jc w:val="right"/>
            </w:pPr>
            <w:r>
              <w:t>7</w:t>
            </w:r>
          </w:p>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r>
              <w:t>Сканеры</w:t>
            </w:r>
          </w:p>
        </w:tc>
        <w:tc>
          <w:tcPr>
            <w:tcW w:w="0" w:type="auto"/>
            <w:vAlign w:val="center"/>
            <w:hideMark/>
          </w:tcPr>
          <w:p w:rsidR="006B323C" w:rsidRDefault="00BF56F2">
            <w:pPr>
              <w:jc w:val="right"/>
            </w:pPr>
            <w:r>
              <w:t>7</w:t>
            </w:r>
          </w:p>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r>
              <w:t>Мыши</w:t>
            </w:r>
          </w:p>
        </w:tc>
        <w:tc>
          <w:tcPr>
            <w:tcW w:w="0" w:type="auto"/>
            <w:vAlign w:val="center"/>
            <w:hideMark/>
          </w:tcPr>
          <w:p w:rsidR="006B323C" w:rsidRDefault="00BF56F2">
            <w:pPr>
              <w:jc w:val="right"/>
            </w:pPr>
            <w:r>
              <w:t>4</w:t>
            </w:r>
          </w:p>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r>
              <w:t>Мониторы</w:t>
            </w:r>
          </w:p>
        </w:tc>
        <w:tc>
          <w:tcPr>
            <w:tcW w:w="0" w:type="auto"/>
            <w:vAlign w:val="center"/>
            <w:hideMark/>
          </w:tcPr>
          <w:p w:rsidR="006B323C" w:rsidRDefault="00BF56F2">
            <w:pPr>
              <w:jc w:val="right"/>
            </w:pPr>
            <w:r>
              <w:t>32</w:t>
            </w:r>
          </w:p>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r>
              <w:t>Модемы</w:t>
            </w:r>
          </w:p>
        </w:tc>
        <w:tc>
          <w:tcPr>
            <w:tcW w:w="0" w:type="auto"/>
            <w:vAlign w:val="center"/>
            <w:hideMark/>
          </w:tcPr>
          <w:p w:rsidR="006B323C" w:rsidRDefault="00BF56F2">
            <w:pPr>
              <w:jc w:val="right"/>
            </w:pPr>
            <w:r>
              <w:t>26</w:t>
            </w:r>
          </w:p>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restart"/>
            <w:vAlign w:val="center"/>
            <w:hideMark/>
          </w:tcPr>
          <w:p w:rsidR="006B323C" w:rsidRDefault="00BF56F2">
            <w:r>
              <w:br/>
            </w:r>
            <w:r w:rsidR="00B84A30">
              <w:rPr>
                <w:noProof/>
              </w:rPr>
              <w:pict>
                <v:shape id="_x0000_i1069" type="#_x0000_t75" style="width:299.25pt;height:196.5pt">
                  <v:imagedata r:id="rId10" o:title=""/>
                </v:shape>
              </w:pic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gridSpan w:val="6"/>
            <w:vMerge w:val="restart"/>
            <w:vAlign w:val="center"/>
            <w:hideMark/>
          </w:tcPr>
          <w:p w:rsidR="006B323C" w:rsidRDefault="00BF56F2">
            <w:r>
              <w:br/>
            </w:r>
            <w:r w:rsidR="00B84A30">
              <w:rPr>
                <w:noProof/>
              </w:rPr>
              <w:pict>
                <v:shape id="_x0000_i1072" type="#_x0000_t75" style="width:342pt;height:132pt">
                  <v:imagedata r:id="rId11" o:title=""/>
                </v:shape>
              </w:pic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Merge w:val="restart"/>
            <w:vAlign w:val="center"/>
            <w:hideMark/>
          </w:tcPr>
          <w:p w:rsidR="006B323C" w:rsidRDefault="00BF56F2">
            <w:r>
              <w:br/>
            </w:r>
            <w:r w:rsidR="00B84A30">
              <w:rPr>
                <w:noProof/>
              </w:rPr>
              <w:pict>
                <v:shape id="_x0000_i1075" type="#_x0000_t75" style="width:326.25pt;height:162pt">
                  <v:imagedata r:id="rId12" o:title=""/>
                </v:shape>
              </w:pict>
            </w:r>
          </w:p>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Merge w:val="restart"/>
            <w:vAlign w:val="center"/>
            <w:hideMark/>
          </w:tcPr>
          <w:p w:rsidR="006B323C" w:rsidRDefault="00BF56F2">
            <w:r>
              <w:br/>
            </w:r>
            <w:r w:rsidR="00B84A30">
              <w:rPr>
                <w:noProof/>
              </w:rPr>
              <w:pict>
                <v:shape id="_x0000_i1078" type="#_x0000_t75" style="width:374.25pt;height:180pt">
                  <v:imagedata r:id="rId13" o:title=""/>
                </v:shape>
              </w:pict>
            </w:r>
          </w:p>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Merge/>
            <w:vAlign w:val="center"/>
            <w:hideMark/>
          </w:tcPr>
          <w:p w:rsidR="006B323C" w:rsidRDefault="006B323C"/>
        </w:tc>
        <w:tc>
          <w:tcPr>
            <w:tcW w:w="0" w:type="auto"/>
            <w:gridSpan w:val="4"/>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Merge/>
            <w:vAlign w:val="center"/>
            <w:hideMark/>
          </w:tcPr>
          <w:p w:rsidR="006B323C" w:rsidRDefault="006B323C"/>
        </w:tc>
        <w:tc>
          <w:tcPr>
            <w:tcW w:w="0" w:type="auto"/>
            <w:gridSpan w:val="4"/>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Merge/>
            <w:vAlign w:val="center"/>
            <w:hideMark/>
          </w:tcPr>
          <w:p w:rsidR="006B323C" w:rsidRDefault="006B323C"/>
        </w:tc>
        <w:tc>
          <w:tcPr>
            <w:tcW w:w="0" w:type="auto"/>
            <w:gridSpan w:val="4"/>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5"/>
            <w:vMerge/>
            <w:vAlign w:val="center"/>
            <w:hideMark/>
          </w:tcPr>
          <w:p w:rsidR="006B323C" w:rsidRDefault="006B323C"/>
        </w:tc>
        <w:tc>
          <w:tcPr>
            <w:tcW w:w="0" w:type="auto"/>
            <w:vAlign w:val="center"/>
            <w:hideMark/>
          </w:tcPr>
          <w:p w:rsidR="006B323C" w:rsidRDefault="00BF56F2">
            <w:r>
              <w:br/>
            </w:r>
            <w:r w:rsidR="00B84A30">
              <w:rPr>
                <w:noProof/>
              </w:rPr>
              <w:pict>
                <v:shape id="_x0000_i1081" type="#_x0000_t75" style="width:.75pt;height:2.25pt">
                  <v:imagedata r:id="rId14" o:title=""/>
                </v:shape>
              </w:pic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Merge w:val="restart"/>
            <w:vAlign w:val="center"/>
            <w:hideMark/>
          </w:tcPr>
          <w:p w:rsidR="006B323C" w:rsidRDefault="00BF56F2">
            <w:r>
              <w:br/>
            </w:r>
            <w:r w:rsidR="00B84A30">
              <w:rPr>
                <w:noProof/>
              </w:rPr>
              <w:pict>
                <v:shape id="_x0000_i1084" type="#_x0000_t75" style="width:330.75pt;height:222.75pt">
                  <v:imagedata r:id="rId15" o:title=""/>
                </v:shape>
              </w:pict>
            </w:r>
          </w:p>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pPr>
              <w:jc w:val="right"/>
            </w:pPr>
            <w:r>
              <w:t>0</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pPr>
              <w:jc w:val="right"/>
            </w:pPr>
            <w:r>
              <w:t>1995</w:t>
            </w:r>
          </w:p>
        </w:tc>
        <w:tc>
          <w:tcPr>
            <w:tcW w:w="0" w:type="auto"/>
            <w:vAlign w:val="center"/>
            <w:hideMark/>
          </w:tcPr>
          <w:p w:rsidR="006B323C" w:rsidRDefault="00BF56F2">
            <w:pPr>
              <w:jc w:val="right"/>
            </w:pPr>
            <w:r>
              <w:t>260</w:t>
            </w:r>
          </w:p>
        </w:tc>
        <w:tc>
          <w:tcPr>
            <w:tcW w:w="0" w:type="auto"/>
            <w:vAlign w:val="center"/>
            <w:hideMark/>
          </w:tcPr>
          <w:p w:rsidR="006B323C" w:rsidRDefault="00BF56F2">
            <w:pPr>
              <w:jc w:val="right"/>
            </w:pPr>
            <w:r>
              <w:t>350</w:t>
            </w:r>
          </w:p>
        </w:tc>
        <w:tc>
          <w:tcPr>
            <w:tcW w:w="0" w:type="auto"/>
            <w:vAlign w:val="center"/>
            <w:hideMark/>
          </w:tcPr>
          <w:p w:rsidR="006B323C" w:rsidRDefault="00BF56F2">
            <w:pPr>
              <w:jc w:val="right"/>
            </w:pPr>
            <w:r>
              <w:t>1995</w:t>
            </w:r>
          </w:p>
        </w:tc>
        <w:tc>
          <w:tcPr>
            <w:tcW w:w="0" w:type="auto"/>
            <w:vAlign w:val="center"/>
            <w:hideMark/>
          </w:tcPr>
          <w:p w:rsidR="006B323C" w:rsidRDefault="00BF56F2">
            <w:pPr>
              <w:jc w:val="right"/>
            </w:pPr>
            <w:r>
              <w:t>520</w:t>
            </w:r>
          </w:p>
        </w:tc>
        <w:tc>
          <w:tcPr>
            <w:tcW w:w="0" w:type="auto"/>
            <w:vAlign w:val="center"/>
            <w:hideMark/>
          </w:tcPr>
          <w:p w:rsidR="006B323C" w:rsidRDefault="00BF56F2">
            <w:pPr>
              <w:jc w:val="right"/>
            </w:pPr>
            <w:r>
              <w:t>750</w:t>
            </w:r>
          </w:p>
        </w:tc>
        <w:tc>
          <w:tcPr>
            <w:tcW w:w="0" w:type="auto"/>
            <w:vAlign w:val="center"/>
            <w:hideMark/>
          </w:tcPr>
          <w:p w:rsidR="006B323C" w:rsidRDefault="00BF56F2">
            <w:pPr>
              <w:jc w:val="right"/>
            </w:pPr>
            <w:r>
              <w:t>1995</w:t>
            </w:r>
          </w:p>
        </w:tc>
        <w:tc>
          <w:tcPr>
            <w:tcW w:w="0" w:type="auto"/>
            <w:vAlign w:val="center"/>
            <w:hideMark/>
          </w:tcPr>
          <w:p w:rsidR="006B323C" w:rsidRDefault="00BF56F2">
            <w:pPr>
              <w:jc w:val="right"/>
            </w:pPr>
            <w:r>
              <w:t>1200</w:t>
            </w:r>
          </w:p>
        </w:tc>
        <w:tc>
          <w:tcPr>
            <w:tcW w:w="0" w:type="auto"/>
            <w:vAlign w:val="center"/>
            <w:hideMark/>
          </w:tcPr>
          <w:p w:rsidR="006B323C" w:rsidRDefault="00BF56F2">
            <w:pPr>
              <w:jc w:val="right"/>
            </w:pPr>
            <w:r>
              <w:t>2200</w:t>
            </w:r>
          </w:p>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pPr>
              <w:jc w:val="right"/>
            </w:pPr>
            <w:r>
              <w:t>1996</w:t>
            </w:r>
          </w:p>
        </w:tc>
        <w:tc>
          <w:tcPr>
            <w:tcW w:w="0" w:type="auto"/>
            <w:vAlign w:val="center"/>
            <w:hideMark/>
          </w:tcPr>
          <w:p w:rsidR="006B323C" w:rsidRDefault="00BF56F2">
            <w:pPr>
              <w:jc w:val="right"/>
            </w:pPr>
            <w:r>
              <w:t>230</w:t>
            </w:r>
          </w:p>
        </w:tc>
        <w:tc>
          <w:tcPr>
            <w:tcW w:w="0" w:type="auto"/>
            <w:vAlign w:val="center"/>
            <w:hideMark/>
          </w:tcPr>
          <w:p w:rsidR="006B323C" w:rsidRDefault="00BF56F2">
            <w:pPr>
              <w:jc w:val="right"/>
            </w:pPr>
            <w:r>
              <w:t>290</w:t>
            </w:r>
          </w:p>
        </w:tc>
        <w:tc>
          <w:tcPr>
            <w:tcW w:w="0" w:type="auto"/>
            <w:vAlign w:val="center"/>
            <w:hideMark/>
          </w:tcPr>
          <w:p w:rsidR="006B323C" w:rsidRDefault="00BF56F2">
            <w:pPr>
              <w:jc w:val="right"/>
            </w:pPr>
            <w:r>
              <w:t>1996</w:t>
            </w:r>
          </w:p>
        </w:tc>
        <w:tc>
          <w:tcPr>
            <w:tcW w:w="0" w:type="auto"/>
            <w:vAlign w:val="center"/>
            <w:hideMark/>
          </w:tcPr>
          <w:p w:rsidR="006B323C" w:rsidRDefault="00BF56F2">
            <w:pPr>
              <w:jc w:val="right"/>
            </w:pPr>
            <w:r>
              <w:t>495</w:t>
            </w:r>
          </w:p>
        </w:tc>
        <w:tc>
          <w:tcPr>
            <w:tcW w:w="0" w:type="auto"/>
            <w:vAlign w:val="center"/>
            <w:hideMark/>
          </w:tcPr>
          <w:p w:rsidR="006B323C" w:rsidRDefault="00BF56F2">
            <w:pPr>
              <w:jc w:val="right"/>
            </w:pPr>
            <w:r>
              <w:t>600</w:t>
            </w:r>
          </w:p>
        </w:tc>
        <w:tc>
          <w:tcPr>
            <w:tcW w:w="0" w:type="auto"/>
            <w:vAlign w:val="center"/>
            <w:hideMark/>
          </w:tcPr>
          <w:p w:rsidR="006B323C" w:rsidRDefault="00BF56F2">
            <w:pPr>
              <w:jc w:val="right"/>
            </w:pPr>
            <w:r>
              <w:t>1996</w:t>
            </w:r>
          </w:p>
        </w:tc>
        <w:tc>
          <w:tcPr>
            <w:tcW w:w="0" w:type="auto"/>
            <w:vAlign w:val="center"/>
            <w:hideMark/>
          </w:tcPr>
          <w:p w:rsidR="006B323C" w:rsidRDefault="00BF56F2">
            <w:pPr>
              <w:jc w:val="right"/>
            </w:pPr>
            <w:r>
              <w:t>990</w:t>
            </w:r>
          </w:p>
        </w:tc>
        <w:tc>
          <w:tcPr>
            <w:tcW w:w="0" w:type="auto"/>
            <w:vAlign w:val="center"/>
            <w:hideMark/>
          </w:tcPr>
          <w:p w:rsidR="006B323C" w:rsidRDefault="00BF56F2">
            <w:pPr>
              <w:jc w:val="right"/>
            </w:pPr>
            <w:r>
              <w:t>1700</w:t>
            </w:r>
          </w:p>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pPr>
              <w:jc w:val="right"/>
            </w:pPr>
            <w:r>
              <w:t>1997</w:t>
            </w:r>
          </w:p>
        </w:tc>
        <w:tc>
          <w:tcPr>
            <w:tcW w:w="0" w:type="auto"/>
            <w:vAlign w:val="center"/>
            <w:hideMark/>
          </w:tcPr>
          <w:p w:rsidR="006B323C" w:rsidRDefault="00BF56F2">
            <w:pPr>
              <w:jc w:val="right"/>
            </w:pPr>
            <w:r>
              <w:t>156</w:t>
            </w:r>
          </w:p>
        </w:tc>
        <w:tc>
          <w:tcPr>
            <w:tcW w:w="0" w:type="auto"/>
            <w:vAlign w:val="center"/>
            <w:hideMark/>
          </w:tcPr>
          <w:p w:rsidR="006B323C" w:rsidRDefault="00BF56F2">
            <w:pPr>
              <w:jc w:val="right"/>
            </w:pPr>
            <w:r>
              <w:t>200</w:t>
            </w:r>
          </w:p>
        </w:tc>
        <w:tc>
          <w:tcPr>
            <w:tcW w:w="0" w:type="auto"/>
            <w:vAlign w:val="center"/>
            <w:hideMark/>
          </w:tcPr>
          <w:p w:rsidR="006B323C" w:rsidRDefault="00BF56F2">
            <w:pPr>
              <w:jc w:val="right"/>
            </w:pPr>
            <w:r>
              <w:t>1997</w:t>
            </w:r>
          </w:p>
        </w:tc>
        <w:tc>
          <w:tcPr>
            <w:tcW w:w="0" w:type="auto"/>
            <w:vAlign w:val="center"/>
            <w:hideMark/>
          </w:tcPr>
          <w:p w:rsidR="006B323C" w:rsidRDefault="00BF56F2">
            <w:pPr>
              <w:jc w:val="right"/>
            </w:pPr>
            <w:r>
              <w:t>268</w:t>
            </w:r>
          </w:p>
        </w:tc>
        <w:tc>
          <w:tcPr>
            <w:tcW w:w="0" w:type="auto"/>
            <w:vAlign w:val="center"/>
            <w:hideMark/>
          </w:tcPr>
          <w:p w:rsidR="006B323C" w:rsidRDefault="00BF56F2">
            <w:pPr>
              <w:jc w:val="right"/>
            </w:pPr>
            <w:r>
              <w:t>473</w:t>
            </w:r>
          </w:p>
        </w:tc>
        <w:tc>
          <w:tcPr>
            <w:tcW w:w="0" w:type="auto"/>
            <w:vAlign w:val="center"/>
            <w:hideMark/>
          </w:tcPr>
          <w:p w:rsidR="006B323C" w:rsidRDefault="00BF56F2">
            <w:pPr>
              <w:jc w:val="right"/>
            </w:pPr>
            <w:r>
              <w:t>1997</w:t>
            </w:r>
          </w:p>
        </w:tc>
        <w:tc>
          <w:tcPr>
            <w:tcW w:w="0" w:type="auto"/>
            <w:vAlign w:val="center"/>
            <w:hideMark/>
          </w:tcPr>
          <w:p w:rsidR="006B323C" w:rsidRDefault="00BF56F2">
            <w:pPr>
              <w:jc w:val="right"/>
            </w:pPr>
            <w:r>
              <w:t>604</w:t>
            </w:r>
          </w:p>
        </w:tc>
        <w:tc>
          <w:tcPr>
            <w:tcW w:w="0" w:type="auto"/>
            <w:vAlign w:val="center"/>
            <w:hideMark/>
          </w:tcPr>
          <w:p w:rsidR="006B323C" w:rsidRDefault="00BF56F2">
            <w:pPr>
              <w:jc w:val="right"/>
            </w:pPr>
            <w:r>
              <w:t>1014</w:t>
            </w:r>
          </w:p>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BF56F2">
            <w:pPr>
              <w:jc w:val="right"/>
            </w:pPr>
            <w:r>
              <w:t>1998</w:t>
            </w:r>
          </w:p>
        </w:tc>
        <w:tc>
          <w:tcPr>
            <w:tcW w:w="0" w:type="auto"/>
            <w:vAlign w:val="center"/>
            <w:hideMark/>
          </w:tcPr>
          <w:p w:rsidR="006B323C" w:rsidRDefault="00BF56F2">
            <w:pPr>
              <w:jc w:val="right"/>
            </w:pPr>
            <w:r>
              <w:t>111.3</w:t>
            </w:r>
          </w:p>
        </w:tc>
        <w:tc>
          <w:tcPr>
            <w:tcW w:w="0" w:type="auto"/>
            <w:vAlign w:val="center"/>
            <w:hideMark/>
          </w:tcPr>
          <w:p w:rsidR="006B323C" w:rsidRDefault="00BF56F2">
            <w:pPr>
              <w:jc w:val="right"/>
            </w:pPr>
            <w:r>
              <w:t>130</w:t>
            </w:r>
          </w:p>
        </w:tc>
        <w:tc>
          <w:tcPr>
            <w:tcW w:w="0" w:type="auto"/>
            <w:vAlign w:val="center"/>
            <w:hideMark/>
          </w:tcPr>
          <w:p w:rsidR="006B323C" w:rsidRDefault="00BF56F2">
            <w:pPr>
              <w:jc w:val="right"/>
            </w:pPr>
            <w:r>
              <w:t>1998</w:t>
            </w:r>
          </w:p>
        </w:tc>
        <w:tc>
          <w:tcPr>
            <w:tcW w:w="0" w:type="auto"/>
            <w:vAlign w:val="center"/>
            <w:hideMark/>
          </w:tcPr>
          <w:p w:rsidR="006B323C" w:rsidRDefault="00BF56F2">
            <w:pPr>
              <w:jc w:val="right"/>
            </w:pPr>
            <w:r>
              <w:t>175.6</w:t>
            </w:r>
          </w:p>
        </w:tc>
        <w:tc>
          <w:tcPr>
            <w:tcW w:w="0" w:type="auto"/>
            <w:vAlign w:val="center"/>
            <w:hideMark/>
          </w:tcPr>
          <w:p w:rsidR="006B323C" w:rsidRDefault="00BF56F2">
            <w:pPr>
              <w:jc w:val="right"/>
            </w:pPr>
            <w:r>
              <w:t>350</w:t>
            </w:r>
          </w:p>
        </w:tc>
        <w:tc>
          <w:tcPr>
            <w:tcW w:w="0" w:type="auto"/>
            <w:vAlign w:val="center"/>
            <w:hideMark/>
          </w:tcPr>
          <w:p w:rsidR="006B323C" w:rsidRDefault="00BF56F2">
            <w:pPr>
              <w:jc w:val="right"/>
            </w:pPr>
            <w:r>
              <w:t>1998</w:t>
            </w:r>
          </w:p>
        </w:tc>
        <w:tc>
          <w:tcPr>
            <w:tcW w:w="0" w:type="auto"/>
            <w:vAlign w:val="center"/>
            <w:hideMark/>
          </w:tcPr>
          <w:p w:rsidR="006B323C" w:rsidRDefault="00BF56F2">
            <w:pPr>
              <w:jc w:val="right"/>
            </w:pPr>
            <w:r>
              <w:t>336</w:t>
            </w:r>
          </w:p>
        </w:tc>
        <w:tc>
          <w:tcPr>
            <w:tcW w:w="0" w:type="auto"/>
            <w:vAlign w:val="center"/>
            <w:hideMark/>
          </w:tcPr>
          <w:p w:rsidR="006B323C" w:rsidRDefault="00BF56F2">
            <w:pPr>
              <w:jc w:val="right"/>
            </w:pPr>
            <w:r>
              <w:t>850</w:t>
            </w:r>
          </w:p>
        </w:tc>
        <w:tc>
          <w:tcPr>
            <w:tcW w:w="0" w:type="auto"/>
            <w:vAlign w:val="center"/>
            <w:hideMark/>
          </w:tcPr>
          <w:p w:rsidR="006B323C" w:rsidRDefault="006B323C"/>
        </w:tc>
        <w:tc>
          <w:tcPr>
            <w:tcW w:w="0" w:type="auto"/>
            <w:gridSpan w:val="7"/>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pPr>
              <w:jc w:val="right"/>
            </w:pPr>
            <w:r>
              <w:t>1995</w:t>
            </w:r>
          </w:p>
        </w:tc>
        <w:tc>
          <w:tcPr>
            <w:tcW w:w="0" w:type="auto"/>
            <w:vAlign w:val="center"/>
            <w:hideMark/>
          </w:tcPr>
          <w:p w:rsidR="006B323C" w:rsidRDefault="00BF56F2">
            <w:pPr>
              <w:jc w:val="right"/>
            </w:pPr>
            <w:r>
              <w:t>90</w:t>
            </w:r>
          </w:p>
        </w:tc>
        <w:tc>
          <w:tcPr>
            <w:tcW w:w="0" w:type="auto"/>
            <w:vAlign w:val="center"/>
            <w:hideMark/>
          </w:tcPr>
          <w:p w:rsidR="006B323C" w:rsidRDefault="00BF56F2">
            <w:pPr>
              <w:jc w:val="right"/>
            </w:pPr>
            <w:r>
              <w:t>1995</w:t>
            </w:r>
          </w:p>
        </w:tc>
        <w:tc>
          <w:tcPr>
            <w:tcW w:w="0" w:type="auto"/>
            <w:vAlign w:val="center"/>
            <w:hideMark/>
          </w:tcPr>
          <w:p w:rsidR="006B323C" w:rsidRDefault="00BF56F2">
            <w:pPr>
              <w:jc w:val="right"/>
            </w:pPr>
            <w:r>
              <w:t>9.8</w:t>
            </w:r>
          </w:p>
        </w:tc>
        <w:tc>
          <w:tcPr>
            <w:tcW w:w="0" w:type="auto"/>
            <w:vAlign w:val="center"/>
            <w:hideMark/>
          </w:tcPr>
          <w:p w:rsidR="006B323C" w:rsidRDefault="00BF56F2">
            <w:pPr>
              <w:jc w:val="right"/>
            </w:pPr>
            <w:r>
              <w:t>1995</w:t>
            </w:r>
          </w:p>
        </w:tc>
        <w:tc>
          <w:tcPr>
            <w:tcW w:w="0" w:type="auto"/>
            <w:vAlign w:val="center"/>
            <w:hideMark/>
          </w:tcPr>
          <w:p w:rsidR="006B323C" w:rsidRDefault="00BF56F2">
            <w:pPr>
              <w:jc w:val="right"/>
            </w:pPr>
            <w:r>
              <w:t>0.2</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pPr>
              <w:jc w:val="right"/>
            </w:pPr>
            <w:r>
              <w:t>1996</w:t>
            </w:r>
          </w:p>
        </w:tc>
        <w:tc>
          <w:tcPr>
            <w:tcW w:w="0" w:type="auto"/>
            <w:vAlign w:val="center"/>
            <w:hideMark/>
          </w:tcPr>
          <w:p w:rsidR="006B323C" w:rsidRDefault="00BF56F2">
            <w:pPr>
              <w:jc w:val="right"/>
            </w:pPr>
            <w:r>
              <w:t>70</w:t>
            </w:r>
          </w:p>
        </w:tc>
        <w:tc>
          <w:tcPr>
            <w:tcW w:w="0" w:type="auto"/>
            <w:vAlign w:val="center"/>
            <w:hideMark/>
          </w:tcPr>
          <w:p w:rsidR="006B323C" w:rsidRDefault="00BF56F2">
            <w:pPr>
              <w:jc w:val="right"/>
            </w:pPr>
            <w:r>
              <w:t>1996</w:t>
            </w:r>
          </w:p>
        </w:tc>
        <w:tc>
          <w:tcPr>
            <w:tcW w:w="0" w:type="auto"/>
            <w:vAlign w:val="center"/>
            <w:hideMark/>
          </w:tcPr>
          <w:p w:rsidR="006B323C" w:rsidRDefault="00BF56F2">
            <w:pPr>
              <w:jc w:val="right"/>
            </w:pPr>
            <w:r>
              <w:t>29</w:t>
            </w:r>
          </w:p>
        </w:tc>
        <w:tc>
          <w:tcPr>
            <w:tcW w:w="0" w:type="auto"/>
            <w:vAlign w:val="center"/>
            <w:hideMark/>
          </w:tcPr>
          <w:p w:rsidR="006B323C" w:rsidRDefault="00BF56F2">
            <w:pPr>
              <w:jc w:val="right"/>
            </w:pPr>
            <w:r>
              <w:t>1996</w:t>
            </w:r>
          </w:p>
        </w:tc>
        <w:tc>
          <w:tcPr>
            <w:tcW w:w="0" w:type="auto"/>
            <w:vAlign w:val="center"/>
            <w:hideMark/>
          </w:tcPr>
          <w:p w:rsidR="006B323C" w:rsidRDefault="00BF56F2">
            <w:pPr>
              <w:jc w:val="right"/>
            </w:pPr>
            <w:r>
              <w:t>1</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6"/>
            <w:vMerge w:val="restart"/>
            <w:vAlign w:val="center"/>
            <w:hideMark/>
          </w:tcPr>
          <w:p w:rsidR="006B323C" w:rsidRDefault="00BF56F2">
            <w:r>
              <w:br/>
            </w:r>
            <w:r w:rsidR="00B84A30">
              <w:rPr>
                <w:noProof/>
              </w:rPr>
              <w:pict>
                <v:shape id="_x0000_i1087" type="#_x0000_t75" style="width:384pt;height:205.5pt">
                  <v:imagedata r:id="rId16" o:title=""/>
                </v:shape>
              </w:pict>
            </w:r>
          </w:p>
        </w:tc>
        <w:tc>
          <w:tcPr>
            <w:tcW w:w="0" w:type="auto"/>
            <w:vAlign w:val="center"/>
            <w:hideMark/>
          </w:tcPr>
          <w:p w:rsidR="006B323C" w:rsidRDefault="00BF56F2">
            <w:pPr>
              <w:jc w:val="right"/>
            </w:pPr>
            <w:r>
              <w:t>1997</w:t>
            </w:r>
          </w:p>
        </w:tc>
        <w:tc>
          <w:tcPr>
            <w:tcW w:w="0" w:type="auto"/>
            <w:vAlign w:val="center"/>
            <w:hideMark/>
          </w:tcPr>
          <w:p w:rsidR="006B323C" w:rsidRDefault="00BF56F2">
            <w:pPr>
              <w:jc w:val="right"/>
            </w:pPr>
            <w:r>
              <w:t>23</w:t>
            </w:r>
          </w:p>
        </w:tc>
        <w:tc>
          <w:tcPr>
            <w:tcW w:w="0" w:type="auto"/>
            <w:vAlign w:val="center"/>
            <w:hideMark/>
          </w:tcPr>
          <w:p w:rsidR="006B323C" w:rsidRDefault="00BF56F2">
            <w:pPr>
              <w:jc w:val="right"/>
            </w:pPr>
            <w:r>
              <w:t>1997</w:t>
            </w:r>
          </w:p>
        </w:tc>
        <w:tc>
          <w:tcPr>
            <w:tcW w:w="0" w:type="auto"/>
            <w:vAlign w:val="center"/>
            <w:hideMark/>
          </w:tcPr>
          <w:p w:rsidR="006B323C" w:rsidRDefault="00BF56F2">
            <w:pPr>
              <w:jc w:val="right"/>
            </w:pPr>
            <w:r>
              <w:t>67</w:t>
            </w:r>
          </w:p>
        </w:tc>
        <w:tc>
          <w:tcPr>
            <w:tcW w:w="0" w:type="auto"/>
            <w:vAlign w:val="center"/>
            <w:hideMark/>
          </w:tcPr>
          <w:p w:rsidR="006B323C" w:rsidRDefault="00BF56F2">
            <w:pPr>
              <w:jc w:val="right"/>
            </w:pPr>
            <w:r>
              <w:t>1997</w:t>
            </w:r>
          </w:p>
        </w:tc>
        <w:tc>
          <w:tcPr>
            <w:tcW w:w="0" w:type="auto"/>
            <w:vAlign w:val="center"/>
            <w:hideMark/>
          </w:tcPr>
          <w:p w:rsidR="006B323C" w:rsidRDefault="00BF56F2">
            <w:pPr>
              <w:jc w:val="right"/>
            </w:pPr>
            <w:r>
              <w:t>23</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6"/>
            <w:vMerge/>
            <w:vAlign w:val="center"/>
            <w:hideMark/>
          </w:tcPr>
          <w:p w:rsidR="006B323C" w:rsidRDefault="006B323C"/>
        </w:tc>
        <w:tc>
          <w:tcPr>
            <w:tcW w:w="0" w:type="auto"/>
            <w:vAlign w:val="center"/>
            <w:hideMark/>
          </w:tcPr>
          <w:p w:rsidR="006B323C" w:rsidRDefault="00BF56F2">
            <w:pPr>
              <w:jc w:val="right"/>
            </w:pPr>
            <w:r>
              <w:t>1998</w:t>
            </w:r>
          </w:p>
        </w:tc>
        <w:tc>
          <w:tcPr>
            <w:tcW w:w="0" w:type="auto"/>
            <w:vAlign w:val="center"/>
            <w:hideMark/>
          </w:tcPr>
          <w:p w:rsidR="006B323C" w:rsidRDefault="00BF56F2">
            <w:pPr>
              <w:jc w:val="right"/>
            </w:pPr>
            <w:r>
              <w:t>2</w:t>
            </w:r>
          </w:p>
        </w:tc>
        <w:tc>
          <w:tcPr>
            <w:tcW w:w="0" w:type="auto"/>
            <w:vAlign w:val="center"/>
            <w:hideMark/>
          </w:tcPr>
          <w:p w:rsidR="006B323C" w:rsidRDefault="00BF56F2">
            <w:pPr>
              <w:jc w:val="right"/>
            </w:pPr>
            <w:r>
              <w:t>1998</w:t>
            </w:r>
          </w:p>
        </w:tc>
        <w:tc>
          <w:tcPr>
            <w:tcW w:w="0" w:type="auto"/>
            <w:vAlign w:val="center"/>
            <w:hideMark/>
          </w:tcPr>
          <w:p w:rsidR="006B323C" w:rsidRDefault="00BF56F2">
            <w:pPr>
              <w:jc w:val="right"/>
            </w:pPr>
            <w:r>
              <w:t>70</w:t>
            </w:r>
          </w:p>
        </w:tc>
        <w:tc>
          <w:tcPr>
            <w:tcW w:w="0" w:type="auto"/>
            <w:vAlign w:val="center"/>
            <w:hideMark/>
          </w:tcPr>
          <w:p w:rsidR="006B323C" w:rsidRDefault="00BF56F2">
            <w:pPr>
              <w:jc w:val="right"/>
            </w:pPr>
            <w:r>
              <w:t>1998</w:t>
            </w:r>
          </w:p>
        </w:tc>
        <w:tc>
          <w:tcPr>
            <w:tcW w:w="0" w:type="auto"/>
            <w:vAlign w:val="center"/>
            <w:hideMark/>
          </w:tcPr>
          <w:p w:rsidR="006B323C" w:rsidRDefault="00BF56F2">
            <w:pPr>
              <w:jc w:val="right"/>
            </w:pPr>
            <w:r>
              <w:t>28</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pPr>
              <w:jc w:val="right"/>
            </w:pPr>
            <w:r>
              <w:t>1998</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rsidR="00B84A30">
              <w:rPr>
                <w:noProof/>
              </w:rPr>
              <w:pict>
                <v:shape id="_x0000_i1090" type="#_x0000_t75" style="width:293.25pt;height:164.25pt">
                  <v:imagedata r:id="rId17" o:title=""/>
                </v:shape>
              </w:pict>
            </w:r>
          </w:p>
        </w:tc>
      </w:tr>
      <w:tr w:rsidR="006B323C">
        <w:trPr>
          <w:tblCellSpacing w:w="0" w:type="dxa"/>
        </w:trPr>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restart"/>
            <w:vAlign w:val="center"/>
            <w:hideMark/>
          </w:tcPr>
          <w:p w:rsidR="006B323C" w:rsidRDefault="00BF56F2">
            <w:r>
              <w:br/>
            </w:r>
            <w:r w:rsidR="00B84A30">
              <w:rPr>
                <w:noProof/>
              </w:rPr>
              <w:pict>
                <v:shape id="_x0000_i1093" type="#_x0000_t75" style="width:289.5pt;height:111.75pt">
                  <v:imagedata r:id="rId18" o:title=""/>
                </v:shape>
              </w:pic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6"/>
            <w:vMerge/>
            <w:vAlign w:val="center"/>
            <w:hideMark/>
          </w:tcPr>
          <w:p w:rsidR="006B323C" w:rsidRDefault="006B323C"/>
        </w:tc>
        <w:tc>
          <w:tcPr>
            <w:tcW w:w="0" w:type="auto"/>
            <w:vAlign w:val="center"/>
            <w:hideMark/>
          </w:tcPr>
          <w:p w:rsidR="006B323C" w:rsidRDefault="00BF56F2">
            <w:r>
              <w:t>14''</w:t>
            </w:r>
          </w:p>
        </w:tc>
        <w:tc>
          <w:tcPr>
            <w:tcW w:w="0" w:type="auto"/>
            <w:vAlign w:val="center"/>
            <w:hideMark/>
          </w:tcPr>
          <w:p w:rsidR="006B323C" w:rsidRDefault="00BF56F2">
            <w:pPr>
              <w:jc w:val="right"/>
            </w:pPr>
            <w:r>
              <w:t>70</w:t>
            </w:r>
          </w:p>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6"/>
            <w:vMerge/>
            <w:vAlign w:val="center"/>
            <w:hideMark/>
          </w:tcPr>
          <w:p w:rsidR="006B323C" w:rsidRDefault="006B323C"/>
        </w:tc>
        <w:tc>
          <w:tcPr>
            <w:tcW w:w="0" w:type="auto"/>
            <w:vAlign w:val="center"/>
            <w:hideMark/>
          </w:tcPr>
          <w:p w:rsidR="006B323C" w:rsidRDefault="00BF56F2">
            <w:r>
              <w:t>15"</w:t>
            </w:r>
          </w:p>
        </w:tc>
        <w:tc>
          <w:tcPr>
            <w:tcW w:w="0" w:type="auto"/>
            <w:vAlign w:val="center"/>
            <w:hideMark/>
          </w:tcPr>
          <w:p w:rsidR="006B323C" w:rsidRDefault="00BF56F2">
            <w:pPr>
              <w:jc w:val="right"/>
            </w:pPr>
            <w:r>
              <w:t>29</w:t>
            </w:r>
          </w:p>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gridSpan w:val="6"/>
            <w:vMerge/>
            <w:vAlign w:val="center"/>
            <w:hideMark/>
          </w:tcPr>
          <w:p w:rsidR="006B323C" w:rsidRDefault="006B323C"/>
        </w:tc>
        <w:tc>
          <w:tcPr>
            <w:tcW w:w="0" w:type="auto"/>
            <w:vAlign w:val="center"/>
            <w:hideMark/>
          </w:tcPr>
          <w:p w:rsidR="006B323C" w:rsidRDefault="00BF56F2">
            <w:r>
              <w:t>17"</w:t>
            </w:r>
          </w:p>
        </w:tc>
        <w:tc>
          <w:tcPr>
            <w:tcW w:w="0" w:type="auto"/>
            <w:vAlign w:val="center"/>
            <w:hideMark/>
          </w:tcPr>
          <w:p w:rsidR="006B323C" w:rsidRDefault="00BF56F2">
            <w:pPr>
              <w:jc w:val="right"/>
            </w:pPr>
            <w:r>
              <w:t>1</w:t>
            </w:r>
          </w:p>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t>14''</w:t>
            </w:r>
          </w:p>
        </w:tc>
        <w:tc>
          <w:tcPr>
            <w:tcW w:w="0" w:type="auto"/>
            <w:vAlign w:val="center"/>
            <w:hideMark/>
          </w:tcPr>
          <w:p w:rsidR="006B323C" w:rsidRDefault="00BF56F2">
            <w:pPr>
              <w:jc w:val="right"/>
            </w:pPr>
            <w:r>
              <w:t>90</w:t>
            </w:r>
          </w:p>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t>15"</w:t>
            </w:r>
          </w:p>
        </w:tc>
        <w:tc>
          <w:tcPr>
            <w:tcW w:w="0" w:type="auto"/>
            <w:vAlign w:val="center"/>
            <w:hideMark/>
          </w:tcPr>
          <w:p w:rsidR="006B323C" w:rsidRDefault="00BF56F2">
            <w:pPr>
              <w:jc w:val="right"/>
            </w:pPr>
            <w:r>
              <w:t>9.8</w:t>
            </w:r>
          </w:p>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t>17"</w:t>
            </w:r>
          </w:p>
        </w:tc>
        <w:tc>
          <w:tcPr>
            <w:tcW w:w="0" w:type="auto"/>
            <w:vAlign w:val="center"/>
            <w:hideMark/>
          </w:tcPr>
          <w:p w:rsidR="006B323C" w:rsidRDefault="00BF56F2">
            <w:pPr>
              <w:jc w:val="right"/>
            </w:pPr>
            <w:r>
              <w:t>0.2</w:t>
            </w:r>
          </w:p>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t>14''</w:t>
            </w:r>
          </w:p>
        </w:tc>
        <w:tc>
          <w:tcPr>
            <w:tcW w:w="0" w:type="auto"/>
            <w:vAlign w:val="center"/>
            <w:hideMark/>
          </w:tcPr>
          <w:p w:rsidR="006B323C" w:rsidRDefault="00BF56F2">
            <w:pPr>
              <w:jc w:val="center"/>
            </w:pPr>
            <w:r>
              <w:t>10</w:t>
            </w:r>
          </w:p>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t>15"</w:t>
            </w:r>
          </w:p>
        </w:tc>
        <w:tc>
          <w:tcPr>
            <w:tcW w:w="0" w:type="auto"/>
            <w:vAlign w:val="center"/>
            <w:hideMark/>
          </w:tcPr>
          <w:p w:rsidR="006B323C" w:rsidRDefault="00BF56F2">
            <w:pPr>
              <w:jc w:val="center"/>
            </w:pPr>
            <w:r>
              <w:t>70</w:t>
            </w:r>
          </w:p>
        </w:tc>
        <w:tc>
          <w:tcPr>
            <w:tcW w:w="0" w:type="auto"/>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t>17"</w:t>
            </w:r>
          </w:p>
        </w:tc>
        <w:tc>
          <w:tcPr>
            <w:tcW w:w="0" w:type="auto"/>
            <w:vAlign w:val="center"/>
            <w:hideMark/>
          </w:tcPr>
          <w:p w:rsidR="006B323C" w:rsidRDefault="00BF56F2">
            <w:pPr>
              <w:jc w:val="center"/>
            </w:pPr>
            <w:r>
              <w:t>24</w: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5"/>
            <w:vMerge w:val="restart"/>
            <w:vAlign w:val="center"/>
            <w:hideMark/>
          </w:tcPr>
          <w:p w:rsidR="006B323C" w:rsidRDefault="00BF56F2">
            <w:r>
              <w:br/>
            </w:r>
            <w:r w:rsidR="00B84A30">
              <w:rPr>
                <w:noProof/>
              </w:rPr>
              <w:pict>
                <v:shape id="_x0000_i1096" type="#_x0000_t75" style="width:314.25pt;height:152.25pt">
                  <v:imagedata r:id="rId19" o:title=""/>
                </v:shape>
              </w:pict>
            </w:r>
          </w:p>
        </w:tc>
        <w:tc>
          <w:tcPr>
            <w:tcW w:w="0" w:type="auto"/>
            <w:gridSpan w:val="6"/>
            <w:vMerge w:val="restart"/>
            <w:vAlign w:val="center"/>
            <w:hideMark/>
          </w:tcPr>
          <w:p w:rsidR="006B323C" w:rsidRDefault="00BF56F2">
            <w:r>
              <w:br/>
            </w:r>
            <w:r w:rsidR="00B84A30">
              <w:rPr>
                <w:noProof/>
              </w:rPr>
              <w:pict>
                <v:shape id="_x0000_i1099" type="#_x0000_t75" style="width:336.75pt;height:132.75pt">
                  <v:imagedata r:id="rId20" o:title=""/>
                </v:shape>
              </w:pict>
            </w:r>
          </w:p>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gridSpan w:val="6"/>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gridSpan w:val="5"/>
            <w:vMerge/>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r w:rsidR="006B323C">
        <w:trPr>
          <w:tblCellSpacing w:w="0" w:type="dxa"/>
        </w:trPr>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6B323C"/>
        </w:tc>
        <w:tc>
          <w:tcPr>
            <w:tcW w:w="0" w:type="auto"/>
            <w:vAlign w:val="center"/>
            <w:hideMark/>
          </w:tcPr>
          <w:p w:rsidR="006B323C" w:rsidRDefault="00BF56F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tc>
      </w:tr>
    </w:tbl>
    <w:p w:rsidR="006B323C" w:rsidRDefault="00B84A30">
      <w:r>
        <w:rPr>
          <w:noProof/>
        </w:rPr>
        <w:pict>
          <v:shape id="_x0000_i1102" type="#_x0000_t75" style="width:291.75pt;height:111.75pt">
            <v:imagedata r:id="rId21" o:title=""/>
          </v:shape>
        </w:pict>
      </w:r>
      <w:r>
        <w:rPr>
          <w:noProof/>
        </w:rPr>
        <w:pict>
          <v:shape id="_x0000_i1105" type="#_x0000_t75" style="width:292.5pt;height:111.75pt">
            <v:imagedata r:id="rId22" o:title=""/>
          </v:shape>
        </w:pict>
      </w:r>
      <w:r>
        <w:rPr>
          <w:noProof/>
        </w:rPr>
        <w:pict>
          <v:shape id="_x0000_i1108" type="#_x0000_t75" style="width:353.25pt;height:193.5pt">
            <v:imagedata r:id="rId23" o:title=""/>
          </v:shape>
        </w:pict>
      </w:r>
      <w:r>
        <w:rPr>
          <w:noProof/>
        </w:rPr>
        <w:pict>
          <v:shape id="_x0000_i1111" type="#_x0000_t75" style="width:309pt;height:166.5pt">
            <v:imagedata r:id="rId24" o:title=""/>
          </v:shape>
        </w:pict>
      </w:r>
      <w:r>
        <w:rPr>
          <w:noProof/>
        </w:rPr>
        <w:pict>
          <v:shape id="_x0000_i1114" type="#_x0000_t75" style="width:312.75pt;height:141pt">
            <v:imagedata r:id="rId25" o:title=""/>
          </v:shape>
        </w:pict>
      </w:r>
      <w:r>
        <w:rPr>
          <w:noProof/>
        </w:rPr>
        <w:pict>
          <v:shape id="_x0000_i1117" type="#_x0000_t75" style="width:377.25pt;height:204.75pt">
            <v:imagedata r:id="rId26" o:title=""/>
          </v:shape>
        </w:pict>
      </w:r>
      <w:r>
        <w:rPr>
          <w:noProof/>
        </w:rPr>
        <w:pict>
          <v:shape id="_x0000_i1120" type="#_x0000_t75" style="width:369.75pt;height:186.75pt">
            <v:imagedata r:id="rId27" o:title=""/>
          </v:shape>
        </w:pict>
      </w:r>
      <w:r>
        <w:rPr>
          <w:noProof/>
        </w:rPr>
        <w:pict>
          <v:shape id="_x0000_i1123" type="#_x0000_t75" style="width:291.75pt;height:176.25pt">
            <v:imagedata r:id="rId28" o:title=""/>
          </v:shape>
        </w:pict>
      </w:r>
      <w:r w:rsidR="00BF56F2">
        <w:br w:type="textWrapping" w:clear="left"/>
      </w:r>
      <w:bookmarkStart w:id="0" w:name="_GoBack"/>
      <w:bookmarkEnd w:id="0"/>
    </w:p>
    <w:sectPr w:rsidR="006B323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6F2"/>
    <w:rsid w:val="006B323C"/>
    <w:rsid w:val="00B84A30"/>
    <w:rsid w:val="00BF56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1"/>
    <o:shapelayout v:ext="edit">
      <o:idmap v:ext="edit" data="1"/>
    </o:shapelayout>
  </w:shapeDefaults>
  <w:decimalSymbol w:val=","/>
  <w:listSeparator w:val=";"/>
  <w15:chartTrackingRefBased/>
  <w15:docId w15:val="{DC9F5952-F20C-4E30-ACDE-DAB718107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3.jpe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28" Type="http://schemas.openxmlformats.org/officeDocument/2006/relationships/image" Target="media/image25.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image" Target="media/image24.jpe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5635</Words>
  <Characters>32123</Characters>
  <Application>Microsoft Office Word</Application>
  <DocSecurity>0</DocSecurity>
  <Lines>267</Lines>
  <Paragraphs>75</Paragraphs>
  <ScaleCrop>false</ScaleCrop>
  <Company/>
  <LinksUpToDate>false</LinksUpToDate>
  <CharactersWithSpaces>37683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Маркетинг</dc:title>
  <dc:subject/>
  <dc:creator>admin</dc:creator>
  <cp:keywords/>
  <dc:description/>
  <cp:lastModifiedBy>admin</cp:lastModifiedBy>
  <cp:revision>2</cp:revision>
  <dcterms:created xsi:type="dcterms:W3CDTF">2014-02-07T01:39:00Z</dcterms:created>
  <dcterms:modified xsi:type="dcterms:W3CDTF">2014-02-07T01:39:00Z</dcterms:modified>
</cp:coreProperties>
</file>