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4DE" w:rsidRPr="007E1A53" w:rsidRDefault="002F14DE" w:rsidP="007E1A53">
      <w:pPr>
        <w:pStyle w:val="a3"/>
        <w:ind w:firstLine="709"/>
        <w:jc w:val="left"/>
      </w:pPr>
      <w:r w:rsidRPr="007E1A53">
        <w:t>УДК 634.0.6: 634.0.266</w:t>
      </w:r>
    </w:p>
    <w:p w:rsidR="002F14DE" w:rsidRPr="007E1A53" w:rsidRDefault="002F14DE" w:rsidP="007E1A53">
      <w:pPr>
        <w:pStyle w:val="a3"/>
        <w:ind w:firstLine="709"/>
        <w:rPr>
          <w:b/>
        </w:rPr>
      </w:pPr>
      <w:r w:rsidRPr="007E1A53">
        <w:rPr>
          <w:b/>
        </w:rPr>
        <w:t>АГРОЛЕСОМЕЛИОРАЦИЯ ПАХОТНЫХ СКЛОНОВ ПОВОЛЖЬЯ НА АДАПТИВНО-ЛАНДШАФТНОЙ ОСНОВЕ</w:t>
      </w:r>
    </w:p>
    <w:p w:rsidR="002F14DE" w:rsidRPr="007E1A53" w:rsidRDefault="002F14DE" w:rsidP="007E1A53">
      <w:pPr>
        <w:widowControl w:val="0"/>
        <w:spacing w:line="360" w:lineRule="auto"/>
        <w:ind w:firstLine="709"/>
        <w:jc w:val="center"/>
        <w:rPr>
          <w:sz w:val="28"/>
        </w:rPr>
      </w:pPr>
    </w:p>
    <w:p w:rsidR="002F14DE" w:rsidRPr="007E1A53" w:rsidRDefault="002F14DE" w:rsidP="00493BD8">
      <w:pPr>
        <w:pStyle w:val="a3"/>
        <w:ind w:firstLine="709"/>
        <w:jc w:val="right"/>
      </w:pPr>
      <w:r w:rsidRPr="007E1A53">
        <w:t>Кочкарь М.М., Исковских А.П.</w:t>
      </w:r>
    </w:p>
    <w:p w:rsidR="002F14DE" w:rsidRPr="007E1A53" w:rsidRDefault="002F14DE" w:rsidP="00493BD8">
      <w:pPr>
        <w:pStyle w:val="a3"/>
        <w:ind w:firstLine="709"/>
        <w:jc w:val="right"/>
      </w:pPr>
      <w:r w:rsidRPr="007E1A53">
        <w:t>Всероссийский научно-исследовательский институт агролесомелиорации, Волгоград</w:t>
      </w:r>
    </w:p>
    <w:p w:rsidR="002F14DE" w:rsidRPr="007E1A53" w:rsidRDefault="002F14DE" w:rsidP="007E1A53">
      <w:pPr>
        <w:widowControl w:val="0"/>
        <w:spacing w:line="360" w:lineRule="auto"/>
        <w:ind w:firstLine="709"/>
        <w:jc w:val="center"/>
        <w:rPr>
          <w:sz w:val="28"/>
        </w:rPr>
      </w:pPr>
    </w:p>
    <w:p w:rsidR="002F14DE" w:rsidRPr="007E1A53" w:rsidRDefault="002F14DE" w:rsidP="007E1A53">
      <w:pPr>
        <w:widowControl w:val="0"/>
        <w:spacing w:line="360" w:lineRule="auto"/>
        <w:ind w:firstLine="709"/>
        <w:jc w:val="both"/>
        <w:rPr>
          <w:sz w:val="28"/>
        </w:rPr>
      </w:pPr>
      <w:r w:rsidRPr="007E1A53">
        <w:rPr>
          <w:sz w:val="28"/>
        </w:rPr>
        <w:t>Поволжье, (в том числе и Волгоградская область), является крупным производителем растениеводческой продукции, вследствие чего 68% сельскохозяйственных угодий находятся под пашней. В интенсивное сельскохозяйственное использование вовлечены склоновые земли. По некоторым подсчетам до 60% пахотных земель региона расположено на склонах крутизной превышающей 1</w:t>
      </w:r>
      <w:r w:rsidRPr="007E1A53">
        <w:rPr>
          <w:sz w:val="28"/>
          <w:vertAlign w:val="superscript"/>
        </w:rPr>
        <w:t>0</w:t>
      </w:r>
      <w:r w:rsidRPr="007E1A53">
        <w:rPr>
          <w:sz w:val="28"/>
        </w:rPr>
        <w:t xml:space="preserve"> [1].</w:t>
      </w:r>
    </w:p>
    <w:p w:rsidR="002F14DE" w:rsidRPr="007E1A53" w:rsidRDefault="002F14DE" w:rsidP="007E1A53">
      <w:pPr>
        <w:widowControl w:val="0"/>
        <w:spacing w:line="360" w:lineRule="auto"/>
        <w:ind w:firstLine="709"/>
        <w:jc w:val="both"/>
        <w:rPr>
          <w:sz w:val="28"/>
        </w:rPr>
      </w:pPr>
      <w:r w:rsidRPr="007E1A53">
        <w:rPr>
          <w:sz w:val="28"/>
        </w:rPr>
        <w:t>Не являются исключением и территории, прилегающие к крупным городам, например Волгограду, которые широко используются для выращивания сельскохозяйственной продукции. Из-за близкого расположения городской агломерации данные территории подвержены воздействию высоких техногенных нагрузок, а также неадаптированных агротехнологий.</w:t>
      </w:r>
    </w:p>
    <w:p w:rsidR="002F14DE" w:rsidRPr="007E1A53" w:rsidRDefault="002F14DE" w:rsidP="007E1A53">
      <w:pPr>
        <w:widowControl w:val="0"/>
        <w:spacing w:line="360" w:lineRule="auto"/>
        <w:ind w:firstLine="709"/>
        <w:jc w:val="both"/>
        <w:rPr>
          <w:sz w:val="28"/>
        </w:rPr>
      </w:pPr>
      <w:r w:rsidRPr="007E1A53">
        <w:rPr>
          <w:sz w:val="28"/>
        </w:rPr>
        <w:t>Оценка состояния пахотных угодий проводилась по методикам ВНИАЛМИ [2]. Подверженность территории деградации оценивалась индексами деградации (ИД), отражающими по 100-балльной шкале пораженность ее той или иной формой деградации: засолением (ИД</w:t>
      </w:r>
      <w:r w:rsidRPr="007E1A53">
        <w:rPr>
          <w:sz w:val="28"/>
          <w:vertAlign w:val="subscript"/>
        </w:rPr>
        <w:t>з</w:t>
      </w:r>
      <w:r w:rsidRPr="007E1A53">
        <w:rPr>
          <w:sz w:val="28"/>
        </w:rPr>
        <w:t>), дефляцией (ИД</w:t>
      </w:r>
      <w:r w:rsidRPr="007E1A53">
        <w:rPr>
          <w:sz w:val="28"/>
          <w:vertAlign w:val="subscript"/>
        </w:rPr>
        <w:t>д</w:t>
      </w:r>
      <w:r w:rsidRPr="007E1A53">
        <w:rPr>
          <w:sz w:val="28"/>
        </w:rPr>
        <w:t>) и эрозией (ИД</w:t>
      </w:r>
      <w:r w:rsidRPr="007E1A53">
        <w:rPr>
          <w:sz w:val="28"/>
          <w:vertAlign w:val="subscript"/>
        </w:rPr>
        <w:t>э</w:t>
      </w:r>
      <w:r w:rsidRPr="007E1A53">
        <w:rPr>
          <w:sz w:val="28"/>
        </w:rPr>
        <w:t>). Суммарный индекс деградации (ИД</w:t>
      </w:r>
      <w:r w:rsidRPr="007E1A53">
        <w:rPr>
          <w:sz w:val="28"/>
          <w:vertAlign w:val="subscript"/>
        </w:rPr>
        <w:t>с</w:t>
      </w:r>
      <w:r w:rsidRPr="007E1A53">
        <w:rPr>
          <w:sz w:val="28"/>
        </w:rPr>
        <w:t>) является средневзвешенной суммой ИД (засоления, дефляции, эрозии).</w:t>
      </w:r>
    </w:p>
    <w:p w:rsidR="002F14DE" w:rsidRPr="007E1A53" w:rsidRDefault="002F14DE" w:rsidP="007E1A53">
      <w:pPr>
        <w:widowControl w:val="0"/>
        <w:spacing w:line="360" w:lineRule="auto"/>
        <w:ind w:firstLine="709"/>
        <w:jc w:val="both"/>
        <w:rPr>
          <w:sz w:val="28"/>
        </w:rPr>
      </w:pPr>
      <w:r w:rsidRPr="007E1A53">
        <w:rPr>
          <w:sz w:val="28"/>
        </w:rPr>
        <w:t>Проведенные нами исследования показали, что индекс суммарной деградации пашни снижается по мере удаления от городской черты к периферии (табл).</w:t>
      </w:r>
    </w:p>
    <w:p w:rsidR="002F14DE" w:rsidRPr="007E1A53" w:rsidRDefault="00A51200" w:rsidP="00A51200">
      <w:pPr>
        <w:pStyle w:val="33"/>
        <w:widowControl w:val="0"/>
        <w:spacing w:line="360" w:lineRule="auto"/>
        <w:ind w:firstLine="709"/>
        <w:jc w:val="left"/>
      </w:pPr>
      <w:r>
        <w:br w:type="page"/>
      </w:r>
      <w:r w:rsidR="002F14DE" w:rsidRPr="007E1A53">
        <w:t>Таблица</w:t>
      </w:r>
    </w:p>
    <w:p w:rsidR="002F14DE" w:rsidRPr="007E1A53" w:rsidRDefault="002F14DE" w:rsidP="007E1A53">
      <w:pPr>
        <w:pStyle w:val="a3"/>
        <w:ind w:firstLine="709"/>
        <w:rPr>
          <w:b/>
        </w:rPr>
      </w:pPr>
      <w:r w:rsidRPr="007E1A53">
        <w:rPr>
          <w:b/>
        </w:rPr>
        <w:t xml:space="preserve">Средневзвешенные индексы деградации пашни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418"/>
        <w:gridCol w:w="1428"/>
      </w:tblGrid>
      <w:tr w:rsidR="002F14DE" w:rsidRPr="00A51200" w:rsidTr="00A51200">
        <w:trPr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DE" w:rsidRPr="00A51200" w:rsidRDefault="002F14DE" w:rsidP="00A51200">
            <w:pPr>
              <w:widowControl w:val="0"/>
              <w:spacing w:line="360" w:lineRule="auto"/>
              <w:jc w:val="center"/>
            </w:pPr>
            <w:r w:rsidRPr="00A51200">
              <w:t>Территория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DE" w:rsidRPr="00A51200" w:rsidRDefault="002F14DE" w:rsidP="00A51200">
            <w:pPr>
              <w:widowControl w:val="0"/>
              <w:spacing w:line="360" w:lineRule="auto"/>
              <w:jc w:val="center"/>
            </w:pPr>
            <w:r w:rsidRPr="00A51200">
              <w:t>ИДс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DE" w:rsidRPr="00A51200" w:rsidRDefault="002F14DE" w:rsidP="00A51200">
            <w:pPr>
              <w:widowControl w:val="0"/>
              <w:spacing w:line="360" w:lineRule="auto"/>
              <w:jc w:val="center"/>
            </w:pPr>
            <w:r w:rsidRPr="00A51200">
              <w:t>ИДз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DE" w:rsidRPr="00A51200" w:rsidRDefault="002F14DE" w:rsidP="00A51200">
            <w:pPr>
              <w:widowControl w:val="0"/>
              <w:spacing w:line="360" w:lineRule="auto"/>
              <w:jc w:val="center"/>
            </w:pPr>
            <w:r w:rsidRPr="00A51200">
              <w:t>ИДд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4DE" w:rsidRPr="00A51200" w:rsidRDefault="002F14DE" w:rsidP="00A51200">
            <w:pPr>
              <w:widowControl w:val="0"/>
              <w:spacing w:line="360" w:lineRule="auto"/>
              <w:jc w:val="center"/>
            </w:pPr>
            <w:r w:rsidRPr="00A51200">
              <w:t>ИДэ</w:t>
            </w:r>
          </w:p>
        </w:tc>
      </w:tr>
      <w:tr w:rsidR="002F14DE" w:rsidRPr="00A51200" w:rsidTr="00A51200">
        <w:trPr>
          <w:jc w:val="center"/>
        </w:trPr>
        <w:tc>
          <w:tcPr>
            <w:tcW w:w="1701" w:type="dxa"/>
          </w:tcPr>
          <w:p w:rsidR="002F14DE" w:rsidRPr="00A51200" w:rsidRDefault="002F14DE" w:rsidP="00A51200">
            <w:pPr>
              <w:widowControl w:val="0"/>
              <w:spacing w:line="360" w:lineRule="auto"/>
              <w:jc w:val="both"/>
            </w:pPr>
            <w:r w:rsidRPr="00A51200">
              <w:t>Пригородная зона</w:t>
            </w:r>
          </w:p>
        </w:tc>
        <w:tc>
          <w:tcPr>
            <w:tcW w:w="1418" w:type="dxa"/>
          </w:tcPr>
          <w:p w:rsidR="002F14DE" w:rsidRPr="00A51200" w:rsidRDefault="002F14DE" w:rsidP="00A51200">
            <w:pPr>
              <w:widowControl w:val="0"/>
              <w:spacing w:line="360" w:lineRule="auto"/>
              <w:jc w:val="center"/>
            </w:pPr>
            <w:r w:rsidRPr="00A51200">
              <w:t>44,4</w:t>
            </w:r>
          </w:p>
        </w:tc>
        <w:tc>
          <w:tcPr>
            <w:tcW w:w="1417" w:type="dxa"/>
          </w:tcPr>
          <w:p w:rsidR="002F14DE" w:rsidRPr="00A51200" w:rsidRDefault="002F14DE" w:rsidP="00A51200">
            <w:pPr>
              <w:widowControl w:val="0"/>
              <w:spacing w:line="360" w:lineRule="auto"/>
              <w:jc w:val="center"/>
            </w:pPr>
            <w:r w:rsidRPr="00A51200">
              <w:t>15,0</w:t>
            </w:r>
          </w:p>
        </w:tc>
        <w:tc>
          <w:tcPr>
            <w:tcW w:w="1418" w:type="dxa"/>
          </w:tcPr>
          <w:p w:rsidR="002F14DE" w:rsidRPr="00A51200" w:rsidRDefault="002F14DE" w:rsidP="00A51200">
            <w:pPr>
              <w:widowControl w:val="0"/>
              <w:spacing w:line="360" w:lineRule="auto"/>
              <w:jc w:val="center"/>
            </w:pPr>
            <w:r w:rsidRPr="00A51200">
              <w:t>0,8</w:t>
            </w:r>
          </w:p>
        </w:tc>
        <w:tc>
          <w:tcPr>
            <w:tcW w:w="1428" w:type="dxa"/>
          </w:tcPr>
          <w:p w:rsidR="002F14DE" w:rsidRPr="00A51200" w:rsidRDefault="002F14DE" w:rsidP="00A51200">
            <w:pPr>
              <w:widowControl w:val="0"/>
              <w:spacing w:line="360" w:lineRule="auto"/>
              <w:jc w:val="center"/>
            </w:pPr>
            <w:r w:rsidRPr="00A51200">
              <w:t>28,6</w:t>
            </w:r>
          </w:p>
        </w:tc>
      </w:tr>
      <w:tr w:rsidR="002F14DE" w:rsidRPr="00A51200" w:rsidTr="00A51200">
        <w:trPr>
          <w:jc w:val="center"/>
        </w:trPr>
        <w:tc>
          <w:tcPr>
            <w:tcW w:w="1701" w:type="dxa"/>
            <w:tcBorders>
              <w:bottom w:val="single" w:sz="4" w:space="0" w:color="auto"/>
            </w:tcBorders>
          </w:tcPr>
          <w:p w:rsidR="002F14DE" w:rsidRPr="00A51200" w:rsidRDefault="002F14DE" w:rsidP="00A51200">
            <w:pPr>
              <w:widowControl w:val="0"/>
              <w:spacing w:line="360" w:lineRule="auto"/>
              <w:jc w:val="both"/>
            </w:pPr>
            <w:r w:rsidRPr="00A51200">
              <w:t>Область в целом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F14DE" w:rsidRPr="00A51200" w:rsidRDefault="002F14DE" w:rsidP="00A51200">
            <w:pPr>
              <w:widowControl w:val="0"/>
              <w:spacing w:line="360" w:lineRule="auto"/>
              <w:jc w:val="center"/>
            </w:pPr>
            <w:r w:rsidRPr="00A51200">
              <w:t>35,9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F14DE" w:rsidRPr="00A51200" w:rsidRDefault="002F14DE" w:rsidP="00A51200">
            <w:pPr>
              <w:widowControl w:val="0"/>
              <w:spacing w:line="360" w:lineRule="auto"/>
              <w:jc w:val="center"/>
            </w:pPr>
            <w:r w:rsidRPr="00A51200">
              <w:t>12,0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F14DE" w:rsidRPr="00A51200" w:rsidRDefault="002F14DE" w:rsidP="00A51200">
            <w:pPr>
              <w:widowControl w:val="0"/>
              <w:spacing w:line="360" w:lineRule="auto"/>
              <w:jc w:val="center"/>
            </w:pPr>
            <w:r w:rsidRPr="00A51200">
              <w:t>0,8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2F14DE" w:rsidRPr="00A51200" w:rsidRDefault="002F14DE" w:rsidP="00A51200">
            <w:pPr>
              <w:widowControl w:val="0"/>
              <w:spacing w:line="360" w:lineRule="auto"/>
              <w:jc w:val="center"/>
            </w:pPr>
            <w:r w:rsidRPr="00A51200">
              <w:t>23,1</w:t>
            </w:r>
          </w:p>
        </w:tc>
      </w:tr>
    </w:tbl>
    <w:p w:rsidR="002F14DE" w:rsidRPr="007E1A53" w:rsidRDefault="002F14DE" w:rsidP="007E1A53">
      <w:pPr>
        <w:widowControl w:val="0"/>
        <w:spacing w:line="360" w:lineRule="auto"/>
        <w:ind w:firstLine="709"/>
        <w:jc w:val="both"/>
        <w:rPr>
          <w:sz w:val="28"/>
        </w:rPr>
      </w:pPr>
    </w:p>
    <w:p w:rsidR="002F14DE" w:rsidRPr="007E1A53" w:rsidRDefault="002F14DE" w:rsidP="007E1A53">
      <w:pPr>
        <w:widowControl w:val="0"/>
        <w:spacing w:line="360" w:lineRule="auto"/>
        <w:ind w:firstLine="709"/>
        <w:jc w:val="both"/>
        <w:rPr>
          <w:sz w:val="28"/>
        </w:rPr>
      </w:pPr>
      <w:r w:rsidRPr="007E1A53">
        <w:rPr>
          <w:sz w:val="28"/>
        </w:rPr>
        <w:t>Преобладающей формой деградации пашни в пригородной зоне и в области в целом является эрозия почв. Эрозионные процессы протекают более интенсивно в близкой к городу зоне, где прибрежные угодья изрезаны многочисленными балками и оврагами (оконечность южной части Приволжской и северная часть Ергенинской возвышенностей).</w:t>
      </w:r>
    </w:p>
    <w:p w:rsidR="002F14DE" w:rsidRPr="007E1A53" w:rsidRDefault="002F14DE" w:rsidP="007E1A53">
      <w:pPr>
        <w:widowControl w:val="0"/>
        <w:spacing w:line="360" w:lineRule="auto"/>
        <w:ind w:firstLine="709"/>
        <w:jc w:val="both"/>
        <w:rPr>
          <w:sz w:val="28"/>
        </w:rPr>
      </w:pPr>
      <w:r w:rsidRPr="007E1A53">
        <w:rPr>
          <w:sz w:val="28"/>
        </w:rPr>
        <w:t>В результате действия эрозионных процессов сильно падает плодородие почв, от которого напрямую зависит урожайность сельскохозяйственных культур. По данным Г. П. Сурмача [3], на слабосмытых почвах по сравнению с несмытыми урожай сельскохозяйственных культур снижается в среднем на 10-15%, на среднесмытых – от 10 до 40%, на сильносмытых – от 40 до 60% и на весьма сильносмытых от 60 до 80%. Поэтому для ведения устойчивого сельскохозяйственного производства и успешной защиты от эрозии склоновых пахотных земель необходимо их агролесомелиоративное адаптивно-ландшафтное обустройство [4].</w:t>
      </w:r>
    </w:p>
    <w:p w:rsidR="002F14DE" w:rsidRPr="007E1A53" w:rsidRDefault="002F14DE" w:rsidP="007E1A53">
      <w:pPr>
        <w:pStyle w:val="a5"/>
        <w:widowControl w:val="0"/>
        <w:spacing w:line="360" w:lineRule="auto"/>
        <w:ind w:firstLine="709"/>
      </w:pPr>
      <w:r w:rsidRPr="007E1A53">
        <w:t xml:space="preserve">Комплексы с прямолинейно-клеточной организацией территории и соответствующим размещением защитных лесных насаждений в основном рассчитаны на защиту полей от вредоносных ветров и максимальную эффективность работы машинно-тракторных агрегатов и не обеспечивают необходимые стокорегулирующие и противоэрозионные функции. Почвозащитное земледелие, отвечающее современным требованиям ведения сельскохозяйственного производства, является рубежным с обязательной контурной организацией территории </w:t>
      </w:r>
      <w:r w:rsidRPr="007E1A53">
        <w:rPr>
          <w:szCs w:val="28"/>
        </w:rPr>
        <w:sym w:font="Symbol" w:char="F05B"/>
      </w:r>
      <w:r w:rsidRPr="007E1A53">
        <w:t>5, 6</w:t>
      </w:r>
      <w:r w:rsidRPr="007E1A53">
        <w:rPr>
          <w:szCs w:val="28"/>
        </w:rPr>
        <w:sym w:font="Symbol" w:char="F05D"/>
      </w:r>
      <w:r w:rsidRPr="007E1A53">
        <w:t>. В качестве рубежей используются лесные полосы и гидротехнические сооружения (земляные валы, канавы и их сочетание). Максимальный стокорегулирующий и противоэрозионный эффект дает их совместное применение [4]. Сейчас, когда в системе севооборотов большие (до 50%) площади отводятся под чистые пары, еще более актуальной стала оценка противоэрозионной устойчивости различных агрофонов (зяби, пара, многолетних трав, озимых, яровых, пропашных культур и др.) и разработка способов их размещения на склонах при контурно-мелиоративной организации территории на ландшафтной основе.</w:t>
      </w:r>
    </w:p>
    <w:p w:rsidR="002F14DE" w:rsidRPr="007E1A53" w:rsidRDefault="002F14DE" w:rsidP="007E1A53">
      <w:pPr>
        <w:pStyle w:val="a5"/>
        <w:widowControl w:val="0"/>
        <w:spacing w:line="360" w:lineRule="auto"/>
        <w:ind w:firstLine="709"/>
      </w:pPr>
      <w:r w:rsidRPr="007E1A53">
        <w:t xml:space="preserve">Исследования проводились нами в 1999-2001 гг. на территории ОПХ ВНИАЛМИ «Волгоградское» на эрозионно-гидрологическом стационаре, расположенном в пригородной зоне г. Волгограда. В геоморфологическом отношении территория ОПХ является окончанием аккумулятивно-денудационной южной части Приволжской возвышенности. Стационар расположен на межбалочном приводораздельном склоне в основном восточной экспозиции. Этот склон имеет слабовыпуклую форму, протяженность </w:t>
      </w:r>
      <w:smartTag w:uri="urn:schemas-microsoft-com:office:smarttags" w:element="metricconverter">
        <w:smartTagPr>
          <w:attr w:name="ProductID" w:val="1 км"/>
        </w:smartTagPr>
        <w:r w:rsidRPr="007E1A53">
          <w:t>1 км</w:t>
        </w:r>
      </w:smartTag>
      <w:r w:rsidRPr="007E1A53">
        <w:t xml:space="preserve">, крутизну до 2-4°. Почвенный покров стационара представлен светло-каштановыми супесчаными и легкосуглинистыми в различной степени смытыми почвами. Стационар обустроен системой контурных стокорегулирующих лесополос </w:t>
      </w:r>
      <w:smartTag w:uri="urn:schemas-microsoft-com:office:smarttags" w:element="metricconverter">
        <w:smartTagPr>
          <w:attr w:name="ProductID" w:val="1981 г"/>
        </w:smartTagPr>
        <w:r w:rsidRPr="007E1A53">
          <w:t>1981 г</w:t>
        </w:r>
      </w:smartTag>
      <w:r w:rsidRPr="007E1A53">
        <w:t>. посадки, некоторые лесополосы усилены гидротехническими сооружениями (вал, вал + канава и др.). Как основной в исследованиях использовался метод воднобалансовых (стоковых) площадок.</w:t>
      </w:r>
    </w:p>
    <w:p w:rsidR="002F14DE" w:rsidRDefault="002F14DE" w:rsidP="007E1A53">
      <w:pPr>
        <w:pStyle w:val="a5"/>
        <w:widowControl w:val="0"/>
        <w:spacing w:line="360" w:lineRule="auto"/>
        <w:ind w:firstLine="709"/>
      </w:pPr>
      <w:r w:rsidRPr="007E1A53">
        <w:t>Результаты исследования почвозащитной роли различных агрофонов в системе стокорегулирующих лесополос при стоке талых вод</w:t>
      </w:r>
      <w:r w:rsidR="007E1A53">
        <w:t xml:space="preserve"> </w:t>
      </w:r>
      <w:r w:rsidRPr="007E1A53">
        <w:t>(табл. 2) показывают, что наибольший смыв почвы (12,7 м</w:t>
      </w:r>
      <w:r w:rsidRPr="007E1A53">
        <w:rPr>
          <w:vertAlign w:val="superscript"/>
        </w:rPr>
        <w:t>3</w:t>
      </w:r>
      <w:r w:rsidRPr="007E1A53">
        <w:t>/га) был на поле с отвальной зяблевой вспашкой поперек склона на глубину 25-</w:t>
      </w:r>
      <w:smartTag w:uri="urn:schemas-microsoft-com:office:smarttags" w:element="metricconverter">
        <w:smartTagPr>
          <w:attr w:name="ProductID" w:val="27 см"/>
        </w:smartTagPr>
        <w:r w:rsidRPr="007E1A53">
          <w:t>27 см</w:t>
        </w:r>
      </w:smartTag>
      <w:r w:rsidRPr="007E1A53">
        <w:t>, где сток не формировался, а его большая</w:t>
      </w:r>
      <w:r w:rsidR="007E1A53">
        <w:t xml:space="preserve"> </w:t>
      </w:r>
      <w:r w:rsidRPr="007E1A53">
        <w:t>величина</w:t>
      </w:r>
      <w:r w:rsidR="007E1A53">
        <w:t xml:space="preserve"> </w:t>
      </w:r>
      <w:r w:rsidRPr="007E1A53">
        <w:t>обусловлена</w:t>
      </w:r>
      <w:r w:rsidR="007E1A53">
        <w:t xml:space="preserve"> </w:t>
      </w:r>
      <w:r w:rsidRPr="007E1A53">
        <w:t>подтоком</w:t>
      </w:r>
      <w:r w:rsidR="007E1A53">
        <w:t xml:space="preserve"> </w:t>
      </w:r>
      <w:r w:rsidRPr="007E1A53">
        <w:t>с</w:t>
      </w:r>
      <w:r w:rsidR="007E1A53">
        <w:t xml:space="preserve"> </w:t>
      </w:r>
      <w:r w:rsidRPr="007E1A53">
        <w:t>вышерасположенного поля со стокообразующим агрофоном (посев озимой пшеницы).</w:t>
      </w:r>
    </w:p>
    <w:p w:rsidR="006A25AE" w:rsidRPr="00416108" w:rsidRDefault="006A25AE" w:rsidP="007E1A53">
      <w:pPr>
        <w:pStyle w:val="a5"/>
        <w:widowControl w:val="0"/>
        <w:spacing w:line="360" w:lineRule="auto"/>
        <w:ind w:firstLine="709"/>
        <w:rPr>
          <w:color w:val="FFFFFF"/>
        </w:rPr>
      </w:pPr>
      <w:r w:rsidRPr="00416108">
        <w:rPr>
          <w:color w:val="FFFFFF"/>
        </w:rPr>
        <w:t>пахотный угодье агрофон лесополоса сток</w:t>
      </w:r>
    </w:p>
    <w:p w:rsidR="002F14DE" w:rsidRPr="007E1A53" w:rsidRDefault="00A51200" w:rsidP="00A51200">
      <w:pPr>
        <w:pStyle w:val="a5"/>
        <w:widowControl w:val="0"/>
        <w:spacing w:line="360" w:lineRule="auto"/>
        <w:ind w:firstLine="709"/>
        <w:jc w:val="left"/>
      </w:pPr>
      <w:r>
        <w:br w:type="page"/>
      </w:r>
      <w:r w:rsidR="002F14DE" w:rsidRPr="007E1A53">
        <w:t>Таблица 2</w:t>
      </w:r>
    </w:p>
    <w:p w:rsidR="002F14DE" w:rsidRPr="007E1A53" w:rsidRDefault="002F14DE" w:rsidP="007E1A53">
      <w:pPr>
        <w:pStyle w:val="a5"/>
        <w:widowControl w:val="0"/>
        <w:spacing w:line="360" w:lineRule="auto"/>
        <w:ind w:firstLine="709"/>
        <w:jc w:val="center"/>
        <w:rPr>
          <w:b/>
        </w:rPr>
      </w:pPr>
      <w:r w:rsidRPr="007E1A53">
        <w:rPr>
          <w:b/>
        </w:rPr>
        <w:t>Смыв почвы талыми водами на различных агрофонах в системе</w:t>
      </w:r>
    </w:p>
    <w:p w:rsidR="002F14DE" w:rsidRPr="007E1A53" w:rsidRDefault="002F14DE" w:rsidP="007E1A53">
      <w:pPr>
        <w:pStyle w:val="a5"/>
        <w:widowControl w:val="0"/>
        <w:spacing w:line="360" w:lineRule="auto"/>
        <w:ind w:firstLine="709"/>
        <w:jc w:val="center"/>
      </w:pPr>
      <w:r w:rsidRPr="007E1A53">
        <w:rPr>
          <w:b/>
        </w:rPr>
        <w:t xml:space="preserve">стокорегулирующих лесополос (март </w:t>
      </w:r>
      <w:smartTag w:uri="urn:schemas-microsoft-com:office:smarttags" w:element="metricconverter">
        <w:smartTagPr>
          <w:attr w:name="ProductID" w:val="1999 г"/>
        </w:smartTagPr>
        <w:r w:rsidRPr="007E1A53">
          <w:rPr>
            <w:b/>
          </w:rPr>
          <w:t>1999 г</w:t>
        </w:r>
      </w:smartTag>
      <w:r w:rsidRPr="007E1A53">
        <w:rPr>
          <w:b/>
        </w:rPr>
        <w:t>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1560"/>
        <w:gridCol w:w="1842"/>
      </w:tblGrid>
      <w:tr w:rsidR="002F14DE" w:rsidRPr="00A51200" w:rsidTr="00A51200">
        <w:trPr>
          <w:cantSplit/>
          <w:trHeight w:val="781"/>
          <w:jc w:val="center"/>
        </w:trPr>
        <w:tc>
          <w:tcPr>
            <w:tcW w:w="2126" w:type="dxa"/>
            <w:tcBorders>
              <w:left w:val="nil"/>
              <w:bottom w:val="nil"/>
            </w:tcBorders>
            <w:vAlign w:val="center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Агрофон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Расстояние между</w:t>
            </w:r>
          </w:p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лесополосами, м</w:t>
            </w:r>
          </w:p>
        </w:tc>
        <w:tc>
          <w:tcPr>
            <w:tcW w:w="1560" w:type="dxa"/>
            <w:tcBorders>
              <w:bottom w:val="nil"/>
              <w:right w:val="nil"/>
            </w:tcBorders>
            <w:vAlign w:val="center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 xml:space="preserve">Крутизна </w:t>
            </w:r>
          </w:p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склона, град</w:t>
            </w:r>
          </w:p>
        </w:tc>
        <w:tc>
          <w:tcPr>
            <w:tcW w:w="1842" w:type="dxa"/>
            <w:tcBorders>
              <w:bottom w:val="nil"/>
              <w:right w:val="nil"/>
            </w:tcBorders>
            <w:vAlign w:val="center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Смыв почвы,</w:t>
            </w:r>
          </w:p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м</w:t>
            </w:r>
            <w:r w:rsidRPr="00A51200">
              <w:rPr>
                <w:sz w:val="20"/>
                <w:vertAlign w:val="superscript"/>
              </w:rPr>
              <w:t>3</w:t>
            </w:r>
            <w:r w:rsidRPr="00A51200">
              <w:rPr>
                <w:sz w:val="20"/>
              </w:rPr>
              <w:t>/га</w:t>
            </w:r>
          </w:p>
        </w:tc>
      </w:tr>
      <w:tr w:rsidR="002F14DE" w:rsidRPr="00A51200" w:rsidTr="00A51200">
        <w:trPr>
          <w:cantSplit/>
          <w:jc w:val="center"/>
        </w:trPr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Пар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250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2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8,5</w:t>
            </w:r>
          </w:p>
        </w:tc>
      </w:tr>
      <w:tr w:rsidR="002F14DE" w:rsidRPr="00A51200" w:rsidTr="00A51200">
        <w:trPr>
          <w:cantSplit/>
          <w:trHeight w:val="301"/>
          <w:jc w:val="center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Озимая пшеница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180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3,1</w:t>
            </w:r>
          </w:p>
        </w:tc>
      </w:tr>
      <w:tr w:rsidR="002F14DE" w:rsidRPr="00A51200" w:rsidTr="00A51200">
        <w:trPr>
          <w:cantSplit/>
          <w:jc w:val="center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Озимая пшеница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4,8</w:t>
            </w:r>
          </w:p>
        </w:tc>
      </w:tr>
      <w:tr w:rsidR="002F14DE" w:rsidRPr="00A51200" w:rsidTr="00A51200">
        <w:trPr>
          <w:cantSplit/>
          <w:jc w:val="center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Озимая пшеница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3,7</w:t>
            </w:r>
          </w:p>
        </w:tc>
      </w:tr>
      <w:tr w:rsidR="002F14DE" w:rsidRPr="00A51200" w:rsidTr="00A51200">
        <w:trPr>
          <w:cantSplit/>
          <w:jc w:val="center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Отвальная зябь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12,7</w:t>
            </w:r>
          </w:p>
        </w:tc>
      </w:tr>
      <w:tr w:rsidR="002F14DE" w:rsidRPr="00A51200" w:rsidTr="00A51200">
        <w:trPr>
          <w:cantSplit/>
          <w:trHeight w:val="376"/>
          <w:jc w:val="center"/>
        </w:trPr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Отвальная зябь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3-4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0</w:t>
            </w:r>
          </w:p>
        </w:tc>
      </w:tr>
    </w:tbl>
    <w:p w:rsidR="002F14DE" w:rsidRPr="007E1A53" w:rsidRDefault="002F14DE" w:rsidP="007E1A53">
      <w:pPr>
        <w:pStyle w:val="a5"/>
        <w:widowControl w:val="0"/>
        <w:spacing w:line="360" w:lineRule="auto"/>
        <w:ind w:firstLine="709"/>
      </w:pPr>
    </w:p>
    <w:p w:rsidR="002F14DE" w:rsidRPr="007E1A53" w:rsidRDefault="002F14DE" w:rsidP="007E1A53">
      <w:pPr>
        <w:pStyle w:val="a5"/>
        <w:widowControl w:val="0"/>
        <w:spacing w:line="360" w:lineRule="auto"/>
        <w:ind w:firstLine="709"/>
      </w:pPr>
      <w:r w:rsidRPr="007E1A53">
        <w:t>На другом поле с отвальной зябью, где сток и подток отсутствовали, смыва почвы не было. Большой смыв почвы (8,5 м</w:t>
      </w:r>
      <w:r w:rsidRPr="007E1A53">
        <w:rPr>
          <w:vertAlign w:val="superscript"/>
        </w:rPr>
        <w:t>3</w:t>
      </w:r>
      <w:r w:rsidRPr="007E1A53">
        <w:t>/га) был на паровом поле без подтока. На полях с озимой пшеницей он был значительно ниже и колебался от 3,1 до 4,8 м</w:t>
      </w:r>
      <w:r w:rsidRPr="007E1A53">
        <w:rPr>
          <w:vertAlign w:val="superscript"/>
        </w:rPr>
        <w:t>3</w:t>
      </w:r>
      <w:r w:rsidRPr="007E1A53">
        <w:t>/га. Полученный материал подтверждает высокую стокорегулирующую эффективность зяби и почвозащитную роль растительного покрова, в частности озимых культур, и низкую противоэрозионную устойчивость зяби и пара. При размещении выше по склону стокообразующего фона (озимые, многолетние травы и др.), а ниже - зяби, на ней, несмотря на отсутствие стока происходит довольно сильный смыв почвы. Также следует отметить, что лесополосы, усиленные гидротехническими сооружениями, полностью задерживали поступающий сверху транзитный сток и выносимый с полей мелкозем, то есть весь смытый материал за пределы системы стокорегулирующих лесополос не выносился.</w:t>
      </w:r>
    </w:p>
    <w:p w:rsidR="002F14DE" w:rsidRPr="007E1A53" w:rsidRDefault="002F14DE" w:rsidP="007E1A53">
      <w:pPr>
        <w:pStyle w:val="a5"/>
        <w:widowControl w:val="0"/>
        <w:spacing w:line="360" w:lineRule="auto"/>
        <w:ind w:firstLine="709"/>
      </w:pPr>
      <w:r w:rsidRPr="007E1A53">
        <w:t>Анализ данных по оценке противоэрозионной роли различных агрофонов при ливнях (табл. 3) показывает, что густопокровные культуры (озимые, просо и др.) с хорошим проективным покрытием и стерня зерновых культур, хотя и являются стокообразующим фоном, обладают высокой почвозащитной способностью. За время</w:t>
      </w:r>
      <w:r w:rsidR="007E1A53">
        <w:t xml:space="preserve"> </w:t>
      </w:r>
      <w:r w:rsidRPr="007E1A53">
        <w:t xml:space="preserve">исследований смыв почвы на полях, занятых этими культурами, практически отсутствовал. В </w:t>
      </w:r>
      <w:smartTag w:uri="urn:schemas-microsoft-com:office:smarttags" w:element="metricconverter">
        <w:smartTagPr>
          <w:attr w:name="ProductID" w:val="1999 г"/>
        </w:smartTagPr>
        <w:r w:rsidRPr="007E1A53">
          <w:t>1999 г</w:t>
        </w:r>
      </w:smartTag>
      <w:r w:rsidRPr="007E1A53">
        <w:t>. его величина составляла 5,1 м</w:t>
      </w:r>
      <w:r w:rsidRPr="007E1A53">
        <w:rPr>
          <w:vertAlign w:val="superscript"/>
        </w:rPr>
        <w:t>3</w:t>
      </w:r>
      <w:r w:rsidRPr="007E1A53">
        <w:t>/га,</w:t>
      </w:r>
      <w:r w:rsidR="007E1A53">
        <w:t xml:space="preserve"> </w:t>
      </w:r>
      <w:r w:rsidRPr="007E1A53">
        <w:t xml:space="preserve">в </w:t>
      </w:r>
      <w:smartTag w:uri="urn:schemas-microsoft-com:office:smarttags" w:element="metricconverter">
        <w:smartTagPr>
          <w:attr w:name="ProductID" w:val="2000 г"/>
        </w:smartTagPr>
        <w:r w:rsidRPr="007E1A53">
          <w:t>2000 г</w:t>
        </w:r>
      </w:smartTag>
      <w:r w:rsidRPr="007E1A53">
        <w:t xml:space="preserve">. – 17,3 и в </w:t>
      </w:r>
      <w:smartTag w:uri="urn:schemas-microsoft-com:office:smarttags" w:element="metricconverter">
        <w:smartTagPr>
          <w:attr w:name="ProductID" w:val="2001 г"/>
        </w:smartTagPr>
        <w:r w:rsidRPr="007E1A53">
          <w:t>2001 г</w:t>
        </w:r>
      </w:smartTag>
      <w:r w:rsidRPr="007E1A53">
        <w:t>. – 11,2-16,1</w:t>
      </w:r>
      <w:r w:rsidR="007E1A53">
        <w:t xml:space="preserve"> </w:t>
      </w:r>
      <w:r w:rsidRPr="007E1A53">
        <w:t>м</w:t>
      </w:r>
      <w:r w:rsidRPr="007E1A53">
        <w:rPr>
          <w:vertAlign w:val="superscript"/>
        </w:rPr>
        <w:t>3</w:t>
      </w:r>
      <w:r w:rsidRPr="007E1A53">
        <w:t>/га.</w:t>
      </w:r>
    </w:p>
    <w:p w:rsidR="002F14DE" w:rsidRPr="007E1A53" w:rsidRDefault="002F14DE" w:rsidP="007E1A53">
      <w:pPr>
        <w:pStyle w:val="a5"/>
        <w:widowControl w:val="0"/>
        <w:spacing w:line="360" w:lineRule="auto"/>
        <w:ind w:firstLine="709"/>
        <w:jc w:val="right"/>
      </w:pPr>
      <w:r w:rsidRPr="007E1A53">
        <w:t>При наличии на вышерасположенных полях стокообразующего фона смыв</w:t>
      </w:r>
    </w:p>
    <w:p w:rsidR="00A51200" w:rsidRDefault="00A51200" w:rsidP="00A51200">
      <w:pPr>
        <w:pStyle w:val="a5"/>
        <w:widowControl w:val="0"/>
        <w:spacing w:line="360" w:lineRule="auto"/>
        <w:ind w:firstLine="709"/>
        <w:jc w:val="left"/>
      </w:pPr>
    </w:p>
    <w:p w:rsidR="002F14DE" w:rsidRPr="007E1A53" w:rsidRDefault="002F14DE" w:rsidP="00A51200">
      <w:pPr>
        <w:pStyle w:val="a5"/>
        <w:widowControl w:val="0"/>
        <w:spacing w:line="360" w:lineRule="auto"/>
        <w:ind w:firstLine="709"/>
        <w:jc w:val="left"/>
      </w:pPr>
      <w:r w:rsidRPr="007E1A53">
        <w:t>Таблица 3</w:t>
      </w:r>
    </w:p>
    <w:p w:rsidR="002F14DE" w:rsidRPr="007E1A53" w:rsidRDefault="002F14DE" w:rsidP="007E1A53">
      <w:pPr>
        <w:pStyle w:val="a5"/>
        <w:widowControl w:val="0"/>
        <w:spacing w:line="360" w:lineRule="auto"/>
        <w:ind w:firstLine="709"/>
        <w:jc w:val="center"/>
        <w:rPr>
          <w:b/>
        </w:rPr>
      </w:pPr>
      <w:r w:rsidRPr="007E1A53">
        <w:rPr>
          <w:b/>
        </w:rPr>
        <w:t>Смыв почвы дождевыми водами на различных агрофонах</w:t>
      </w:r>
    </w:p>
    <w:p w:rsidR="002F14DE" w:rsidRPr="007E1A53" w:rsidRDefault="002F14DE" w:rsidP="007E1A53">
      <w:pPr>
        <w:pStyle w:val="a5"/>
        <w:widowControl w:val="0"/>
        <w:spacing w:line="360" w:lineRule="auto"/>
        <w:ind w:firstLine="709"/>
        <w:jc w:val="center"/>
        <w:rPr>
          <w:b/>
        </w:rPr>
      </w:pPr>
      <w:r w:rsidRPr="007E1A53">
        <w:rPr>
          <w:b/>
        </w:rPr>
        <w:t>в системе контурных стокорегулирующих лесополос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92"/>
        <w:gridCol w:w="2551"/>
        <w:gridCol w:w="142"/>
        <w:gridCol w:w="2126"/>
        <w:gridCol w:w="1560"/>
      </w:tblGrid>
      <w:tr w:rsidR="002F14DE" w:rsidRPr="00A51200" w:rsidTr="00B7360B">
        <w:trPr>
          <w:cantSplit/>
          <w:trHeight w:val="864"/>
          <w:jc w:val="center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Агрофон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Расстояние между</w:t>
            </w:r>
          </w:p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лесополосами, 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Крутизна</w:t>
            </w:r>
          </w:p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склона, град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14DE" w:rsidRPr="00A51200" w:rsidRDefault="002F14DE" w:rsidP="00A51200">
            <w:pPr>
              <w:pStyle w:val="a5"/>
              <w:widowControl w:val="0"/>
              <w:pBdr>
                <w:right w:val="single" w:sz="4" w:space="4" w:color="auto"/>
              </w:pBdr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Смыв почвы,</w:t>
            </w:r>
          </w:p>
          <w:p w:rsidR="002F14DE" w:rsidRPr="00A51200" w:rsidRDefault="002F14DE" w:rsidP="00A51200">
            <w:pPr>
              <w:pStyle w:val="a5"/>
              <w:widowControl w:val="0"/>
              <w:pBdr>
                <w:right w:val="single" w:sz="4" w:space="4" w:color="auto"/>
              </w:pBdr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м</w:t>
            </w:r>
            <w:r w:rsidRPr="00A51200">
              <w:rPr>
                <w:sz w:val="20"/>
                <w:vertAlign w:val="superscript"/>
              </w:rPr>
              <w:t>3</w:t>
            </w:r>
            <w:r w:rsidRPr="00A51200">
              <w:rPr>
                <w:sz w:val="20"/>
              </w:rPr>
              <w:t>/га</w:t>
            </w:r>
          </w:p>
        </w:tc>
      </w:tr>
      <w:tr w:rsidR="002F14DE" w:rsidRPr="00A51200" w:rsidTr="00B7360B">
        <w:trPr>
          <w:cantSplit/>
          <w:jc w:val="center"/>
        </w:trPr>
        <w:tc>
          <w:tcPr>
            <w:tcW w:w="7371" w:type="dxa"/>
            <w:gridSpan w:val="5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14.07.1999 г.</w:t>
            </w:r>
          </w:p>
        </w:tc>
      </w:tr>
      <w:tr w:rsidR="002F14DE" w:rsidRPr="00A51200" w:rsidTr="00B7360B">
        <w:trPr>
          <w:cantSplit/>
          <w:jc w:val="center"/>
        </w:trPr>
        <w:tc>
          <w:tcPr>
            <w:tcW w:w="992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Пар</w:t>
            </w:r>
          </w:p>
        </w:tc>
        <w:tc>
          <w:tcPr>
            <w:tcW w:w="2693" w:type="dxa"/>
            <w:gridSpan w:val="2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250</w:t>
            </w:r>
          </w:p>
        </w:tc>
        <w:tc>
          <w:tcPr>
            <w:tcW w:w="2126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8,3</w:t>
            </w:r>
          </w:p>
        </w:tc>
      </w:tr>
      <w:tr w:rsidR="002F14DE" w:rsidRPr="00A51200" w:rsidTr="00B7360B">
        <w:trPr>
          <w:cantSplit/>
          <w:trHeight w:val="171"/>
          <w:jc w:val="center"/>
        </w:trPr>
        <w:tc>
          <w:tcPr>
            <w:tcW w:w="992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Стерня</w:t>
            </w:r>
          </w:p>
        </w:tc>
        <w:tc>
          <w:tcPr>
            <w:tcW w:w="2693" w:type="dxa"/>
            <w:gridSpan w:val="2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100-180</w:t>
            </w:r>
          </w:p>
        </w:tc>
        <w:tc>
          <w:tcPr>
            <w:tcW w:w="2126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2-3</w:t>
            </w:r>
          </w:p>
        </w:tc>
        <w:tc>
          <w:tcPr>
            <w:tcW w:w="1560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0</w:t>
            </w:r>
          </w:p>
        </w:tc>
      </w:tr>
      <w:tr w:rsidR="002F14DE" w:rsidRPr="00A51200" w:rsidTr="00B7360B">
        <w:trPr>
          <w:cantSplit/>
          <w:jc w:val="center"/>
        </w:trPr>
        <w:tc>
          <w:tcPr>
            <w:tcW w:w="992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Пар</w:t>
            </w:r>
          </w:p>
        </w:tc>
        <w:tc>
          <w:tcPr>
            <w:tcW w:w="2693" w:type="dxa"/>
            <w:gridSpan w:val="2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160</w:t>
            </w:r>
          </w:p>
        </w:tc>
        <w:tc>
          <w:tcPr>
            <w:tcW w:w="2126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3</w:t>
            </w:r>
          </w:p>
        </w:tc>
        <w:tc>
          <w:tcPr>
            <w:tcW w:w="1560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61,9</w:t>
            </w:r>
          </w:p>
        </w:tc>
      </w:tr>
      <w:tr w:rsidR="002F14DE" w:rsidRPr="00A51200" w:rsidTr="00B7360B">
        <w:trPr>
          <w:cantSplit/>
          <w:jc w:val="center"/>
        </w:trPr>
        <w:tc>
          <w:tcPr>
            <w:tcW w:w="992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Пар</w:t>
            </w:r>
          </w:p>
        </w:tc>
        <w:tc>
          <w:tcPr>
            <w:tcW w:w="2693" w:type="dxa"/>
            <w:gridSpan w:val="2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60</w:t>
            </w:r>
          </w:p>
        </w:tc>
        <w:tc>
          <w:tcPr>
            <w:tcW w:w="2126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3-4</w:t>
            </w:r>
          </w:p>
        </w:tc>
        <w:tc>
          <w:tcPr>
            <w:tcW w:w="1560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5,1</w:t>
            </w:r>
          </w:p>
        </w:tc>
      </w:tr>
      <w:tr w:rsidR="002F14DE" w:rsidRPr="00A51200" w:rsidTr="00B7360B">
        <w:trPr>
          <w:cantSplit/>
          <w:jc w:val="center"/>
        </w:trPr>
        <w:tc>
          <w:tcPr>
            <w:tcW w:w="7371" w:type="dxa"/>
            <w:gridSpan w:val="5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20.07.2000 г.</w:t>
            </w:r>
          </w:p>
        </w:tc>
      </w:tr>
      <w:tr w:rsidR="002F14DE" w:rsidRPr="00A51200" w:rsidTr="00B7360B">
        <w:trPr>
          <w:cantSplit/>
          <w:jc w:val="center"/>
        </w:trPr>
        <w:tc>
          <w:tcPr>
            <w:tcW w:w="992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Залежь</w:t>
            </w:r>
          </w:p>
        </w:tc>
        <w:tc>
          <w:tcPr>
            <w:tcW w:w="2693" w:type="dxa"/>
            <w:gridSpan w:val="2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250</w:t>
            </w:r>
          </w:p>
        </w:tc>
        <w:tc>
          <w:tcPr>
            <w:tcW w:w="2126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1,3</w:t>
            </w:r>
          </w:p>
        </w:tc>
      </w:tr>
      <w:tr w:rsidR="002F14DE" w:rsidRPr="00A51200" w:rsidTr="00B7360B">
        <w:trPr>
          <w:cantSplit/>
          <w:jc w:val="center"/>
        </w:trPr>
        <w:tc>
          <w:tcPr>
            <w:tcW w:w="992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Пар</w:t>
            </w:r>
          </w:p>
        </w:tc>
        <w:tc>
          <w:tcPr>
            <w:tcW w:w="2693" w:type="dxa"/>
            <w:gridSpan w:val="2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180</w:t>
            </w:r>
          </w:p>
        </w:tc>
        <w:tc>
          <w:tcPr>
            <w:tcW w:w="2126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17,3</w:t>
            </w:r>
          </w:p>
        </w:tc>
      </w:tr>
      <w:tr w:rsidR="002F14DE" w:rsidRPr="00A51200" w:rsidTr="00B7360B">
        <w:trPr>
          <w:cantSplit/>
          <w:jc w:val="center"/>
        </w:trPr>
        <w:tc>
          <w:tcPr>
            <w:tcW w:w="992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Просо</w:t>
            </w:r>
          </w:p>
        </w:tc>
        <w:tc>
          <w:tcPr>
            <w:tcW w:w="2693" w:type="dxa"/>
            <w:gridSpan w:val="2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60-160</w:t>
            </w:r>
          </w:p>
        </w:tc>
        <w:tc>
          <w:tcPr>
            <w:tcW w:w="2126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3-4</w:t>
            </w:r>
          </w:p>
        </w:tc>
        <w:tc>
          <w:tcPr>
            <w:tcW w:w="1560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0</w:t>
            </w:r>
          </w:p>
        </w:tc>
      </w:tr>
      <w:tr w:rsidR="002F14DE" w:rsidRPr="00A51200" w:rsidTr="00B7360B">
        <w:trPr>
          <w:cantSplit/>
          <w:jc w:val="center"/>
        </w:trPr>
        <w:tc>
          <w:tcPr>
            <w:tcW w:w="7371" w:type="dxa"/>
            <w:gridSpan w:val="5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30.06.2001 г.</w:t>
            </w:r>
          </w:p>
        </w:tc>
      </w:tr>
      <w:tr w:rsidR="002F14DE" w:rsidRPr="00A51200" w:rsidTr="00B7360B">
        <w:trPr>
          <w:cantSplit/>
          <w:jc w:val="center"/>
        </w:trPr>
        <w:tc>
          <w:tcPr>
            <w:tcW w:w="992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Залежь</w:t>
            </w:r>
          </w:p>
        </w:tc>
        <w:tc>
          <w:tcPr>
            <w:tcW w:w="2693" w:type="dxa"/>
            <w:gridSpan w:val="2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180-250</w:t>
            </w:r>
          </w:p>
        </w:tc>
        <w:tc>
          <w:tcPr>
            <w:tcW w:w="2126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0</w:t>
            </w:r>
          </w:p>
        </w:tc>
      </w:tr>
      <w:tr w:rsidR="002F14DE" w:rsidRPr="00A51200" w:rsidTr="00B7360B">
        <w:trPr>
          <w:cantSplit/>
          <w:jc w:val="center"/>
        </w:trPr>
        <w:tc>
          <w:tcPr>
            <w:tcW w:w="992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Пар</w:t>
            </w:r>
          </w:p>
        </w:tc>
        <w:tc>
          <w:tcPr>
            <w:tcW w:w="2693" w:type="dxa"/>
            <w:gridSpan w:val="2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100</w:t>
            </w:r>
          </w:p>
        </w:tc>
        <w:tc>
          <w:tcPr>
            <w:tcW w:w="2126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3</w:t>
            </w:r>
          </w:p>
        </w:tc>
        <w:tc>
          <w:tcPr>
            <w:tcW w:w="1560" w:type="dxa"/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11,2</w:t>
            </w:r>
          </w:p>
        </w:tc>
      </w:tr>
      <w:tr w:rsidR="002F14DE" w:rsidRPr="00A51200" w:rsidTr="00B7360B">
        <w:trPr>
          <w:cantSplit/>
          <w:jc w:val="center"/>
        </w:trPr>
        <w:tc>
          <w:tcPr>
            <w:tcW w:w="992" w:type="dxa"/>
            <w:tcBorders>
              <w:bottom w:val="single" w:sz="4" w:space="0" w:color="auto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rPr>
                <w:sz w:val="20"/>
              </w:rPr>
            </w:pPr>
            <w:r w:rsidRPr="00A51200">
              <w:rPr>
                <w:sz w:val="20"/>
              </w:rPr>
              <w:t>Пар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F14DE" w:rsidRPr="00A51200" w:rsidRDefault="002F14DE" w:rsidP="00A51200">
            <w:pPr>
              <w:pStyle w:val="a5"/>
              <w:widowControl w:val="0"/>
              <w:spacing w:line="360" w:lineRule="auto"/>
              <w:ind w:firstLine="0"/>
              <w:jc w:val="center"/>
              <w:rPr>
                <w:sz w:val="20"/>
              </w:rPr>
            </w:pPr>
            <w:r w:rsidRPr="00A51200">
              <w:rPr>
                <w:sz w:val="20"/>
              </w:rPr>
              <w:t>16,1</w:t>
            </w:r>
          </w:p>
        </w:tc>
      </w:tr>
    </w:tbl>
    <w:p w:rsidR="002F14DE" w:rsidRPr="007E1A53" w:rsidRDefault="002F14DE" w:rsidP="007E1A53">
      <w:pPr>
        <w:widowControl w:val="0"/>
        <w:spacing w:line="360" w:lineRule="auto"/>
        <w:ind w:firstLine="709"/>
        <w:jc w:val="both"/>
        <w:rPr>
          <w:sz w:val="28"/>
        </w:rPr>
      </w:pPr>
    </w:p>
    <w:p w:rsidR="002F14DE" w:rsidRPr="007E1A53" w:rsidRDefault="002F14DE" w:rsidP="007E1A53">
      <w:pPr>
        <w:widowControl w:val="0"/>
        <w:spacing w:line="360" w:lineRule="auto"/>
        <w:ind w:firstLine="709"/>
        <w:jc w:val="both"/>
        <w:rPr>
          <w:sz w:val="28"/>
        </w:rPr>
      </w:pPr>
      <w:r w:rsidRPr="007E1A53">
        <w:rPr>
          <w:sz w:val="28"/>
        </w:rPr>
        <w:t>почвы на поле под черным паром достигал катастрофических величин (61,9 м</w:t>
      </w:r>
      <w:r w:rsidRPr="007E1A53">
        <w:rPr>
          <w:sz w:val="28"/>
          <w:vertAlign w:val="superscript"/>
        </w:rPr>
        <w:t>3</w:t>
      </w:r>
      <w:r w:rsidRPr="007E1A53">
        <w:rPr>
          <w:sz w:val="28"/>
        </w:rPr>
        <w:t>/га). Поэтому при разработке и осуществлении в Нижнем Поволжье систем "сухого" земледелия, в которой рекомендуются чистые пары, необходимо учитывать высокую податливость почвы на них смыву. Нельзя размещать их ниже стокообразующего фона и на склонах круче 2-3° без усиления лесополос гидротехническими сооружениями.</w:t>
      </w:r>
    </w:p>
    <w:p w:rsidR="002F14DE" w:rsidRDefault="00B7360B" w:rsidP="007E1A53">
      <w:pPr>
        <w:pStyle w:val="31"/>
        <w:widowControl w:val="0"/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  <w:r w:rsidR="002F14DE" w:rsidRPr="007E1A53">
        <w:rPr>
          <w:sz w:val="28"/>
        </w:rPr>
        <w:t>Список использованной литературы</w:t>
      </w:r>
    </w:p>
    <w:p w:rsidR="00320E4E" w:rsidRPr="007E1A53" w:rsidRDefault="00320E4E" w:rsidP="007E1A53">
      <w:pPr>
        <w:pStyle w:val="31"/>
        <w:widowControl w:val="0"/>
        <w:spacing w:line="360" w:lineRule="auto"/>
        <w:ind w:firstLine="709"/>
        <w:rPr>
          <w:sz w:val="28"/>
        </w:rPr>
      </w:pPr>
    </w:p>
    <w:p w:rsidR="002F14DE" w:rsidRPr="007E1A53" w:rsidRDefault="002F14DE" w:rsidP="00B7360B">
      <w:pPr>
        <w:pStyle w:val="2"/>
        <w:widowControl w:val="0"/>
        <w:spacing w:line="360" w:lineRule="auto"/>
        <w:ind w:firstLine="0"/>
        <w:jc w:val="both"/>
      </w:pPr>
      <w:r w:rsidRPr="007E1A53">
        <w:t>1. Шабаев А.И. Адаптивно-экологические системы земледелия в агроландшафтах Поволжья / ФГОУ ВПО «Саратовский ГАУ» Саратов, 2003. – 320 с.</w:t>
      </w:r>
    </w:p>
    <w:p w:rsidR="002F14DE" w:rsidRPr="007E1A53" w:rsidRDefault="002F14DE" w:rsidP="00B7360B">
      <w:pPr>
        <w:widowControl w:val="0"/>
        <w:spacing w:line="360" w:lineRule="auto"/>
        <w:jc w:val="both"/>
        <w:rPr>
          <w:sz w:val="28"/>
        </w:rPr>
      </w:pPr>
      <w:r w:rsidRPr="007E1A53">
        <w:rPr>
          <w:sz w:val="28"/>
        </w:rPr>
        <w:t>2. Атлас опустынивания сельскохозяйственных угодий Российского Прикаспия. – Волгоград: ВНИАЛМИ, 1999. – 38 с.</w:t>
      </w:r>
    </w:p>
    <w:p w:rsidR="002F14DE" w:rsidRPr="007E1A53" w:rsidRDefault="002F14DE" w:rsidP="00B7360B">
      <w:pPr>
        <w:widowControl w:val="0"/>
        <w:spacing w:line="360" w:lineRule="auto"/>
        <w:jc w:val="both"/>
        <w:rPr>
          <w:sz w:val="28"/>
        </w:rPr>
      </w:pPr>
      <w:r w:rsidRPr="007E1A53">
        <w:rPr>
          <w:sz w:val="28"/>
        </w:rPr>
        <w:t>3. Сурмач Г.П. Водная эрозия и борьба с ней. - Л.: Гидрометеоиздат, 1976. – 254 с.</w:t>
      </w:r>
    </w:p>
    <w:p w:rsidR="002F14DE" w:rsidRPr="007E1A53" w:rsidRDefault="002F14DE" w:rsidP="00B7360B">
      <w:pPr>
        <w:widowControl w:val="0"/>
        <w:spacing w:line="360" w:lineRule="auto"/>
        <w:jc w:val="both"/>
        <w:rPr>
          <w:sz w:val="28"/>
        </w:rPr>
      </w:pPr>
      <w:r w:rsidRPr="007E1A53">
        <w:rPr>
          <w:sz w:val="28"/>
        </w:rPr>
        <w:t>4.Агролесомелиоративное адаптивно-ландшафтное обустройства водосборов / И.С. Кочетов, А.Т. Барабанов, Е.А. Гаршинев, И.Г. Зыков и др. – Волгоград, 1999. – 84 с.</w:t>
      </w:r>
    </w:p>
    <w:p w:rsidR="002F14DE" w:rsidRPr="007E1A53" w:rsidRDefault="002F14DE" w:rsidP="00B7360B">
      <w:pPr>
        <w:widowControl w:val="0"/>
        <w:spacing w:line="360" w:lineRule="auto"/>
        <w:jc w:val="both"/>
        <w:rPr>
          <w:sz w:val="28"/>
        </w:rPr>
      </w:pPr>
      <w:r w:rsidRPr="007E1A53">
        <w:rPr>
          <w:sz w:val="28"/>
        </w:rPr>
        <w:t>5. Гаршинев Е.А. Эрозионно-гидрологический процесс и лесомелиорация: Экспериментальная оценка, расчет, проектирование. – Волгоград, 2002. – 220 с.</w:t>
      </w:r>
    </w:p>
    <w:p w:rsidR="002F14DE" w:rsidRPr="007E1A53" w:rsidRDefault="002F14DE" w:rsidP="00B7360B">
      <w:pPr>
        <w:widowControl w:val="0"/>
        <w:spacing w:line="360" w:lineRule="auto"/>
        <w:jc w:val="both"/>
        <w:rPr>
          <w:sz w:val="28"/>
        </w:rPr>
      </w:pPr>
      <w:r w:rsidRPr="007E1A53">
        <w:rPr>
          <w:sz w:val="28"/>
        </w:rPr>
        <w:t>6. Методическое пособие и нормативные материалы для разработки адаптивно-ландшафтных систем земледелия / А.Н. Каштанов, А.П. Щербаков, Г.П. Черкасов. – Курск, Тверь: ЧуДо, 2001. – 260 с.</w:t>
      </w:r>
    </w:p>
    <w:p w:rsidR="002F14DE" w:rsidRDefault="002F14DE" w:rsidP="00B7360B">
      <w:pPr>
        <w:widowControl w:val="0"/>
        <w:spacing w:line="360" w:lineRule="auto"/>
        <w:jc w:val="both"/>
        <w:rPr>
          <w:i/>
          <w:sz w:val="28"/>
        </w:rPr>
      </w:pPr>
      <w:r w:rsidRPr="007E1A53">
        <w:rPr>
          <w:sz w:val="28"/>
        </w:rPr>
        <w:t xml:space="preserve">Форма участия: </w:t>
      </w:r>
      <w:r w:rsidRPr="007E1A53">
        <w:rPr>
          <w:i/>
          <w:sz w:val="28"/>
        </w:rPr>
        <w:t>доклад на секционном заседании</w:t>
      </w:r>
    </w:p>
    <w:p w:rsidR="00B7360B" w:rsidRDefault="00B7360B" w:rsidP="00B7360B">
      <w:pPr>
        <w:widowControl w:val="0"/>
        <w:spacing w:line="360" w:lineRule="auto"/>
        <w:jc w:val="both"/>
        <w:rPr>
          <w:i/>
          <w:sz w:val="28"/>
        </w:rPr>
      </w:pPr>
    </w:p>
    <w:p w:rsidR="00B7360B" w:rsidRPr="00B7360B" w:rsidRDefault="00B7360B" w:rsidP="00B7360B">
      <w:pPr>
        <w:widowControl w:val="0"/>
        <w:spacing w:line="360" w:lineRule="auto"/>
        <w:jc w:val="center"/>
        <w:rPr>
          <w:color w:val="FFFFFF"/>
          <w:sz w:val="28"/>
        </w:rPr>
      </w:pPr>
      <w:bookmarkStart w:id="0" w:name="_GoBack"/>
      <w:bookmarkEnd w:id="0"/>
    </w:p>
    <w:sectPr w:rsidR="00B7360B" w:rsidRPr="00B7360B" w:rsidSect="007E1A53">
      <w:headerReference w:type="even" r:id="rId7"/>
      <w:headerReference w:type="default" r:id="rId8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108" w:rsidRDefault="00416108">
      <w:r>
        <w:separator/>
      </w:r>
    </w:p>
  </w:endnote>
  <w:endnote w:type="continuationSeparator" w:id="0">
    <w:p w:rsidR="00416108" w:rsidRDefault="0041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108" w:rsidRDefault="00416108">
      <w:r>
        <w:separator/>
      </w:r>
    </w:p>
  </w:footnote>
  <w:footnote w:type="continuationSeparator" w:id="0">
    <w:p w:rsidR="00416108" w:rsidRDefault="00416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DE" w:rsidRDefault="002F14D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14DE" w:rsidRDefault="002F14D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DE" w:rsidRDefault="002F14DE">
    <w:pPr>
      <w:pStyle w:val="a7"/>
      <w:framePr w:wrap="around" w:vAnchor="text" w:hAnchor="margin" w:xAlign="right" w:y="1"/>
      <w:rPr>
        <w:rStyle w:val="a9"/>
        <w:sz w:val="24"/>
      </w:rPr>
    </w:pPr>
  </w:p>
  <w:p w:rsidR="002F14DE" w:rsidRPr="00B7360B" w:rsidRDefault="002F14DE" w:rsidP="00B7360B">
    <w:pPr>
      <w:pStyle w:val="a7"/>
      <w:ind w:right="360"/>
      <w:jc w:val="center"/>
      <w:rPr>
        <w:color w:val="808080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74932E8"/>
    <w:multiLevelType w:val="singleLevel"/>
    <w:tmpl w:val="40CE6E3E"/>
    <w:lvl w:ilvl="0">
      <w:start w:val="1"/>
      <w:numFmt w:val="decimal"/>
      <w:lvlText w:val="%1)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>
    <w:nsid w:val="0F3C2B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10A423C6"/>
    <w:multiLevelType w:val="singleLevel"/>
    <w:tmpl w:val="55448086"/>
    <w:lvl w:ilvl="0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4BD5D1D"/>
    <w:multiLevelType w:val="singleLevel"/>
    <w:tmpl w:val="E25473A4"/>
    <w:lvl w:ilvl="0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>
    <w:nsid w:val="19395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CE2537A"/>
    <w:multiLevelType w:val="singleLevel"/>
    <w:tmpl w:val="E56CF68E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7">
    <w:nsid w:val="21086887"/>
    <w:multiLevelType w:val="singleLevel"/>
    <w:tmpl w:val="9CDC15C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  <w:i w:val="0"/>
        <w:sz w:val="28"/>
      </w:rPr>
    </w:lvl>
  </w:abstractNum>
  <w:abstractNum w:abstractNumId="8">
    <w:nsid w:val="22B5369F"/>
    <w:multiLevelType w:val="singleLevel"/>
    <w:tmpl w:val="7DF8F28C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9">
    <w:nsid w:val="34956E7D"/>
    <w:multiLevelType w:val="singleLevel"/>
    <w:tmpl w:val="232EE0B8"/>
    <w:lvl w:ilvl="0">
      <w:start w:val="5"/>
      <w:numFmt w:val="decimal"/>
      <w:lvlText w:val="1.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3BAF74B8"/>
    <w:multiLevelType w:val="singleLevel"/>
    <w:tmpl w:val="3A320D52"/>
    <w:lvl w:ilvl="0">
      <w:start w:val="1"/>
      <w:numFmt w:val="decimal"/>
      <w:lvlText w:val="%1."/>
      <w:lvlJc w:val="left"/>
      <w:pPr>
        <w:tabs>
          <w:tab w:val="num" w:pos="1040"/>
        </w:tabs>
        <w:ind w:firstLine="680"/>
      </w:pPr>
      <w:rPr>
        <w:rFonts w:cs="Times New Roman"/>
      </w:rPr>
    </w:lvl>
  </w:abstractNum>
  <w:abstractNum w:abstractNumId="11">
    <w:nsid w:val="3D6165D2"/>
    <w:multiLevelType w:val="singleLevel"/>
    <w:tmpl w:val="F09C3BB4"/>
    <w:lvl w:ilvl="0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2">
    <w:nsid w:val="3F4C0A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401C455B"/>
    <w:multiLevelType w:val="singleLevel"/>
    <w:tmpl w:val="0ADAC5C2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443C70C1"/>
    <w:multiLevelType w:val="singleLevel"/>
    <w:tmpl w:val="CBFE67B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4A333F7D"/>
    <w:multiLevelType w:val="singleLevel"/>
    <w:tmpl w:val="D676F3B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6">
    <w:nsid w:val="4AF54E8D"/>
    <w:multiLevelType w:val="singleLevel"/>
    <w:tmpl w:val="7A4422E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7">
    <w:nsid w:val="5089692F"/>
    <w:multiLevelType w:val="singleLevel"/>
    <w:tmpl w:val="14B2376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8">
    <w:nsid w:val="51685463"/>
    <w:multiLevelType w:val="singleLevel"/>
    <w:tmpl w:val="22382258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9">
    <w:nsid w:val="52000854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535079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59D33A6C"/>
    <w:multiLevelType w:val="singleLevel"/>
    <w:tmpl w:val="20AA97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5D71760B"/>
    <w:multiLevelType w:val="singleLevel"/>
    <w:tmpl w:val="AFD2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3">
    <w:nsid w:val="5E890914"/>
    <w:multiLevelType w:val="singleLevel"/>
    <w:tmpl w:val="D9AE9B76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4">
    <w:nsid w:val="5EBB08E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68DE47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695C4E20"/>
    <w:multiLevelType w:val="singleLevel"/>
    <w:tmpl w:val="BE3692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7">
    <w:nsid w:val="6D580BF9"/>
    <w:multiLevelType w:val="singleLevel"/>
    <w:tmpl w:val="E63661A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8">
    <w:nsid w:val="78594E06"/>
    <w:multiLevelType w:val="singleLevel"/>
    <w:tmpl w:val="F948046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num w:numId="1">
    <w:abstractNumId w:val="6"/>
  </w:num>
  <w:num w:numId="2">
    <w:abstractNumId w:val="26"/>
  </w:num>
  <w:num w:numId="3">
    <w:abstractNumId w:val="22"/>
  </w:num>
  <w:num w:numId="4">
    <w:abstractNumId w:val="17"/>
  </w:num>
  <w:num w:numId="5">
    <w:abstractNumId w:val="21"/>
  </w:num>
  <w:num w:numId="6">
    <w:abstractNumId w:val="1"/>
  </w:num>
  <w:num w:numId="7">
    <w:abstractNumId w:val="13"/>
  </w:num>
  <w:num w:numId="8">
    <w:abstractNumId w:val="23"/>
  </w:num>
  <w:num w:numId="9">
    <w:abstractNumId w:val="16"/>
  </w:num>
  <w:num w:numId="10">
    <w:abstractNumId w:val="9"/>
  </w:num>
  <w:num w:numId="11">
    <w:abstractNumId w:val="18"/>
  </w:num>
  <w:num w:numId="12">
    <w:abstractNumId w:val="27"/>
  </w:num>
  <w:num w:numId="13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14">
    <w:abstractNumId w:val="15"/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16">
    <w:abstractNumId w:val="25"/>
  </w:num>
  <w:num w:numId="17">
    <w:abstractNumId w:val="5"/>
  </w:num>
  <w:num w:numId="18">
    <w:abstractNumId w:val="12"/>
  </w:num>
  <w:num w:numId="19">
    <w:abstractNumId w:val="2"/>
  </w:num>
  <w:num w:numId="20">
    <w:abstractNumId w:val="7"/>
  </w:num>
  <w:num w:numId="21">
    <w:abstractNumId w:val="10"/>
  </w:num>
  <w:num w:numId="22">
    <w:abstractNumId w:val="14"/>
  </w:num>
  <w:num w:numId="23">
    <w:abstractNumId w:val="3"/>
  </w:num>
  <w:num w:numId="24">
    <w:abstractNumId w:val="4"/>
  </w:num>
  <w:num w:numId="25">
    <w:abstractNumId w:val="28"/>
  </w:num>
  <w:num w:numId="26">
    <w:abstractNumId w:val="8"/>
  </w:num>
  <w:num w:numId="27">
    <w:abstractNumId w:val="11"/>
  </w:num>
  <w:num w:numId="28">
    <w:abstractNumId w:val="20"/>
  </w:num>
  <w:num w:numId="29">
    <w:abstractNumId w:val="24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1A53"/>
    <w:rsid w:val="000574BA"/>
    <w:rsid w:val="002821CB"/>
    <w:rsid w:val="002B3A28"/>
    <w:rsid w:val="002F14DE"/>
    <w:rsid w:val="00320E4E"/>
    <w:rsid w:val="00371070"/>
    <w:rsid w:val="00416108"/>
    <w:rsid w:val="00493BD8"/>
    <w:rsid w:val="006A25AE"/>
    <w:rsid w:val="007D047C"/>
    <w:rsid w:val="007E1A53"/>
    <w:rsid w:val="00972D1C"/>
    <w:rsid w:val="00A51200"/>
    <w:rsid w:val="00B7360B"/>
    <w:rsid w:val="00EB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C42A77-05E0-4B80-9416-7EA7DCBB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spacing w:line="360" w:lineRule="auto"/>
      <w:ind w:firstLine="680"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pPr>
      <w:widowControl w:val="0"/>
      <w:spacing w:line="360" w:lineRule="auto"/>
      <w:jc w:val="center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2">
    <w:name w:val="Body Text Indent 2"/>
    <w:basedOn w:val="a"/>
    <w:link w:val="20"/>
    <w:uiPriority w:val="99"/>
    <w:pPr>
      <w:ind w:firstLine="720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</w:style>
  <w:style w:type="paragraph" w:styleId="31">
    <w:name w:val="Body Text 3"/>
    <w:basedOn w:val="a"/>
    <w:link w:val="32"/>
    <w:uiPriority w:val="99"/>
    <w:pPr>
      <w:jc w:val="center"/>
    </w:pPr>
    <w:rPr>
      <w:b/>
      <w:sz w:val="2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5">
    <w:name w:val="Body Text Indent"/>
    <w:basedOn w:val="a"/>
    <w:link w:val="a6"/>
    <w:uiPriority w:val="99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styleId="33">
    <w:name w:val="Body Text Indent 3"/>
    <w:basedOn w:val="a"/>
    <w:link w:val="34"/>
    <w:uiPriority w:val="99"/>
    <w:pPr>
      <w:ind w:firstLine="720"/>
      <w:jc w:val="both"/>
    </w:pPr>
    <w:rPr>
      <w:sz w:val="28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</w:style>
  <w:style w:type="character" w:styleId="a9">
    <w:name w:val="page number"/>
    <w:uiPriority w:val="99"/>
    <w:rPr>
      <w:rFonts w:cs="Times New Roman"/>
    </w:rPr>
  </w:style>
  <w:style w:type="paragraph" w:styleId="aa">
    <w:name w:val="foot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634</vt:lpstr>
    </vt:vector>
  </TitlesOfParts>
  <Company/>
  <LinksUpToDate>false</LinksUpToDate>
  <CharactersWithSpaces>8332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634</dc:title>
  <dc:subject/>
  <dc:creator>NASTYA</dc:creator>
  <cp:keywords/>
  <dc:description/>
  <cp:lastModifiedBy>admin</cp:lastModifiedBy>
  <cp:revision>2</cp:revision>
  <dcterms:created xsi:type="dcterms:W3CDTF">2014-03-26T11:25:00Z</dcterms:created>
  <dcterms:modified xsi:type="dcterms:W3CDTF">2014-03-26T11:25:00Z</dcterms:modified>
</cp:coreProperties>
</file>