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126DE3" w:rsidRPr="00A867C0" w:rsidRDefault="00126DE3" w:rsidP="00A867C0">
      <w:pPr>
        <w:pStyle w:val="afd"/>
        <w:rPr>
          <w:lang w:val="uk-UA"/>
        </w:rPr>
      </w:pPr>
      <w:r w:rsidRPr="00A867C0">
        <w:rPr>
          <w:lang w:val="uk-UA"/>
        </w:rPr>
        <w:t>ОЦІНКА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УМОВАХ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ПРАВОБЕРЕЖНОГО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ЛІСОСТЕПУ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УКРАЇНИ</w:t>
      </w: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A867C0" w:rsidRDefault="00A867C0" w:rsidP="00A867C0">
      <w:pPr>
        <w:pStyle w:val="afd"/>
        <w:rPr>
          <w:lang w:val="uk-UA"/>
        </w:rPr>
      </w:pPr>
    </w:p>
    <w:p w:rsidR="00126DE3" w:rsidRPr="00A867C0" w:rsidRDefault="00126DE3" w:rsidP="00A867C0">
      <w:pPr>
        <w:pStyle w:val="afd"/>
        <w:jc w:val="left"/>
        <w:rPr>
          <w:lang w:val="uk-UA"/>
        </w:rPr>
      </w:pPr>
      <w:r w:rsidRPr="00A867C0">
        <w:rPr>
          <w:lang w:val="uk-UA"/>
        </w:rPr>
        <w:t>О</w:t>
      </w:r>
      <w:r w:rsidR="00A867C0">
        <w:rPr>
          <w:lang w:val="uk-UA"/>
        </w:rPr>
        <w:t xml:space="preserve">.С. </w:t>
      </w:r>
      <w:r w:rsidRPr="00A867C0">
        <w:rPr>
          <w:lang w:val="uk-UA"/>
        </w:rPr>
        <w:t>Члек,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студентки</w:t>
      </w:r>
      <w:r w:rsidR="00A867C0" w:rsidRPr="00A867C0">
        <w:rPr>
          <w:lang w:val="uk-UA"/>
        </w:rPr>
        <w:t xml:space="preserve"> </w:t>
      </w:r>
      <w:r w:rsidRPr="00A867C0">
        <w:rPr>
          <w:lang w:val="en-US"/>
        </w:rPr>
        <w:t>IV</w:t>
      </w:r>
      <w:r w:rsidR="00A867C0" w:rsidRPr="00A867C0">
        <w:t xml:space="preserve"> </w:t>
      </w:r>
      <w:r w:rsidRPr="00A867C0">
        <w:rPr>
          <w:lang w:val="uk-UA"/>
        </w:rPr>
        <w:t>курсу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факультету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агрономії</w:t>
      </w:r>
    </w:p>
    <w:p w:rsidR="00A867C0" w:rsidRPr="00A867C0" w:rsidRDefault="00126DE3" w:rsidP="00A867C0">
      <w:pPr>
        <w:pStyle w:val="afd"/>
        <w:jc w:val="left"/>
        <w:rPr>
          <w:lang w:val="uk-UA"/>
        </w:rPr>
      </w:pPr>
      <w:r w:rsidRPr="00A867C0">
        <w:rPr>
          <w:lang w:val="uk-UA"/>
        </w:rPr>
        <w:t>Науковий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керівник</w:t>
      </w:r>
      <w:r w:rsidR="00A867C0" w:rsidRPr="00A867C0">
        <w:rPr>
          <w:lang w:val="uk-UA"/>
        </w:rPr>
        <w:t xml:space="preserve">: </w:t>
      </w:r>
      <w:r w:rsidRPr="00A867C0">
        <w:rPr>
          <w:lang w:val="uk-UA"/>
        </w:rPr>
        <w:t>доцент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ОПАЛКО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А</w:t>
      </w:r>
      <w:r w:rsidR="00A867C0" w:rsidRPr="00A867C0">
        <w:rPr>
          <w:lang w:val="uk-UA"/>
        </w:rPr>
        <w:t>.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>.</w:t>
      </w:r>
    </w:p>
    <w:p w:rsidR="00A867C0" w:rsidRPr="00A867C0" w:rsidRDefault="00A867C0" w:rsidP="00A867C0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126DE3" w:rsidRPr="00A867C0">
        <w:rPr>
          <w:lang w:val="uk-UA"/>
        </w:rPr>
        <w:t>В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Україні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основною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олійною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культурою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є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соняшник</w:t>
      </w:r>
      <w:r w:rsidRPr="00A867C0">
        <w:rPr>
          <w:lang w:val="uk-UA"/>
        </w:rPr>
        <w:t xml:space="preserve">. </w:t>
      </w:r>
      <w:r w:rsidR="00126DE3" w:rsidRPr="00A867C0">
        <w:rPr>
          <w:lang w:val="uk-UA"/>
        </w:rPr>
        <w:t>За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посівними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площами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в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світовому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землеробстві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з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олійних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культур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соняшник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поступається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лише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сої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і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займає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близько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15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мільйонів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гектарів</w:t>
      </w:r>
      <w:r w:rsidRPr="00A867C0">
        <w:rPr>
          <w:lang w:val="uk-UA"/>
        </w:rPr>
        <w:t xml:space="preserve">. </w:t>
      </w:r>
      <w:r w:rsidR="00126DE3" w:rsidRPr="00A867C0">
        <w:rPr>
          <w:lang w:val="uk-UA"/>
        </w:rPr>
        <w:t>Найбільші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посіви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його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зосереджені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в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державах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колишнього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СРСР,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США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та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в</w:t>
      </w:r>
      <w:r w:rsidRPr="00A867C0">
        <w:rPr>
          <w:lang w:val="uk-UA"/>
        </w:rPr>
        <w:t xml:space="preserve"> </w:t>
      </w:r>
      <w:r w:rsidR="00126DE3" w:rsidRPr="00A867C0">
        <w:rPr>
          <w:lang w:val="uk-UA"/>
        </w:rPr>
        <w:t>Аргентині</w:t>
      </w:r>
      <w:r w:rsidRPr="00A867C0">
        <w:rPr>
          <w:lang w:val="uk-UA"/>
        </w:rPr>
        <w:t>.</w:t>
      </w:r>
    </w:p>
    <w:p w:rsidR="00A867C0" w:rsidRP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Україні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насіння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кращих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вітчизняних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районованих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сортів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одержують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50-52%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олії,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нових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селекційних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гібридах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вихідних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матеріалах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вміст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олії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доходить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60%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Соняшник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дає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дуже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високий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вихід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олії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одиниці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площі,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який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досягає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середньому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Україні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750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кг/га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соняшникову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олію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Україні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вже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протязі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багатьох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років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припадає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середньому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98%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загального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виробництва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олії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Посівні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площі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олійних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культур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нашій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державі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сягають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1,8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мільйонів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гектарів</w:t>
      </w:r>
      <w:r w:rsidR="00A867C0" w:rsidRPr="00A867C0">
        <w:rPr>
          <w:lang w:val="uk-UA"/>
        </w:rPr>
        <w:t>.</w:t>
      </w:r>
    </w:p>
    <w:p w:rsidR="00A867C0" w:rsidRP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Селекційний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матеріал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оцінювали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згідно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методикою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Державного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сортовипробування</w:t>
      </w:r>
      <w:r w:rsidR="00A867C0" w:rsidRPr="00A867C0">
        <w:rPr>
          <w:lang w:val="uk-UA"/>
        </w:rPr>
        <w:t>.</w:t>
      </w:r>
    </w:p>
    <w:p w:rsidR="00A867C0" w:rsidRP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Гібриди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оцінюють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їх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придатністю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механізованого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збирання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урахуванням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висоти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та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вирівняності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рослин,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стійкості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вилягання,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обсипання,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нахилу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кошиків,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дружності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достигання</w:t>
      </w:r>
      <w:r w:rsidR="00A867C0" w:rsidRPr="00A867C0">
        <w:rPr>
          <w:lang w:val="uk-UA"/>
        </w:rPr>
        <w:t>.</w:t>
      </w:r>
    </w:p>
    <w:p w:rsidR="00A867C0" w:rsidRP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Масу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1000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сім’янок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визначали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двома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пробами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500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сім’янок,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кожну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зважуючи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точністю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0,1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грама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Після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чого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переводили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масу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1000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сім’янок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обраховували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середню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Розходження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між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двома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паралельними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визначеннями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повинно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перевищувати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одного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грама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Результати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приводили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вологості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12%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записували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точністю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0,1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грама</w:t>
      </w:r>
      <w:r w:rsidR="00A867C0" w:rsidRPr="00A867C0">
        <w:rPr>
          <w:lang w:val="uk-UA"/>
        </w:rPr>
        <w:t>.</w:t>
      </w:r>
    </w:p>
    <w:p w:rsidR="00A867C0" w:rsidRP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Врожайність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будь-якої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культури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тому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числі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соняшника</w:t>
      </w:r>
      <w:r w:rsidR="00A867C0" w:rsidRPr="00A867C0">
        <w:rPr>
          <w:lang w:val="uk-UA"/>
        </w:rPr>
        <w:t xml:space="preserve"> - </w:t>
      </w:r>
      <w:r w:rsidRPr="00A867C0">
        <w:rPr>
          <w:lang w:val="uk-UA"/>
        </w:rPr>
        <w:t>це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складна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комплексна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ознака,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яка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залежить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від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багатьох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компонентів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При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вирішені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доцільності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запровадження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нового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сорту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чи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головне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значення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має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його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врожайність</w:t>
      </w:r>
      <w:r w:rsidR="00A867C0" w:rsidRPr="00A867C0">
        <w:rPr>
          <w:lang w:val="uk-UA"/>
        </w:rPr>
        <w:t>.</w:t>
      </w:r>
    </w:p>
    <w:p w:rsid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розрізі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найвищий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врожай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середньому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два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роки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отримано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Дарій,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який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4,9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ц/га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перевищував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стандарт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Кий,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Погляд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поступився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стандарту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3,0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ц/га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других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Ковчег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Марко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середньому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два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роки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врожайність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була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нижчою,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ніж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стандарту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Кий,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але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різниця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була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незначною,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всього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0,1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0,5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ц/га,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що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перевищує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точності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досліду</w:t>
      </w:r>
      <w:r w:rsidR="00A867C0" w:rsidRPr="00A867C0">
        <w:rPr>
          <w:lang w:val="uk-UA"/>
        </w:rPr>
        <w:t>.</w:t>
      </w:r>
    </w:p>
    <w:p w:rsidR="00A867C0" w:rsidRPr="00E6409A" w:rsidRDefault="00E6409A" w:rsidP="00E6409A">
      <w:pPr>
        <w:pStyle w:val="af5"/>
        <w:rPr>
          <w:lang w:val="uk-UA"/>
        </w:rPr>
      </w:pPr>
      <w:r w:rsidRPr="00E6409A">
        <w:rPr>
          <w:lang w:val="uk-UA"/>
        </w:rPr>
        <w:t>соняшник гібрид селекційний матеріал</w:t>
      </w:r>
    </w:p>
    <w:p w:rsidR="00126DE3" w:rsidRPr="00A867C0" w:rsidRDefault="00126DE3" w:rsidP="00A867C0">
      <w:pPr>
        <w:tabs>
          <w:tab w:val="left" w:pos="726"/>
        </w:tabs>
        <w:rPr>
          <w:lang w:val="en-US"/>
        </w:rPr>
      </w:pPr>
      <w:r w:rsidRPr="00A867C0">
        <w:rPr>
          <w:lang w:val="uk-UA"/>
        </w:rPr>
        <w:t>1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Діаметр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кошика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соняшника,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1510"/>
        <w:gridCol w:w="1479"/>
        <w:gridCol w:w="31"/>
        <w:gridCol w:w="1375"/>
        <w:gridCol w:w="2334"/>
      </w:tblGrid>
      <w:tr w:rsidR="00126DE3" w:rsidRPr="00A867C0" w:rsidTr="008679C3">
        <w:trPr>
          <w:jc w:val="center"/>
        </w:trPr>
        <w:tc>
          <w:tcPr>
            <w:tcW w:w="2426" w:type="dxa"/>
            <w:vMerge w:val="restart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Гібрид</w:t>
            </w:r>
          </w:p>
          <w:p w:rsidR="00126DE3" w:rsidRPr="008679C3" w:rsidRDefault="00126DE3" w:rsidP="00A867C0">
            <w:pPr>
              <w:pStyle w:val="af8"/>
              <w:rPr>
                <w:lang w:val="uk-UA"/>
              </w:rPr>
            </w:pPr>
          </w:p>
        </w:tc>
        <w:tc>
          <w:tcPr>
            <w:tcW w:w="3078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Рік</w:t>
            </w:r>
          </w:p>
        </w:tc>
        <w:tc>
          <w:tcPr>
            <w:tcW w:w="3844" w:type="dxa"/>
            <w:gridSpan w:val="3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Середнє</w:t>
            </w:r>
            <w:r w:rsidR="00A867C0" w:rsidRPr="008679C3">
              <w:rPr>
                <w:lang w:val="uk-UA"/>
              </w:rPr>
              <w:t xml:space="preserve"> </w:t>
            </w:r>
            <w:r w:rsidRPr="008679C3">
              <w:rPr>
                <w:lang w:val="uk-UA"/>
              </w:rPr>
              <w:t>за</w:t>
            </w:r>
            <w:r w:rsidR="00A867C0" w:rsidRPr="008679C3">
              <w:rPr>
                <w:lang w:val="uk-UA"/>
              </w:rPr>
              <w:t xml:space="preserve"> </w:t>
            </w:r>
            <w:r w:rsidRPr="008679C3">
              <w:rPr>
                <w:lang w:val="uk-UA"/>
              </w:rPr>
              <w:t>два</w:t>
            </w:r>
            <w:r w:rsidR="00A867C0" w:rsidRPr="008679C3">
              <w:rPr>
                <w:lang w:val="uk-UA"/>
              </w:rPr>
              <w:t xml:space="preserve"> </w:t>
            </w:r>
            <w:r w:rsidRPr="008679C3">
              <w:rPr>
                <w:lang w:val="uk-UA"/>
              </w:rPr>
              <w:t>роки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vMerge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2009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2010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см</w:t>
            </w:r>
          </w:p>
        </w:tc>
        <w:tc>
          <w:tcPr>
            <w:tcW w:w="2397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+/</w:t>
            </w:r>
            <w:r w:rsidR="00A867C0" w:rsidRPr="008679C3">
              <w:rPr>
                <w:lang w:val="uk-UA"/>
              </w:rPr>
              <w:t xml:space="preserve"> - </w:t>
            </w:r>
            <w:r w:rsidRPr="008679C3">
              <w:rPr>
                <w:lang w:val="uk-UA"/>
              </w:rPr>
              <w:t>до</w:t>
            </w:r>
            <w:r w:rsidR="00A867C0" w:rsidRPr="008679C3">
              <w:rPr>
                <w:lang w:val="uk-UA"/>
              </w:rPr>
              <w:t xml:space="preserve"> </w:t>
            </w:r>
            <w:r w:rsidRPr="008679C3">
              <w:rPr>
                <w:lang w:val="uk-UA"/>
              </w:rPr>
              <w:t>стандарту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Кий</w:t>
            </w:r>
            <w:r w:rsidR="00A867C0" w:rsidRPr="008679C3">
              <w:rPr>
                <w:lang w:val="uk-UA"/>
              </w:rPr>
              <w:t xml:space="preserve"> (</w:t>
            </w:r>
            <w:r w:rsidRPr="008679C3">
              <w:rPr>
                <w:lang w:val="uk-UA"/>
              </w:rPr>
              <w:t>стандарт</w:t>
            </w:r>
            <w:r w:rsidR="00A867C0" w:rsidRPr="008679C3">
              <w:rPr>
                <w:lang w:val="uk-UA"/>
              </w:rPr>
              <w:t xml:space="preserve">) 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18,9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22,8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20,8</w:t>
            </w:r>
          </w:p>
        </w:tc>
        <w:tc>
          <w:tcPr>
            <w:tcW w:w="2397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0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Погляд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18,1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19,9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19,0</w:t>
            </w:r>
          </w:p>
        </w:tc>
        <w:tc>
          <w:tcPr>
            <w:tcW w:w="2397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-1,8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Ковчег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19,3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22,6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21,0</w:t>
            </w:r>
          </w:p>
        </w:tc>
        <w:tc>
          <w:tcPr>
            <w:tcW w:w="2397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+0,2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Дарій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18,5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23,0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20,8</w:t>
            </w:r>
          </w:p>
        </w:tc>
        <w:tc>
          <w:tcPr>
            <w:tcW w:w="2397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0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Марко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17,7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18,3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18,0</w:t>
            </w:r>
          </w:p>
        </w:tc>
        <w:tc>
          <w:tcPr>
            <w:tcW w:w="2397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-2,8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Середнє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18,5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21,3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19,9</w:t>
            </w:r>
          </w:p>
        </w:tc>
        <w:tc>
          <w:tcPr>
            <w:tcW w:w="2397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-0,9</w:t>
            </w:r>
          </w:p>
        </w:tc>
      </w:tr>
    </w:tbl>
    <w:p w:rsidR="00A867C0" w:rsidRDefault="00A867C0" w:rsidP="00A867C0">
      <w:pPr>
        <w:tabs>
          <w:tab w:val="left" w:pos="726"/>
        </w:tabs>
        <w:rPr>
          <w:lang w:val="uk-UA"/>
        </w:rPr>
      </w:pPr>
    </w:p>
    <w:p w:rsidR="00A867C0" w:rsidRP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Серед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вивчених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найменші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кошики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діаметром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були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Марко</w:t>
      </w:r>
      <w:r w:rsidR="00A867C0" w:rsidRPr="00A867C0">
        <w:rPr>
          <w:lang w:val="uk-UA"/>
        </w:rPr>
        <w:t xml:space="preserve"> - </w:t>
      </w:r>
      <w:r w:rsidRPr="00A867C0">
        <w:rPr>
          <w:lang w:val="uk-UA"/>
        </w:rPr>
        <w:t>17,7</w:t>
      </w:r>
      <w:r w:rsidR="00A867C0" w:rsidRPr="00A867C0">
        <w:rPr>
          <w:lang w:val="uk-UA"/>
        </w:rPr>
        <w:t>-</w:t>
      </w:r>
      <w:smartTag w:uri="urn:schemas-microsoft-com:office:smarttags" w:element="metricconverter">
        <w:smartTagPr>
          <w:attr w:name="ProductID" w:val="18,3 см"/>
        </w:smartTagPr>
        <w:r w:rsidRPr="00A867C0">
          <w:rPr>
            <w:lang w:val="uk-UA"/>
          </w:rPr>
          <w:t>18,3</w:t>
        </w:r>
        <w:r w:rsidR="00A867C0" w:rsidRPr="00A867C0">
          <w:rPr>
            <w:lang w:val="uk-UA"/>
          </w:rPr>
          <w:t xml:space="preserve"> </w:t>
        </w:r>
        <w:r w:rsidRPr="00A867C0">
          <w:rPr>
            <w:lang w:val="uk-UA"/>
          </w:rPr>
          <w:t>см</w:t>
        </w:r>
      </w:smartTag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середньому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два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роки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цей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кошики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,8 см"/>
        </w:smartTagPr>
        <w:r w:rsidRPr="00A867C0">
          <w:rPr>
            <w:lang w:val="uk-UA"/>
          </w:rPr>
          <w:t>2,8</w:t>
        </w:r>
        <w:r w:rsidR="00A867C0" w:rsidRPr="00A867C0">
          <w:rPr>
            <w:lang w:val="uk-UA"/>
          </w:rPr>
          <w:t xml:space="preserve"> </w:t>
        </w:r>
        <w:r w:rsidRPr="00A867C0">
          <w:rPr>
            <w:lang w:val="uk-UA"/>
          </w:rPr>
          <w:t>см</w:t>
        </w:r>
      </w:smartTag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менші,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ніж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контрольний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Кий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Гібрид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Погляд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також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менші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кошики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контрольний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1,8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Всі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інші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мало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відрізнялись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від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контрольного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Кий</w:t>
      </w:r>
      <w:r w:rsidR="00A867C0" w:rsidRPr="00A867C0">
        <w:rPr>
          <w:lang w:val="uk-UA"/>
        </w:rPr>
        <w:t xml:space="preserve"> - </w:t>
      </w:r>
      <w:r w:rsidRPr="00A867C0">
        <w:rPr>
          <w:lang w:val="uk-UA"/>
        </w:rPr>
        <w:t>Дарій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був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такий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самий,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Ковчег</w:t>
      </w:r>
      <w:r w:rsidR="00A867C0" w:rsidRPr="00A867C0">
        <w:rPr>
          <w:lang w:val="uk-UA"/>
        </w:rPr>
        <w:t xml:space="preserve"> - </w:t>
      </w:r>
      <w:r w:rsidRPr="00A867C0">
        <w:rPr>
          <w:lang w:val="uk-UA"/>
        </w:rPr>
        <w:t>більший,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але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тільки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2 см"/>
        </w:smartTagPr>
        <w:r w:rsidRPr="00A867C0">
          <w:rPr>
            <w:lang w:val="uk-UA"/>
          </w:rPr>
          <w:t>0,2</w:t>
        </w:r>
        <w:r w:rsidR="00A867C0" w:rsidRPr="00A867C0">
          <w:rPr>
            <w:lang w:val="uk-UA"/>
          </w:rPr>
          <w:t xml:space="preserve"> </w:t>
        </w:r>
        <w:r w:rsidRPr="00A867C0">
          <w:rPr>
            <w:lang w:val="uk-UA"/>
          </w:rPr>
          <w:t>см</w:t>
        </w:r>
      </w:smartTag>
      <w:r w:rsidR="00A867C0" w:rsidRPr="00A867C0">
        <w:rPr>
          <w:lang w:val="uk-UA"/>
        </w:rPr>
        <w:t>.</w:t>
      </w:r>
    </w:p>
    <w:p w:rsid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Результати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вивчення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показника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маса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1000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насінин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показують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мінливість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цього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показника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залежності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залежала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від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генотипу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умов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року</w:t>
      </w:r>
      <w:r w:rsidR="00A867C0" w:rsidRPr="00A867C0">
        <w:rPr>
          <w:lang w:val="uk-UA"/>
        </w:rPr>
        <w:t xml:space="preserve">. </w:t>
      </w:r>
    </w:p>
    <w:p w:rsidR="00A867C0" w:rsidRP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lang w:val="uk-UA"/>
        </w:rPr>
        <w:t>Ці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результати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показують,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що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характер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мінливості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показника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маси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1000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насінин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схожі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характером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мінливості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показника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врожайності</w:t>
      </w:r>
      <w:r w:rsidR="00A867C0" w:rsidRPr="00A867C0">
        <w:rPr>
          <w:lang w:val="uk-UA"/>
        </w:rPr>
        <w:t>.</w:t>
      </w:r>
    </w:p>
    <w:p w:rsidR="00A867C0" w:rsidRDefault="00A867C0" w:rsidP="00A867C0">
      <w:pPr>
        <w:tabs>
          <w:tab w:val="left" w:pos="726"/>
        </w:tabs>
        <w:rPr>
          <w:lang w:val="uk-UA"/>
        </w:rPr>
      </w:pPr>
    </w:p>
    <w:p w:rsidR="00126DE3" w:rsidRPr="00A867C0" w:rsidRDefault="00126DE3" w:rsidP="00A867C0">
      <w:pPr>
        <w:tabs>
          <w:tab w:val="left" w:pos="726"/>
        </w:tabs>
        <w:rPr>
          <w:lang w:val="en-US"/>
        </w:rPr>
      </w:pPr>
      <w:r w:rsidRPr="00A867C0">
        <w:rPr>
          <w:lang w:val="uk-UA"/>
        </w:rPr>
        <w:t>2</w:t>
      </w:r>
      <w:r w:rsidR="00A867C0" w:rsidRPr="00A867C0">
        <w:rPr>
          <w:lang w:val="uk-UA"/>
        </w:rPr>
        <w:t xml:space="preserve">. </w:t>
      </w:r>
      <w:r w:rsidRPr="00A867C0">
        <w:rPr>
          <w:lang w:val="uk-UA"/>
        </w:rPr>
        <w:t>Маса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1000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насінин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гібридів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конкурсному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випробуванні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2"/>
        <w:gridCol w:w="1558"/>
        <w:gridCol w:w="1526"/>
        <w:gridCol w:w="32"/>
        <w:gridCol w:w="1418"/>
        <w:gridCol w:w="2126"/>
      </w:tblGrid>
      <w:tr w:rsidR="00126DE3" w:rsidRPr="00A867C0" w:rsidTr="008679C3">
        <w:trPr>
          <w:jc w:val="center"/>
        </w:trPr>
        <w:tc>
          <w:tcPr>
            <w:tcW w:w="2426" w:type="dxa"/>
            <w:vMerge w:val="restart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Гібрид</w:t>
            </w:r>
          </w:p>
          <w:p w:rsidR="00126DE3" w:rsidRPr="008679C3" w:rsidRDefault="00126DE3" w:rsidP="00A867C0">
            <w:pPr>
              <w:pStyle w:val="af8"/>
              <w:rPr>
                <w:lang w:val="uk-UA"/>
              </w:rPr>
            </w:pPr>
          </w:p>
        </w:tc>
        <w:tc>
          <w:tcPr>
            <w:tcW w:w="3078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Рік</w:t>
            </w:r>
          </w:p>
        </w:tc>
        <w:tc>
          <w:tcPr>
            <w:tcW w:w="3569" w:type="dxa"/>
            <w:gridSpan w:val="3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Середнє</w:t>
            </w:r>
            <w:r w:rsidR="00A867C0" w:rsidRPr="008679C3">
              <w:rPr>
                <w:lang w:val="uk-UA"/>
              </w:rPr>
              <w:t xml:space="preserve"> </w:t>
            </w:r>
            <w:r w:rsidRPr="008679C3">
              <w:rPr>
                <w:lang w:val="uk-UA"/>
              </w:rPr>
              <w:t>за</w:t>
            </w:r>
            <w:r w:rsidR="00A867C0" w:rsidRPr="008679C3">
              <w:rPr>
                <w:lang w:val="uk-UA"/>
              </w:rPr>
              <w:t xml:space="preserve"> </w:t>
            </w:r>
            <w:r w:rsidRPr="008679C3">
              <w:rPr>
                <w:lang w:val="uk-UA"/>
              </w:rPr>
              <w:t>два</w:t>
            </w:r>
            <w:r w:rsidR="00A867C0" w:rsidRPr="008679C3">
              <w:rPr>
                <w:lang w:val="uk-UA"/>
              </w:rPr>
              <w:t xml:space="preserve"> </w:t>
            </w:r>
            <w:r w:rsidRPr="008679C3">
              <w:rPr>
                <w:lang w:val="uk-UA"/>
              </w:rPr>
              <w:t>роки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vMerge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2009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2010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г</w:t>
            </w:r>
          </w:p>
        </w:tc>
        <w:tc>
          <w:tcPr>
            <w:tcW w:w="2122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+/</w:t>
            </w:r>
            <w:r w:rsidR="00A867C0" w:rsidRPr="008679C3">
              <w:rPr>
                <w:lang w:val="uk-UA"/>
              </w:rPr>
              <w:t xml:space="preserve"> - </w:t>
            </w:r>
            <w:r w:rsidRPr="008679C3">
              <w:rPr>
                <w:lang w:val="uk-UA"/>
              </w:rPr>
              <w:t>до</w:t>
            </w:r>
            <w:r w:rsidR="00A867C0" w:rsidRPr="008679C3">
              <w:rPr>
                <w:lang w:val="uk-UA"/>
              </w:rPr>
              <w:t xml:space="preserve"> </w:t>
            </w:r>
            <w:r w:rsidRPr="008679C3">
              <w:rPr>
                <w:lang w:val="uk-UA"/>
              </w:rPr>
              <w:t>стандарту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Кий</w:t>
            </w:r>
            <w:r w:rsidR="00A867C0" w:rsidRPr="008679C3">
              <w:rPr>
                <w:lang w:val="uk-UA"/>
              </w:rPr>
              <w:t xml:space="preserve"> (</w:t>
            </w:r>
            <w:r w:rsidRPr="008679C3">
              <w:rPr>
                <w:lang w:val="uk-UA"/>
              </w:rPr>
              <w:t>стандарт</w:t>
            </w:r>
            <w:r w:rsidR="00A867C0" w:rsidRPr="008679C3">
              <w:rPr>
                <w:lang w:val="uk-UA"/>
              </w:rPr>
              <w:t xml:space="preserve">) 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58,6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51,2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54,9</w:t>
            </w:r>
          </w:p>
        </w:tc>
        <w:tc>
          <w:tcPr>
            <w:tcW w:w="2122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0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Погляд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56,1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49,8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53,0</w:t>
            </w:r>
          </w:p>
        </w:tc>
        <w:tc>
          <w:tcPr>
            <w:tcW w:w="2122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-1,9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Ковчег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63,4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60,1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61,8</w:t>
            </w:r>
          </w:p>
        </w:tc>
        <w:tc>
          <w:tcPr>
            <w:tcW w:w="2122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+6,9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Дарій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51,4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50,2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50,8</w:t>
            </w:r>
          </w:p>
        </w:tc>
        <w:tc>
          <w:tcPr>
            <w:tcW w:w="2122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-4,1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Марко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48,3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38,8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43,6</w:t>
            </w:r>
          </w:p>
        </w:tc>
        <w:tc>
          <w:tcPr>
            <w:tcW w:w="2122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-11,3</w:t>
            </w:r>
          </w:p>
        </w:tc>
      </w:tr>
      <w:tr w:rsidR="00126DE3" w:rsidRPr="00A867C0" w:rsidTr="008679C3">
        <w:trPr>
          <w:jc w:val="center"/>
        </w:trPr>
        <w:tc>
          <w:tcPr>
            <w:tcW w:w="2426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Середнє</w:t>
            </w:r>
          </w:p>
        </w:tc>
        <w:tc>
          <w:tcPr>
            <w:tcW w:w="155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55,6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50,2</w:t>
            </w:r>
          </w:p>
        </w:tc>
        <w:tc>
          <w:tcPr>
            <w:tcW w:w="1415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52,9</w:t>
            </w:r>
          </w:p>
        </w:tc>
        <w:tc>
          <w:tcPr>
            <w:tcW w:w="2122" w:type="dxa"/>
            <w:shd w:val="clear" w:color="auto" w:fill="auto"/>
          </w:tcPr>
          <w:p w:rsidR="00126DE3" w:rsidRPr="008679C3" w:rsidRDefault="00126DE3" w:rsidP="00A867C0">
            <w:pPr>
              <w:pStyle w:val="af8"/>
              <w:rPr>
                <w:lang w:val="uk-UA"/>
              </w:rPr>
            </w:pPr>
            <w:r w:rsidRPr="008679C3">
              <w:rPr>
                <w:lang w:val="uk-UA"/>
              </w:rPr>
              <w:t>-2,0</w:t>
            </w:r>
          </w:p>
        </w:tc>
      </w:tr>
    </w:tbl>
    <w:p w:rsidR="00A867C0" w:rsidRDefault="00A867C0" w:rsidP="00A867C0">
      <w:pPr>
        <w:tabs>
          <w:tab w:val="left" w:pos="726"/>
        </w:tabs>
        <w:rPr>
          <w:b/>
          <w:lang w:val="uk-UA"/>
        </w:rPr>
      </w:pPr>
    </w:p>
    <w:p w:rsidR="00A867C0" w:rsidRDefault="00126DE3" w:rsidP="00A867C0">
      <w:pPr>
        <w:tabs>
          <w:tab w:val="left" w:pos="726"/>
        </w:tabs>
        <w:rPr>
          <w:lang w:val="uk-UA"/>
        </w:rPr>
      </w:pPr>
      <w:r w:rsidRPr="00A867C0">
        <w:rPr>
          <w:b/>
          <w:lang w:val="uk-UA"/>
        </w:rPr>
        <w:t>Висновок</w:t>
      </w:r>
      <w:r w:rsidR="00A867C0" w:rsidRPr="00A867C0">
        <w:rPr>
          <w:b/>
          <w:lang w:val="uk-UA"/>
        </w:rPr>
        <w:t xml:space="preserve">: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рівнями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врожайності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кращими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були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умови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200</w:t>
      </w:r>
      <w:r w:rsidRPr="00A867C0">
        <w:t>9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року,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коли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врожай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середньому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був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майже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10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ц/га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вищий,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середньому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два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роки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кращим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був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гібрид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Дарій,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який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забезпечив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30,15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ц/га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насіння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соняшнику,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що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4,9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ц/га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більше,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ніж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стандарт</w:t>
      </w:r>
      <w:r w:rsidR="00A867C0" w:rsidRPr="00A867C0">
        <w:rPr>
          <w:lang w:val="uk-UA"/>
        </w:rPr>
        <w:t xml:space="preserve"> </w:t>
      </w:r>
      <w:r w:rsidRPr="00A867C0">
        <w:rPr>
          <w:lang w:val="uk-UA"/>
        </w:rPr>
        <w:t>Кий</w:t>
      </w:r>
      <w:r w:rsidR="00A867C0" w:rsidRPr="00A867C0">
        <w:rPr>
          <w:lang w:val="uk-UA"/>
        </w:rPr>
        <w:t>.</w:t>
      </w:r>
    </w:p>
    <w:p w:rsidR="00126DE3" w:rsidRPr="00A867C0" w:rsidRDefault="00126DE3" w:rsidP="00A867C0">
      <w:pPr>
        <w:pStyle w:val="af5"/>
        <w:rPr>
          <w:color w:val="000000"/>
        </w:rPr>
      </w:pPr>
      <w:bookmarkStart w:id="0" w:name="_GoBack"/>
      <w:bookmarkEnd w:id="0"/>
    </w:p>
    <w:sectPr w:rsidR="00126DE3" w:rsidRPr="00A867C0" w:rsidSect="00A867C0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9C3" w:rsidRDefault="008679C3">
      <w:r>
        <w:separator/>
      </w:r>
    </w:p>
  </w:endnote>
  <w:endnote w:type="continuationSeparator" w:id="0">
    <w:p w:rsidR="008679C3" w:rsidRDefault="0086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9C3" w:rsidRDefault="008679C3">
      <w:r>
        <w:separator/>
      </w:r>
    </w:p>
  </w:footnote>
  <w:footnote w:type="continuationSeparator" w:id="0">
    <w:p w:rsidR="008679C3" w:rsidRDefault="00867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7C0" w:rsidRDefault="00A867C0" w:rsidP="00A867C0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8C7"/>
    <w:rsid w:val="00126DE3"/>
    <w:rsid w:val="001B21EF"/>
    <w:rsid w:val="001F0699"/>
    <w:rsid w:val="002B18C7"/>
    <w:rsid w:val="002E5FD7"/>
    <w:rsid w:val="002F01A5"/>
    <w:rsid w:val="00304AAE"/>
    <w:rsid w:val="003432D0"/>
    <w:rsid w:val="00403200"/>
    <w:rsid w:val="00487E76"/>
    <w:rsid w:val="004C2ECC"/>
    <w:rsid w:val="00504D68"/>
    <w:rsid w:val="006B5881"/>
    <w:rsid w:val="00735A9D"/>
    <w:rsid w:val="0079422F"/>
    <w:rsid w:val="007D1C1D"/>
    <w:rsid w:val="008679C3"/>
    <w:rsid w:val="0087741E"/>
    <w:rsid w:val="00955EB1"/>
    <w:rsid w:val="009B3522"/>
    <w:rsid w:val="009B7B6C"/>
    <w:rsid w:val="00A867C0"/>
    <w:rsid w:val="00B24184"/>
    <w:rsid w:val="00D705F2"/>
    <w:rsid w:val="00DE75C2"/>
    <w:rsid w:val="00E6409A"/>
    <w:rsid w:val="00F53354"/>
    <w:rsid w:val="00FB4650"/>
    <w:rsid w:val="00F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0FC901-B9C6-4081-B0D7-538CD34E1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867C0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A867C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A867C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A867C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A867C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A867C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A867C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A867C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A867C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A867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867C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867C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A867C0"/>
  </w:style>
  <w:style w:type="character" w:customStyle="1" w:styleId="a8">
    <w:name w:val="Основни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A867C0"/>
    <w:rPr>
      <w:rFonts w:cs="Times New Roman"/>
      <w:color w:val="0000FF"/>
      <w:u w:val="single"/>
    </w:rPr>
  </w:style>
  <w:style w:type="character" w:customStyle="1" w:styleId="a6">
    <w:name w:val="Верхній колонтитул Знак"/>
    <w:link w:val="a4"/>
    <w:uiPriority w:val="99"/>
    <w:semiHidden/>
    <w:locked/>
    <w:rsid w:val="00A867C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A867C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867C0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A867C0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A867C0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A867C0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A867C0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A867C0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A867C0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A867C0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A867C0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A867C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A867C0"/>
    <w:rPr>
      <w:color w:val="FFFFFF"/>
    </w:rPr>
  </w:style>
  <w:style w:type="paragraph" w:customStyle="1" w:styleId="af6">
    <w:name w:val="содержание"/>
    <w:uiPriority w:val="99"/>
    <w:rsid w:val="00A867C0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867C0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A867C0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A867C0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A867C0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A867C0"/>
    <w:rPr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A867C0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A867C0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ОЦІНКА ГІБРИДІВ СОНЯШНИКА В УМОВАХ ПРАВОБЕРЕЖНОГО ЛІСОСТЕПУ УКРАЇНИ</vt:lpstr>
    </vt:vector>
  </TitlesOfParts>
  <Company>Alert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ОЦІНКА ГІБРИДІВ СОНЯШНИКА В УМОВАХ ПРАВОБЕРЕЖНОГО ЛІСОСТЕПУ УКРАЇНИ</dc:title>
  <dc:subject/>
  <dc:creator>BloodAlerT</dc:creator>
  <cp:keywords/>
  <dc:description/>
  <cp:lastModifiedBy>Irina</cp:lastModifiedBy>
  <cp:revision>2</cp:revision>
  <dcterms:created xsi:type="dcterms:W3CDTF">2014-08-12T13:33:00Z</dcterms:created>
  <dcterms:modified xsi:type="dcterms:W3CDTF">2014-08-12T13:33:00Z</dcterms:modified>
</cp:coreProperties>
</file>