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C5" w:rsidRDefault="00D05F5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</w:t>
      </w:r>
      <w:r>
        <w:br/>
      </w:r>
      <w:r>
        <w:rPr>
          <w:b/>
          <w:bCs/>
        </w:rPr>
        <w:t xml:space="preserve">2 Зарождение </w:t>
      </w:r>
      <w:r>
        <w:rPr>
          <w:b/>
          <w:bCs/>
        </w:rPr>
        <w:br/>
        <w:t>2.1 Франция</w:t>
      </w:r>
      <w:r>
        <w:rPr>
          <w:b/>
          <w:bCs/>
        </w:rPr>
        <w:br/>
        <w:t xml:space="preserve">2.2 Англия </w:t>
      </w:r>
      <w:r>
        <w:rPr>
          <w:b/>
          <w:bCs/>
        </w:rPr>
        <w:br/>
        <w:t>2.2.1 Переосмысление классики</w:t>
      </w:r>
      <w:r>
        <w:rPr>
          <w:b/>
          <w:bCs/>
        </w:rPr>
        <w:br/>
        <w:t>2.2.2 Готика и интерес к Средневековью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3 Хронология</w:t>
      </w:r>
      <w:r>
        <w:br/>
      </w:r>
      <w:r>
        <w:rPr>
          <w:b/>
          <w:bCs/>
        </w:rPr>
        <w:t>Список литературы</w:t>
      </w:r>
    </w:p>
    <w:p w:rsidR="00C959C5" w:rsidRDefault="00D05F5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59C5" w:rsidRDefault="00D05F51">
      <w:pPr>
        <w:pStyle w:val="a3"/>
      </w:pPr>
      <w:r>
        <w:t>Предромантизм — в общепринятом в российском и советском литературоведении смысле, комплекс явлений в английской литературе второй половины XVIII века, включающий кладбищенскую поэзию, готический роман и оссианизм.</w:t>
      </w:r>
    </w:p>
    <w:p w:rsidR="00C959C5" w:rsidRDefault="00D05F51">
      <w:pPr>
        <w:pStyle w:val="21"/>
        <w:pageBreakBefore/>
        <w:numPr>
          <w:ilvl w:val="0"/>
          <w:numId w:val="0"/>
        </w:numPr>
      </w:pPr>
      <w:r>
        <w:t>1. Термин</w:t>
      </w:r>
    </w:p>
    <w:p w:rsidR="00C959C5" w:rsidRDefault="00D05F51">
      <w:pPr>
        <w:pStyle w:val="a3"/>
      </w:pPr>
      <w:r>
        <w:t>Есть существенная разница в употреблении этого термина во Франции (где он и зародился) и в Англии. Впервые, вероятно, его применил Даниэль Морнэ в журнальной статье 1909 года</w:t>
      </w:r>
      <w:r>
        <w:rPr>
          <w:position w:val="10"/>
        </w:rPr>
        <w:t>[1]</w:t>
      </w:r>
      <w:r>
        <w:t>, затем, в 1912, Фортунат Стровски в «Хронологии французской литературы XIX века», и в 1924 году Поль Ван Тигем в своем влиятельном труде «Предромантизм» (</w:t>
      </w:r>
      <w:r>
        <w:rPr>
          <w:i/>
          <w:iCs/>
        </w:rPr>
        <w:t>Le préromantisme</w:t>
      </w:r>
      <w:r>
        <w:t>). Французский термин означает преимущественно сентиментализм в духе Руссо, аббата Прево и Бернардена де Сен-Пьера. Именно в этом значении и во французской форме (преромантизм, Л. Галицкий) он появляется в «Литературной энциклопедии» (1935, со справедливо скептическим отношением).</w:t>
      </w:r>
    </w:p>
    <w:p w:rsidR="00C959C5" w:rsidRDefault="00D05F51">
      <w:pPr>
        <w:pStyle w:val="a3"/>
      </w:pPr>
      <w:r>
        <w:t>Английский термин появляется в 1927 году в «Истории английской литературы» Эмиля Легуи и Луи Казамяна (книга IV называется «Период предромантизма (1770-98)»). Именно там вместе сгруппированы оссианизм и готический роман. В таком смысле (уже как «английский предромантизм») термин употребляется в статье Теодора Левита о кладбищенской поэзии в той же «Литературной энциклопедии» (1931).</w:t>
      </w:r>
    </w:p>
    <w:p w:rsidR="00C959C5" w:rsidRDefault="00D05F51">
      <w:pPr>
        <w:pStyle w:val="21"/>
        <w:pageBreakBefore/>
        <w:numPr>
          <w:ilvl w:val="0"/>
          <w:numId w:val="0"/>
        </w:numPr>
      </w:pPr>
      <w:r>
        <w:t xml:space="preserve">2. Зарождение </w:t>
      </w:r>
    </w:p>
    <w:p w:rsidR="00C959C5" w:rsidRDefault="00D05F51">
      <w:pPr>
        <w:pStyle w:val="a3"/>
      </w:pPr>
      <w:r>
        <w:t>Фридрих Мейнеке называет три основных причины зарождения предромантических настроений:</w:t>
      </w:r>
    </w:p>
    <w:p w:rsidR="00C959C5" w:rsidRDefault="00D05F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радость от простого общения со стариной</w:t>
      </w:r>
    </w:p>
    <w:p w:rsidR="00C959C5" w:rsidRDefault="00D05F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осознанное культивирование духа прирожденной аристократии, питавшегося воспоминаниями о Средневековье</w:t>
      </w:r>
    </w:p>
    <w:p w:rsidR="00C959C5" w:rsidRDefault="00D05F51">
      <w:pPr>
        <w:pStyle w:val="a3"/>
        <w:numPr>
          <w:ilvl w:val="0"/>
          <w:numId w:val="3"/>
        </w:numPr>
        <w:tabs>
          <w:tab w:val="left" w:pos="707"/>
        </w:tabs>
      </w:pPr>
      <w:r>
        <w:t>интерес к ранним и средневековым временам европейских народов, в особенности северян</w:t>
      </w:r>
    </w:p>
    <w:p w:rsidR="00C959C5" w:rsidRDefault="00D05F51">
      <w:pPr>
        <w:pStyle w:val="31"/>
        <w:numPr>
          <w:ilvl w:val="0"/>
          <w:numId w:val="0"/>
        </w:numPr>
      </w:pPr>
      <w:r>
        <w:t>2.1. Франция</w:t>
      </w:r>
    </w:p>
    <w:p w:rsidR="00C959C5" w:rsidRDefault="00D05F51">
      <w:pPr>
        <w:pStyle w:val="a3"/>
      </w:pPr>
      <w:r>
        <w:t>Строительство в готическом стиле продолжалось во Франции еще в строго классицистскую эпоху Людовика XIV, и высокообразованный коллекционер аббат Мишель де Мароль смог сформировать вкус, позволявший оценивать красоту готических сооружений.</w:t>
      </w:r>
    </w:p>
    <w:p w:rsidR="00C959C5" w:rsidRDefault="00D05F51">
      <w:pPr>
        <w:pStyle w:val="a3"/>
      </w:pPr>
      <w:r>
        <w:t>В ту же пору возник интерес к поэзии трубадуров, поддерживавшийся на всем протяжении XVIII в. Жан-Батист де Ла Кюрн де Сент-Пале, собиравший поэзию трубадуров, предпринял широко задуманную акцию по спасению чести средневекового рыцарства и в ноябре 1746 г. прочитал перед членами Академии надписей и литературы первый из своих пяти «Мемуаров о древнем рыцарстве».</w:t>
      </w:r>
    </w:p>
    <w:p w:rsidR="00C959C5" w:rsidRDefault="00D05F51">
      <w:pPr>
        <w:pStyle w:val="a3"/>
      </w:pPr>
      <w:r>
        <w:t xml:space="preserve">Книга молодого женевца Малле </w:t>
      </w:r>
      <w:r>
        <w:rPr>
          <w:i/>
          <w:iCs/>
        </w:rPr>
        <w:t>Introduction à l’Histoire de Dannemarc</w:t>
      </w:r>
      <w:r>
        <w:t xml:space="preserve"> (1755) открыла для новой Европы чудесный огромный мир Эдд и старонордического героизма. Книга, вышедшая в Копенгагене, не имела значения для тогдашней Франции, но тем важнее она оказалась для Англии и Германии, где пробудила «манию Севера», вошедшую в моду, и воодушевила поэтов на обращение к северным сюжетам.</w:t>
      </w:r>
    </w:p>
    <w:p w:rsidR="00C959C5" w:rsidRDefault="00D05F51">
      <w:pPr>
        <w:pStyle w:val="31"/>
        <w:numPr>
          <w:ilvl w:val="0"/>
          <w:numId w:val="0"/>
        </w:numPr>
      </w:pPr>
      <w:r>
        <w:t xml:space="preserve">2.2. Англия </w:t>
      </w:r>
    </w:p>
    <w:p w:rsidR="00C959C5" w:rsidRDefault="00D05F51">
      <w:pPr>
        <w:pStyle w:val="41"/>
        <w:numPr>
          <w:ilvl w:val="0"/>
          <w:numId w:val="0"/>
        </w:numPr>
      </w:pPr>
      <w:r>
        <w:t>Переосмысление классики</w:t>
      </w:r>
    </w:p>
    <w:p w:rsidR="00C959C5" w:rsidRDefault="00D05F51">
      <w:pPr>
        <w:pStyle w:val="a3"/>
      </w:pPr>
      <w:r>
        <w:t>Книги Томаса Блэкуэлла и Роберта Вуда о Гомере изображали его оригинальным гением, природно-грубым певцом первобытных нравов своего времени. В том же духе толковал «Песнь песней» Роберт Лоут в книге «</w:t>
      </w:r>
      <w:r>
        <w:rPr>
          <w:i/>
          <w:iCs/>
        </w:rPr>
        <w:t>De sacra poesi Hebraeorum</w:t>
      </w:r>
      <w:r>
        <w:t>». Лоут установил, что священная поэзия с ее гимнами и песнопениями повсюду является началом, наглядно представив чисто человеческое и историческое содержание Библии. Две книги, имеющие важнейшее значение для западной системы образования — Библия и Гомер — обрели благодаря Блэкуэллу, Лоуту и Вуду новый яркий смысл. Спор о первенстве Гомера или Вергилия начал, символизируя еще более масштабную баталию, оборачиваться в пользу Гомера.</w:t>
      </w:r>
    </w:p>
    <w:p w:rsidR="00C959C5" w:rsidRDefault="00D05F51">
      <w:pPr>
        <w:pStyle w:val="41"/>
        <w:numPr>
          <w:ilvl w:val="0"/>
          <w:numId w:val="0"/>
        </w:numPr>
      </w:pPr>
      <w:r>
        <w:t>Готика и интерес к Средневековью</w:t>
      </w:r>
    </w:p>
    <w:p w:rsidR="00C959C5" w:rsidRDefault="00D05F51">
      <w:pPr>
        <w:pStyle w:val="a3"/>
      </w:pPr>
      <w:r>
        <w:t>Хорас Уолпол начал с 1750 г. перестраивать и достраивать в готическом вкусе свой сельский дом в Строберри Хилл около Виндзора, превращая его в странный, но живописный комплекс зданий. Этот стиль называли готикой эпохи рококо. Он воспринимался как в высшей степени эклектический и неподлинный. То же впечатление дикой эклектичности и ложной «средневековости» производил и знаменитый роман Уолпола «Замок Отранто» (1756).</w:t>
      </w:r>
    </w:p>
    <w:p w:rsidR="00C959C5" w:rsidRDefault="00D05F51">
      <w:pPr>
        <w:pStyle w:val="a3"/>
      </w:pPr>
      <w:r>
        <w:t>Друг Томаса Грея Ричард Хёрд в своих «Письмах о рыцарстве и рыцарских романах» (важную службу ему сослужила работа Сент Пале) объявлял готические нравы и фантазии более пригодными для целей поэзии, нежели классические. Впрочем, Хёрд отмечал, что в нынешнюю эпоху разума поэту нельзя советовать работать с готическими вымыслами, так как они сохраняли силу лишь до тех пор, пока имели корни в народной вере. «</w:t>
      </w:r>
      <w:r>
        <w:rPr>
          <w:i/>
          <w:iCs/>
        </w:rPr>
        <w:t>Если архитектор проверяет готическое здание в соответствии с правилами греческого зодчества, то он не обнаружит в таком здании ничего, кроме бесформенности. Но у готического зодчества имеются собственные правила, в соответствии с которыми, если дойдет до такого рода проверки, его ценность проявится так же зримо, как и ценность греческого зодчества</w:t>
      </w:r>
      <w:r>
        <w:t>». «Письма» оказали сильное влияние на Гамана и Гердера.</w:t>
      </w:r>
    </w:p>
    <w:p w:rsidR="00C959C5" w:rsidRDefault="00D05F51">
      <w:pPr>
        <w:pStyle w:val="a3"/>
      </w:pPr>
      <w:r>
        <w:t>Ещё до Херда в своих «Заметках о Королеве фей» выступил в защиту рыцарства Томас Уортон, который позже в своей большой работе «История английской поэзии» использовал идеи Хёрда и Малле.</w:t>
      </w:r>
    </w:p>
    <w:p w:rsidR="00C959C5" w:rsidRDefault="00D05F51">
      <w:pPr>
        <w:pStyle w:val="a3"/>
      </w:pPr>
      <w:r>
        <w:t>В 1760-63 годах Макферсон опубликовал сборник песен Оссиана.</w:t>
      </w:r>
    </w:p>
    <w:p w:rsidR="00C959C5" w:rsidRDefault="00D05F51">
      <w:pPr>
        <w:pStyle w:val="a3"/>
      </w:pPr>
      <w:r>
        <w:t>Не менее значима была публикация Томасом Перси сборника баллад «Остатки древней английской поэзии». Мощное воздействие этого сборника было неожиданным и для самого составителя. В соответствии с меняющимися вкусами публика искала в старых балладах «простоту» и «чувство».</w:t>
      </w:r>
    </w:p>
    <w:p w:rsidR="00C959C5" w:rsidRDefault="00D05F51">
      <w:pPr>
        <w:pStyle w:val="21"/>
        <w:pageBreakBefore/>
        <w:numPr>
          <w:ilvl w:val="0"/>
          <w:numId w:val="0"/>
        </w:numPr>
      </w:pPr>
      <w:r>
        <w:t>3. Хронология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1735 — вышло «Исследование жизни и произведений Гомера» Томаса Блэкуэлла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1740 — Томас Грей и Хорас Уолпол путешествуют по Франции и Италии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1750 — Уолпол начинает перестраивать в готическом стиле Строберри-Хилл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1753 — вышел трактат Роберта Лоута «О священной поэзии евреев»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1754 — вышли «Заметки о „Королеве фей“» Томаса Уортона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1755 — вышло «Введение в историю Дании» Малле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1756 — вышел «Замок Отранто» Уолпола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1759 — вышли «Заметки об оригинальном творчестве» Эдварда Юнга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1760 — вышла 1-я часть оссианических фрагментов Джеймса Макферсона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1762 — вышли «Письма о рыцарстве и рыцарских романах» Ричарда Хёрда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1765 — вышел сборник древнеанглийских баллад, составленный Томасом Перси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1766 — вышел немецкий перевод книги Блэкуэлла о Гомере, сделанный Фоссом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1769 — вышел «Опыт о прирожденном гении и творениях Гомера» Роберта Вуда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1770 — Томас Перси сделал английский перевод книги Малле</w:t>
      </w:r>
    </w:p>
    <w:p w:rsidR="00C959C5" w:rsidRDefault="00D05F51">
      <w:pPr>
        <w:pStyle w:val="a3"/>
        <w:numPr>
          <w:ilvl w:val="0"/>
          <w:numId w:val="2"/>
        </w:numPr>
        <w:tabs>
          <w:tab w:val="left" w:pos="707"/>
        </w:tabs>
      </w:pPr>
      <w:r>
        <w:t>1774 — вышел 1-й том «Истории английской поэзии» Томаса Уортона</w:t>
      </w:r>
    </w:p>
    <w:p w:rsidR="00C959C5" w:rsidRDefault="00D05F5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959C5" w:rsidRDefault="00D05F51">
      <w:pPr>
        <w:pStyle w:val="a3"/>
        <w:numPr>
          <w:ilvl w:val="0"/>
          <w:numId w:val="1"/>
        </w:numPr>
        <w:tabs>
          <w:tab w:val="left" w:pos="707"/>
        </w:tabs>
      </w:pPr>
      <w:r>
        <w:t>Mornet D., Un préromantique (Loaisel de Tréogate), «Revue d’histoire littéraire de la France», 1909, juillet — septembre, p. 491—500.</w:t>
      </w:r>
    </w:p>
    <w:p w:rsidR="00C959C5" w:rsidRDefault="00D05F51">
      <w:pPr>
        <w:pStyle w:val="a3"/>
        <w:spacing w:after="0"/>
      </w:pPr>
      <w:r>
        <w:t>Источник: http://ru.wikipedia.org/wiki/Предромантизм</w:t>
      </w:r>
      <w:bookmarkStart w:id="0" w:name="_GoBack"/>
      <w:bookmarkEnd w:id="0"/>
    </w:p>
    <w:sectPr w:rsidR="00C959C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F51"/>
    <w:rsid w:val="00776D4C"/>
    <w:rsid w:val="00C959C5"/>
    <w:rsid w:val="00D0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029DA-A171-45F1-92CD-D5E780D5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4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2014-05-15T23:19:00Z</dcterms:created>
  <dcterms:modified xsi:type="dcterms:W3CDTF">2014-05-15T23:19:00Z</dcterms:modified>
</cp:coreProperties>
</file>