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8C" w:rsidRDefault="00FA088C">
      <w:pPr>
        <w:pStyle w:val="1"/>
        <w:outlineLvl w:val="0"/>
      </w:pPr>
      <w:r>
        <w:t>ПЛАН</w:t>
      </w:r>
    </w:p>
    <w:p w:rsidR="00FA088C" w:rsidRDefault="00FA088C">
      <w:pPr>
        <w:pStyle w:val="10"/>
        <w:tabs>
          <w:tab w:val="right" w:leader="dot" w:pos="9345"/>
        </w:tabs>
        <w:rPr>
          <w:noProof/>
        </w:rPr>
      </w:pPr>
      <w:r>
        <w:rPr>
          <w:noProof/>
        </w:rPr>
        <w:t>Введение</w:t>
      </w:r>
      <w:r>
        <w:rPr>
          <w:noProof/>
        </w:rPr>
        <w:tab/>
        <w:t>3</w:t>
      </w:r>
    </w:p>
    <w:p w:rsidR="00FA088C" w:rsidRDefault="00FA088C">
      <w:pPr>
        <w:pStyle w:val="10"/>
        <w:tabs>
          <w:tab w:val="right" w:leader="dot" w:pos="9345"/>
        </w:tabs>
        <w:rPr>
          <w:noProof/>
        </w:rPr>
      </w:pPr>
      <w:r>
        <w:rPr>
          <w:noProof/>
        </w:rPr>
        <w:t>1. Взаимодействие факторов формирования культуры Древней Руси</w:t>
      </w:r>
      <w:r>
        <w:rPr>
          <w:noProof/>
        </w:rPr>
        <w:tab/>
        <w:t>5</w:t>
      </w:r>
    </w:p>
    <w:p w:rsidR="00FA088C" w:rsidRDefault="00FA088C">
      <w:pPr>
        <w:pStyle w:val="10"/>
        <w:tabs>
          <w:tab w:val="right" w:leader="dot" w:pos="9345"/>
        </w:tabs>
        <w:rPr>
          <w:noProof/>
        </w:rPr>
      </w:pPr>
      <w:r>
        <w:rPr>
          <w:noProof/>
        </w:rPr>
        <w:t>2. Архитектура Древней Руси</w:t>
      </w:r>
      <w:r>
        <w:rPr>
          <w:noProof/>
        </w:rPr>
        <w:tab/>
        <w:t>7</w:t>
      </w:r>
    </w:p>
    <w:p w:rsidR="00FA088C" w:rsidRDefault="00FA088C">
      <w:pPr>
        <w:pStyle w:val="10"/>
        <w:tabs>
          <w:tab w:val="right" w:leader="dot" w:pos="9345"/>
        </w:tabs>
        <w:rPr>
          <w:noProof/>
        </w:rPr>
      </w:pPr>
      <w:r>
        <w:rPr>
          <w:noProof/>
        </w:rPr>
        <w:t>3. Искусство вместо культуры</w:t>
      </w:r>
      <w:r>
        <w:rPr>
          <w:noProof/>
        </w:rPr>
        <w:tab/>
        <w:t>10</w:t>
      </w:r>
    </w:p>
    <w:p w:rsidR="00FA088C" w:rsidRDefault="00FA088C">
      <w:pPr>
        <w:pStyle w:val="10"/>
        <w:tabs>
          <w:tab w:val="right" w:leader="dot" w:pos="9345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  <w:t>12</w:t>
      </w:r>
    </w:p>
    <w:p w:rsidR="00FA088C" w:rsidRDefault="00FA088C">
      <w:pPr>
        <w:pStyle w:val="10"/>
        <w:tabs>
          <w:tab w:val="right" w:leader="dot" w:pos="9345"/>
        </w:tabs>
        <w:rPr>
          <w:noProof/>
        </w:rPr>
      </w:pPr>
      <w:r>
        <w:rPr>
          <w:noProof/>
        </w:rPr>
        <w:t>Литература</w:t>
      </w:r>
      <w:r>
        <w:rPr>
          <w:noProof/>
        </w:rPr>
        <w:tab/>
        <w:t>13</w:t>
      </w:r>
    </w:p>
    <w:p w:rsidR="00FA088C" w:rsidRDefault="00FA088C">
      <w:pPr>
        <w:pStyle w:val="1"/>
        <w:outlineLvl w:val="0"/>
      </w:pPr>
      <w:r>
        <w:br w:type="page"/>
      </w:r>
      <w:bookmarkStart w:id="0" w:name="_Toc512390505"/>
      <w:r>
        <w:t>Введение</w:t>
      </w:r>
      <w:bookmarkEnd w:id="0"/>
    </w:p>
    <w:p w:rsidR="00FA088C" w:rsidRDefault="00FA088C">
      <w:r>
        <w:t>Русская культура уникальна, но именно сочетанием особенностей, которые можно обнаружить и в других культурах. Своеобразие русской культуры было предметом внимания многих исследователей. Существовало множество идейных течений, в которых как-то выражалось отношение к русской культуре; славянофильство, западничество, панславизм, славянофобия и русофобия, младороссы и т.п. А в 20-е гг. в эмиграции оформилось евразийство, или евразийское движение, одним из основоположников которого был князь Н.С. Трубецкой. Это оригинальное учение провозгласило азиатский элемент в культуре России и осуждало ее стремление быть похожей на Европу. О русской культуре было столько учений и идей, что они в целом едва ли не превосходят идейный багаж самой культуры. Рассмотрим два вопроса, непосредственно относящиеся к Древней Руси, а затем сделаем общий обзор последующего развития русской культуры, чтобы как-то определиться в отношении ее особенностей.</w:t>
      </w:r>
    </w:p>
    <w:p w:rsidR="00FA088C" w:rsidRDefault="00FA088C">
      <w:r>
        <w:t>Слово “русь” употреблялось для обозначения дружины киевского князя. Точного объяснения этого слова до сих пор не найдено. Предполагают, что так называлось варяжское племя, из которого вышли первые русские князья. В Х в. Русью именовался высший слой русского общества, в основном княжеская дружина, состоявшая преимущественно из тех же варягов. Выражение “Русская земля” появилось в 945 г. и имело уже географическое значение: так называлась в основном Киевская земля, где более густо селились пришлые варяги. В XI-XII вв. Русью и Русской землей называли государство, т.е. эти слова приобрели политическое значение. В Х в. русское общество включало высший слой (русь), куда входили варяги, и славянское простонародье. Позже оно составило низшие слои русского общества, отличавшиеся правами и обязанностями от высших слоев. Из местных и пришлых племен в конечном итоге сформировалось общество Киевской Руси.</w:t>
      </w:r>
    </w:p>
    <w:p w:rsidR="00FA088C" w:rsidRDefault="00FA088C"/>
    <w:p w:rsidR="00FA088C" w:rsidRDefault="00FA088C">
      <w:pPr>
        <w:pStyle w:val="1"/>
        <w:outlineLvl w:val="0"/>
      </w:pPr>
      <w:bookmarkStart w:id="1" w:name="_Toc512390506"/>
      <w:r>
        <w:t>1. Взаимодействие факторов формирования культуры Древней Руси</w:t>
      </w:r>
      <w:bookmarkEnd w:id="1"/>
    </w:p>
    <w:p w:rsidR="00FA088C" w:rsidRDefault="00FA088C">
      <w:r>
        <w:t>Природные, психологические и бытовые факторы формирования культуры Древней Руси совсем не предполагали жесткой и централизованной власти. Централизованный способ правления, утвердившийся на Руси, парализовал стихийное и свободное созревание природных и личностных начал древнерусского человека, обусловил их неопределенность, невнятность выражения, а также их жесткую зависимость от среды, от социальности. Природные и психологические факторы оказались в плену у социального фактора, поскольку социальность никогда не воспринималась простым человеком на Руси как дело его собственных рук. Часто плен социальности понимался им как плен самой жизни, что обессиливало его и гасило интерес к ней. Это не могло не сказаться на развитии культуры, где самыми неразвитыми оказались природные, психологические, бытовые сферы и отношения между людьми. Сказалось это и на соответствующих потребностях, которые у человека на Руси были явно заниженными.</w:t>
      </w:r>
    </w:p>
    <w:p w:rsidR="00FA088C" w:rsidRDefault="00FA088C">
      <w:r>
        <w:t>Вполне устойчивый характер имело на Руси земледелие. Охота, рыболовство, бортничество играли подчиненную роль в хозяйстве, развивались в основном под воздействием торговых отношений с другими народами. Благодаря быстрому росту городов развивалось ремесло. К концу периода древности на Руси было около 300 городов. Расцветало металлургическое производство, более всего направленное на изготовление оружия и военных доспехов. Распространялось и ювелирное ремесло. Была освоена различная техника изготовлении ювелирных изделий: ковка, чеканка, в том числе и рельефная, позолота, инкрустация, зернь, скань, эмаль. Широкое развитие получили обработка дерева, строительное дело. Мастера на Руси были знакомы и с иконописным делом, были среди них книжные писцы, косторезы. В связи с тем что на Руси важнейшими путями сообщения являлись реки и озера, осваивалось производство легких речных судов с низкой осадкой – ладей, челнов, стругов. Истинного мастерства русские люди добивались, когда делали что-нибудь для других, а не для себя, когда работали “на показ”, стремясь кого-нибудь превзойти, перещеголять.</w:t>
      </w:r>
    </w:p>
    <w:p w:rsidR="00FA088C" w:rsidRDefault="00FA088C">
      <w:pPr>
        <w:pStyle w:val="1"/>
        <w:outlineLvl w:val="0"/>
      </w:pPr>
      <w:bookmarkStart w:id="2" w:name="_Toc512390507"/>
    </w:p>
    <w:p w:rsidR="00FA088C" w:rsidRDefault="00FA088C">
      <w:pPr>
        <w:pStyle w:val="1"/>
        <w:outlineLvl w:val="0"/>
      </w:pPr>
      <w:r>
        <w:t>2. Архитектура Древней Руси</w:t>
      </w:r>
      <w:bookmarkEnd w:id="2"/>
    </w:p>
    <w:p w:rsidR="00FA088C" w:rsidRDefault="00FA088C">
      <w:r>
        <w:t>Крещение Руси положило начало возведению храмов, монастырей. первоначально они были деревянными. Каменное строительство, возникшее под влиянием Византии, начинается в Киеве в конце Х в. В центре города была сооружена Десятинная церковь. Интенсивное строительство велось при Ярославе Мудром: были возведены Софийский собор, Золотые ворота, церковь Богородицы, Юрьев и Ирининский монастыри. Вслед за киевской Софией строятся Софийские соборы в Новгороде и Полоцке. Тем самым подчеркивалось политическое и культурное единство Руси. Соборы и церкви строились во многих городах. Но русские мастера не копировали церковные сооружения Византии. Киевская София, конструктивные особенности которой послужили образцом для одноименных соборов в Новгороде и Полоцке, совершенно оригинальна, ее замысел восходит к национальной деревянной архитектуре. В русских храмах воплощена идея космичности человека и человекообразности космоса, которая характерна для фольклора. Храм – это неземной мир в условиях земного существования, и у русского человека с ним ассоциируется прежде всего душа, которая, если исходить из языческого мировосприятия, человекоподобна. Славяноязыческая культурная традиция проявлялась в устройстве храмов, которое “символически напоминало об устройстве Вселенной и “малого мира” – человека. Антропоморфические черты храма обнаруживались в названиях отдельных его частей: глава, шея (барабан), плечи, подошва, бровки над окнами. Его устройство было ориентировано на стороны света, а росписи напоминали о Вселенной, ее истории – Ветхом и Новом Заветах, о будущем человечества – конце мира и Страшном суде. Церковь стремилась поднять человека над суетными заботами дня и показать ему мир в его устройстве и истории, пронизывающей всю иерархию явлений и событий”</w:t>
      </w:r>
      <w:r>
        <w:rPr>
          <w:rStyle w:val="a9"/>
        </w:rPr>
        <w:footnoteReference w:id="1"/>
      </w:r>
      <w:r>
        <w:t>.</w:t>
      </w:r>
    </w:p>
    <w:p w:rsidR="00FA088C" w:rsidRDefault="00FA088C">
      <w:r>
        <w:t>Влияние дохристианских представлений заметно во многих видах древнерусского искусства. Даже в тех, корней которых в язычестве быть не могло. Иконопись, хотя и целиком унаследованная от греков, была переработана русскими художниками в традициях “языческой жизнерадостности”. Ученики византийцев становились мастерами и создавали национальное искусство Древней Руси. Языческие символы использовались в декоративно-прикладном искусстве, орнаментальных композициях, наносимых на предметы быта, оружие, украшения. Солнце изображалось в виде круга, вода – в, виде волнистых линий, животные и птицы - как сказочные существа. Благодаря язычеству в искусстве сохранялось виденье земной жизни и независимость от христианского мировоззрения.</w:t>
      </w:r>
    </w:p>
    <w:p w:rsidR="00FA088C" w:rsidRDefault="00FA088C">
      <w:r>
        <w:t>В русской иконописи Богородица занимала центральное место, ей отводилась роль Царицы Небесной. Такое же место было у Софии – Премудрости Божией. Но богородичные иконы, как считал русский философ Е.Н. Трубецкой, в художественном отношений полнее, красочнее и совершеннее. Он объяснял это так: “Икона св. Софии Премудрости Божией выражает собою еще не раскрытую тайну замысла Божия о твари. А Богоматерь, собравшая мир вокруг предвечного Младенца, олицетворяет Собою осуществление и раскрытие того же самого замысла. Именно эту соборную, собранную воедино вселенную замыслил Бог в Своей Премудрости: именно ее Он хотел; и именно ею должно быть побеждено хаотическое царство смерти”</w:t>
      </w:r>
      <w:r>
        <w:rPr>
          <w:rStyle w:val="a9"/>
        </w:rPr>
        <w:footnoteReference w:id="2"/>
      </w:r>
      <w:r>
        <w:t>. С почитанием Богородицы связаны представления о женской сущности Руси, которые имеются в русском фольклоре. Они обязывали по-особому любить Русь, но вместе с тем вызывали желание всегда быть у нее под защитой, никогда не выходить из того возраста, когда еще можно быть у матери на руках. Эти же представления рождали опасения насилия над Русью, надругательств над ней со стороны “чужих”, “пришлых”.</w:t>
      </w:r>
    </w:p>
    <w:p w:rsidR="00FA088C" w:rsidRDefault="00FA088C">
      <w:pPr>
        <w:pStyle w:val="1"/>
        <w:outlineLvl w:val="0"/>
      </w:pPr>
      <w:bookmarkStart w:id="3" w:name="_Toc512390508"/>
    </w:p>
    <w:p w:rsidR="00FA088C" w:rsidRDefault="00FA088C">
      <w:pPr>
        <w:pStyle w:val="1"/>
        <w:outlineLvl w:val="0"/>
      </w:pPr>
      <w:r>
        <w:t>3. Искусство вместо КУЛЬТУРЫ</w:t>
      </w:r>
      <w:bookmarkEnd w:id="3"/>
    </w:p>
    <w:p w:rsidR="00FA088C" w:rsidRDefault="00FA088C">
      <w:r>
        <w:t>Казенность и искусственность власти в России ярко проявлялись в культуре светского общества, которое в образах немецкой или французской культуры видело примеры для подражания. Власть, пытавшаяся переделать на немецкий или французский лад не только собственные манеры, но и манеры своих подданных, не могла восприниматься как своя власть. По крайней мере со времен Петра I границы Российской империи проходили не только между империей и другими странами, но еще и между народом и властью. Не удивительно, что насаждавшаяся властью культура воспринималась в народе как что-то заграничное и искусственное. Культура на Руси еще и до XVII в. отождествлялась с искусством</w:t>
      </w:r>
      <w:r>
        <w:rPr>
          <w:rStyle w:val="a9"/>
        </w:rPr>
        <w:footnoteReference w:id="3"/>
      </w:r>
      <w:r>
        <w:t>, т.е. с чем-то ненастоящим, мнимым, но пробуждающим интерес и отвлекающим от повседневных забот. После петровских реформ многое в русской жизни стало искусственным. Сословное деление общества, бюрократический аппарат, администрирование, многочисленные инструкции – все это должно было бы служить общему подъему социальной культуры, но в действительности усиливало лишь недоверие к культуре вообще. Такое недоверие к культуре как к чему-то искусственному, без чего в принципе можно в жизни обойтись, наблюдается в обществе и сегодня. Прежде всего недоверием к культуре. объясняется тот факт, что ее развитие не является первоочередной заботой ни правительства, ни рядовых граждан России, Но это недоверие выражается чаще всего по отношению к своей, отечественной культуре, которая оценивается заведомо ниже западной. До XVIII в. положение было иным, эталоном считалась византийская культура, но со времен Петра I знаки плюс и минус поменялись местами. И восточная, и западная ориентации российской культуры носили совершенно искусственный характер и лишь препятствовали созреванию своего, самобытного культурного образа. Отсутствие определенности в культуре вызывает необходимость все время оценивать, сопоставлять, сравнивать различные явления друг с другом, а не с традициями или идеалами, которые значительно облегчают сам процесс оценивания. Интересно, что это выражается даже в составе слов русского языка. По подсчетам специалистов, свыше сорока процентов русской лексики носит оценочный характер, а в любом другом языке – не больше пятнадцати</w:t>
      </w:r>
      <w:r>
        <w:rPr>
          <w:rStyle w:val="a9"/>
        </w:rPr>
        <w:footnoteReference w:id="4"/>
      </w:r>
      <w:r>
        <w:t>. Язык свидетельствует о неопределенности не только в культуре, но и в человеке. С неопределенностью связаны и вечные поиски правды, которые так характерны для русской культуры. Правдой русский человек интересовался больше, чем собственными правами, но за его поисками правды всегда скрывались опасения быть обманутым в искусственном мире русской культуры и государственности. Но эти опасения не предохраняли его от обманов, от увлечения видимостью, иллюзией.</w:t>
      </w:r>
    </w:p>
    <w:p w:rsidR="00FA088C" w:rsidRDefault="00FA088C">
      <w:pPr>
        <w:pStyle w:val="1"/>
        <w:outlineLvl w:val="0"/>
      </w:pPr>
      <w:bookmarkStart w:id="4" w:name="_Toc512390509"/>
    </w:p>
    <w:p w:rsidR="00FA088C" w:rsidRDefault="00FA088C">
      <w:pPr>
        <w:pStyle w:val="1"/>
        <w:outlineLvl w:val="0"/>
      </w:pPr>
      <w:r>
        <w:t>Заключение</w:t>
      </w:r>
      <w:bookmarkEnd w:id="4"/>
    </w:p>
    <w:p w:rsidR="00FA088C" w:rsidRDefault="00FA088C">
      <w:r>
        <w:t>Именно свободное личное чувство является залогом дальнейшего существования русской культуры. Для подлинного освобождения чувства должна умереть идея абсолютной зависимости культуры от государства и его учреждений. Лишь с отказом от этой идеи может наступить, образно, говоря, воскресение культуры России, а значит, и самой России. Но это уже будет совсем иной облик культуры: не столько национальный, сколько человеческий. В истории мировой культуры есть примеры подобных воскресений. России тоже путь не заказан.</w:t>
      </w:r>
    </w:p>
    <w:p w:rsidR="00FA088C" w:rsidRDefault="00FA088C">
      <w:r>
        <w:t>Что касается предметного вида русской культуры, то он скорее всего будет тяготеть к обрядности Русской Православной Церкви. В ней еще не утрачены способы выражения национального характера культуры, сохранены ритуалы, обряды и традиции, приспособленные к условиям российской действительности. Но необходимо понимание того, что идеи христианства, столь близкие русской культуре, осуществляются прежде всего посредством личной веры, личных чувств и мыслей. Если этого нет, то Христос, как говорится, “напрасно умер”. Не так ли с русской культурой: она была, но если она не продолжается в нашей вере, в нашем чувстве и отношении к ней, то она была напрасно.</w:t>
      </w:r>
    </w:p>
    <w:p w:rsidR="00FA088C" w:rsidRDefault="00FA088C">
      <w:pPr>
        <w:pStyle w:val="1"/>
        <w:outlineLvl w:val="0"/>
      </w:pPr>
      <w:r>
        <w:br w:type="page"/>
      </w:r>
      <w:bookmarkStart w:id="5" w:name="_Toc512390510"/>
      <w:r>
        <w:t>Литература</w:t>
      </w:r>
      <w:bookmarkEnd w:id="5"/>
    </w:p>
    <w:p w:rsidR="00FA088C" w:rsidRDefault="00FA088C">
      <w:pPr>
        <w:numPr>
          <w:ilvl w:val="0"/>
          <w:numId w:val="1"/>
        </w:numPr>
        <w:tabs>
          <w:tab w:val="clear" w:pos="360"/>
          <w:tab w:val="num" w:pos="1080"/>
        </w:tabs>
        <w:ind w:left="1080"/>
      </w:pPr>
      <w:r>
        <w:t>Вайль П., Генис А. Страна слов // Новый мир. 1991. № 4.</w:t>
      </w:r>
    </w:p>
    <w:p w:rsidR="00FA088C" w:rsidRDefault="00FA088C">
      <w:pPr>
        <w:numPr>
          <w:ilvl w:val="0"/>
          <w:numId w:val="1"/>
        </w:numPr>
        <w:tabs>
          <w:tab w:val="clear" w:pos="360"/>
          <w:tab w:val="num" w:pos="1080"/>
        </w:tabs>
        <w:ind w:left="1080"/>
      </w:pPr>
      <w:r>
        <w:t>Кульчинский Г. Безъязыковая гласность // Век XX и мир. 1990. № 9..</w:t>
      </w:r>
    </w:p>
    <w:p w:rsidR="00FA088C" w:rsidRDefault="00FA088C">
      <w:pPr>
        <w:numPr>
          <w:ilvl w:val="0"/>
          <w:numId w:val="1"/>
        </w:numPr>
        <w:tabs>
          <w:tab w:val="clear" w:pos="360"/>
          <w:tab w:val="num" w:pos="1080"/>
        </w:tabs>
        <w:ind w:left="1080"/>
      </w:pPr>
      <w:r>
        <w:t>Лихачев Д. С. “Русская культура в современном мире”. М., 1985</w:t>
      </w:r>
    </w:p>
    <w:p w:rsidR="00FA088C" w:rsidRDefault="00FA088C">
      <w:pPr>
        <w:numPr>
          <w:ilvl w:val="0"/>
          <w:numId w:val="1"/>
        </w:numPr>
        <w:tabs>
          <w:tab w:val="clear" w:pos="360"/>
          <w:tab w:val="num" w:pos="1080"/>
        </w:tabs>
        <w:ind w:left="1080"/>
      </w:pPr>
      <w:r>
        <w:t>Лихачев Д. С. Человек в литературе Древней Руси. М., 1970.</w:t>
      </w:r>
    </w:p>
    <w:p w:rsidR="00FA088C" w:rsidRDefault="00FA088C">
      <w:pPr>
        <w:numPr>
          <w:ilvl w:val="0"/>
          <w:numId w:val="1"/>
        </w:numPr>
        <w:tabs>
          <w:tab w:val="clear" w:pos="360"/>
          <w:tab w:val="num" w:pos="1080"/>
        </w:tabs>
        <w:ind w:left="1080"/>
      </w:pPr>
      <w:r>
        <w:t>Трубецкой Е.Н. Умозрение в красках: вопрос о смысле жизни в древнерусской религиозной живописи / Репринт. М., 1990.</w:t>
      </w:r>
    </w:p>
    <w:p w:rsidR="00FA088C" w:rsidRDefault="00FA088C">
      <w:bookmarkStart w:id="6" w:name="_GoBack"/>
      <w:bookmarkEnd w:id="6"/>
    </w:p>
    <w:sectPr w:rsidR="00FA088C">
      <w:headerReference w:type="default" r:id="rId7"/>
      <w:footerReference w:type="default" r:id="rId8"/>
      <w:pgSz w:w="11906" w:h="16838"/>
      <w:pgMar w:top="1134" w:right="850" w:bottom="1134" w:left="1701" w:header="454" w:footer="454" w:gutter="0"/>
      <w:paperSrc w:first="1" w:other="1"/>
      <w:pgNumType w:start="2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88C" w:rsidRDefault="00FA088C">
      <w:pPr>
        <w:spacing w:line="240" w:lineRule="auto"/>
      </w:pPr>
      <w:r>
        <w:separator/>
      </w:r>
    </w:p>
  </w:endnote>
  <w:endnote w:type="continuationSeparator" w:id="0">
    <w:p w:rsidR="00FA088C" w:rsidRDefault="00FA08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88C" w:rsidRDefault="00D22DA3">
    <w:pPr>
      <w:pStyle w:val="a4"/>
      <w:framePr w:wrap="auto" w:vAnchor="text" w:hAnchor="margin" w:xAlign="center" w:y="1"/>
      <w:rPr>
        <w:rStyle w:val="a6"/>
        <w:sz w:val="20"/>
        <w:szCs w:val="20"/>
      </w:rPr>
    </w:pPr>
    <w:r>
      <w:rPr>
        <w:rStyle w:val="a6"/>
        <w:sz w:val="20"/>
        <w:szCs w:val="20"/>
      </w:rPr>
      <w:t>2</w:t>
    </w:r>
  </w:p>
  <w:p w:rsidR="00FA088C" w:rsidRDefault="00FA088C">
    <w:pPr>
      <w:pStyle w:val="a4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88C" w:rsidRDefault="00FA088C">
      <w:pPr>
        <w:spacing w:line="240" w:lineRule="auto"/>
      </w:pPr>
      <w:r>
        <w:separator/>
      </w:r>
    </w:p>
  </w:footnote>
  <w:footnote w:type="continuationSeparator" w:id="0">
    <w:p w:rsidR="00FA088C" w:rsidRDefault="00FA088C">
      <w:pPr>
        <w:spacing w:line="240" w:lineRule="auto"/>
      </w:pPr>
      <w:r>
        <w:continuationSeparator/>
      </w:r>
    </w:p>
  </w:footnote>
  <w:footnote w:id="1">
    <w:p w:rsidR="00FA088C" w:rsidRDefault="00FA088C">
      <w:pPr>
        <w:pStyle w:val="a8"/>
      </w:pPr>
      <w:r>
        <w:rPr>
          <w:rStyle w:val="a9"/>
        </w:rPr>
        <w:footnoteRef/>
      </w:r>
      <w:r>
        <w:t xml:space="preserve"> Лихачев Д. С. Человек в литературе Древней Руси. М., 1970. С. 61-62.</w:t>
      </w:r>
    </w:p>
  </w:footnote>
  <w:footnote w:id="2">
    <w:p w:rsidR="00FA088C" w:rsidRDefault="00FA088C">
      <w:pPr>
        <w:pStyle w:val="a8"/>
      </w:pPr>
      <w:r>
        <w:rPr>
          <w:rStyle w:val="a9"/>
        </w:rPr>
        <w:footnoteRef/>
      </w:r>
      <w:r>
        <w:t xml:space="preserve"> Трубецкой Е.Н. Умозрение в красках: вопрос о смысле жизни в древнерусской религиозной живописи / Репринт. М., 1990. С. 36-37.</w:t>
      </w:r>
    </w:p>
  </w:footnote>
  <w:footnote w:id="3">
    <w:p w:rsidR="00FA088C" w:rsidRDefault="00FA088C">
      <w:pPr>
        <w:pStyle w:val="a8"/>
      </w:pPr>
      <w:r>
        <w:rPr>
          <w:rStyle w:val="a9"/>
        </w:rPr>
        <w:footnoteRef/>
      </w:r>
      <w:r>
        <w:t xml:space="preserve"> Лихачев Д. С. “Русская культура в современном мире”, а также: Вайль П., Генис А. Страна слов // Новый мир. 1991. № 4. С. 250.</w:t>
      </w:r>
    </w:p>
  </w:footnote>
  <w:footnote w:id="4">
    <w:p w:rsidR="00FA088C" w:rsidRDefault="00FA088C">
      <w:pPr>
        <w:pStyle w:val="a8"/>
      </w:pPr>
      <w:r>
        <w:rPr>
          <w:rStyle w:val="a9"/>
        </w:rPr>
        <w:footnoteRef/>
      </w:r>
      <w:r>
        <w:t xml:space="preserve"> Кульчинский Г. Безъязыковая гласность // Век XX и мир. 1990. № 9. С. 45.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88C" w:rsidRDefault="00FA088C">
    <w:pPr>
      <w:pStyle w:val="ac"/>
      <w:ind w:firstLine="0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9F5B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DA3"/>
    <w:rsid w:val="000C5A9D"/>
    <w:rsid w:val="00505799"/>
    <w:rsid w:val="00D22DA3"/>
    <w:rsid w:val="00FA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ADD081-553F-4B69-B4FB-0FE2F3DF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line="384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keepLines/>
      <w:spacing w:after="567" w:line="240" w:lineRule="auto"/>
      <w:ind w:firstLine="0"/>
      <w:jc w:val="center"/>
    </w:pPr>
    <w:rPr>
      <w:rFonts w:ascii="Tahoma" w:hAnsi="Tahoma" w:cs="Tahoma"/>
      <w:b/>
      <w:bCs/>
      <w:caps/>
      <w:kern w:val="28"/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spacing w:after="400"/>
      <w:ind w:left="709"/>
    </w:pPr>
    <w:rPr>
      <w:b/>
      <w:bCs/>
      <w:i/>
      <w:iCs/>
    </w:rPr>
  </w:style>
  <w:style w:type="paragraph" w:customStyle="1" w:styleId="3">
    <w:name w:val="заголовок 3"/>
    <w:basedOn w:val="a"/>
    <w:next w:val="a"/>
    <w:uiPriority w:val="99"/>
    <w:pPr>
      <w:keepNext/>
      <w:spacing w:before="60" w:after="60" w:line="360" w:lineRule="auto"/>
      <w:ind w:left="1134"/>
    </w:pPr>
    <w:rPr>
      <w:rFonts w:ascii="Arial" w:hAnsi="Arial" w:cs="Arial"/>
      <w:b/>
      <w:bCs/>
    </w:rPr>
  </w:style>
  <w:style w:type="character" w:customStyle="1" w:styleId="a3">
    <w:name w:val="Основной шрифт"/>
    <w:uiPriority w:val="99"/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pacing w:line="240" w:lineRule="auto"/>
      <w:ind w:firstLine="0"/>
      <w:jc w:val="left"/>
    </w:pPr>
    <w:rPr>
      <w:noProof/>
      <w:sz w:val="24"/>
      <w:szCs w:val="24"/>
      <w:lang w:val="en-US"/>
    </w:r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8"/>
      <w:szCs w:val="28"/>
    </w:rPr>
  </w:style>
  <w:style w:type="character" w:customStyle="1" w:styleId="a6">
    <w:name w:val="номер страницы"/>
    <w:uiPriority w:val="99"/>
    <w:rPr>
      <w:sz w:val="24"/>
      <w:szCs w:val="24"/>
    </w:rPr>
  </w:style>
  <w:style w:type="paragraph" w:customStyle="1" w:styleId="10">
    <w:name w:val="оглавление 1"/>
    <w:basedOn w:val="a"/>
    <w:next w:val="a"/>
    <w:autoRedefine/>
    <w:uiPriority w:val="99"/>
    <w:pPr>
      <w:keepNext/>
      <w:ind w:right="851" w:firstLine="0"/>
      <w:jc w:val="left"/>
    </w:pPr>
    <w:rPr>
      <w:rFonts w:ascii="Arial" w:hAnsi="Arial" w:cs="Arial"/>
    </w:rPr>
  </w:style>
  <w:style w:type="paragraph" w:customStyle="1" w:styleId="20">
    <w:name w:val="оглавление 2"/>
    <w:basedOn w:val="a"/>
    <w:next w:val="a"/>
    <w:autoRedefine/>
    <w:uiPriority w:val="99"/>
    <w:pPr>
      <w:ind w:left="278" w:right="851" w:firstLine="0"/>
      <w:jc w:val="left"/>
    </w:pPr>
  </w:style>
  <w:style w:type="paragraph" w:customStyle="1" w:styleId="30">
    <w:name w:val="оглавление 3"/>
    <w:basedOn w:val="a"/>
    <w:next w:val="a"/>
    <w:autoRedefine/>
    <w:uiPriority w:val="99"/>
    <w:pPr>
      <w:ind w:left="561" w:right="851" w:firstLine="0"/>
      <w:jc w:val="left"/>
    </w:pPr>
  </w:style>
  <w:style w:type="paragraph" w:customStyle="1" w:styleId="a7">
    <w:name w:val="Таблица"/>
    <w:basedOn w:val="a"/>
    <w:next w:val="a"/>
    <w:uiPriority w:val="99"/>
    <w:pPr>
      <w:widowControl w:val="0"/>
      <w:spacing w:line="240" w:lineRule="auto"/>
      <w:ind w:firstLine="0"/>
      <w:jc w:val="left"/>
    </w:pPr>
  </w:style>
  <w:style w:type="paragraph" w:customStyle="1" w:styleId="a8">
    <w:name w:val="текст сноски"/>
    <w:basedOn w:val="a"/>
    <w:uiPriority w:val="99"/>
    <w:rPr>
      <w:sz w:val="20"/>
      <w:szCs w:val="20"/>
    </w:rPr>
  </w:style>
  <w:style w:type="character" w:customStyle="1" w:styleId="a9">
    <w:name w:val="знак сноски"/>
    <w:uiPriority w:val="99"/>
    <w:rPr>
      <w:vertAlign w:val="superscript"/>
    </w:rPr>
  </w:style>
  <w:style w:type="paragraph" w:styleId="aa">
    <w:name w:val="Document Map"/>
    <w:basedOn w:val="a"/>
    <w:link w:val="ab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</Company>
  <LinksUpToDate>false</LinksUpToDate>
  <CharactersWithSpaces>11975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G_STT</dc:creator>
  <cp:keywords/>
  <dc:description/>
  <cp:lastModifiedBy>admin</cp:lastModifiedBy>
  <cp:revision>2</cp:revision>
  <cp:lastPrinted>2001-04-20T06:45:00Z</cp:lastPrinted>
  <dcterms:created xsi:type="dcterms:W3CDTF">2014-03-11T01:23:00Z</dcterms:created>
  <dcterms:modified xsi:type="dcterms:W3CDTF">2014-03-11T01:23:00Z</dcterms:modified>
</cp:coreProperties>
</file>