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A72" w:rsidRPr="00A86A72" w:rsidRDefault="00A86A72" w:rsidP="00A86A72">
      <w:pPr>
        <w:pStyle w:val="a7"/>
        <w:suppressLineNumbers w:val="0"/>
        <w:suppressAutoHyphens w:val="0"/>
        <w:snapToGrid w:val="0"/>
        <w:spacing w:line="360" w:lineRule="auto"/>
        <w:ind w:firstLine="720"/>
        <w:jc w:val="both"/>
        <w:rPr>
          <w:b/>
          <w:color w:val="000000"/>
          <w:sz w:val="28"/>
          <w:szCs w:val="28"/>
        </w:rPr>
      </w:pPr>
      <w:r w:rsidRPr="00A86A72">
        <w:rPr>
          <w:b/>
          <w:color w:val="000000"/>
          <w:sz w:val="28"/>
          <w:szCs w:val="28"/>
        </w:rPr>
        <w:t>Музейная экспозиция как способ интерпретации прошлого</w:t>
      </w:r>
    </w:p>
    <w:p w:rsidR="00A86A72" w:rsidRDefault="00A86A72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11440" w:rsidRPr="00A86A72" w:rsidRDefault="00911440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A72">
        <w:rPr>
          <w:color w:val="000000"/>
          <w:sz w:val="28"/>
          <w:szCs w:val="28"/>
        </w:rPr>
        <w:t>Современный музей, существует в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 xml:space="preserve">пограничье трех эпох </w:t>
      </w:r>
      <w:r w:rsidR="00A86A72">
        <w:rPr>
          <w:color w:val="000000"/>
          <w:sz w:val="28"/>
          <w:szCs w:val="28"/>
        </w:rPr>
        <w:t>–</w:t>
      </w:r>
      <w:r w:rsidR="00A86A72" w:rsidRP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древности, модерна и постмодерна. Обычно ситуацию постмодерна связывают с оформлением постиндустриального общества, распространением информационных технологий, изменениями в сфере геополитики, формированием нового стиля культуры и мышления, определенной философией и методологией нау</w:t>
      </w:r>
      <w:r w:rsidR="00C9297F" w:rsidRPr="00A86A72">
        <w:rPr>
          <w:color w:val="000000"/>
          <w:sz w:val="28"/>
          <w:szCs w:val="28"/>
        </w:rPr>
        <w:t>ки. Современной культуре присущ</w:t>
      </w:r>
      <w:r w:rsidRPr="00A86A72">
        <w:rPr>
          <w:color w:val="000000"/>
          <w:sz w:val="28"/>
          <w:szCs w:val="28"/>
        </w:rPr>
        <w:t xml:space="preserve"> антропологизм, полистилизм и полиструктурность. Интерес к прошлому перестает быть праздным.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 xml:space="preserve">Общество </w:t>
      </w:r>
      <w:r w:rsidR="00C9297F" w:rsidRPr="00A86A72">
        <w:rPr>
          <w:color w:val="000000"/>
          <w:sz w:val="28"/>
          <w:szCs w:val="28"/>
        </w:rPr>
        <w:t xml:space="preserve">активно </w:t>
      </w:r>
      <w:r w:rsidRPr="00A86A72">
        <w:rPr>
          <w:color w:val="000000"/>
          <w:sz w:val="28"/>
          <w:szCs w:val="28"/>
        </w:rPr>
        <w:t xml:space="preserve">обращается к наследию </w:t>
      </w:r>
      <w:r w:rsidR="00A86A72">
        <w:rPr>
          <w:color w:val="000000"/>
          <w:sz w:val="28"/>
          <w:szCs w:val="28"/>
        </w:rPr>
        <w:t>–</w:t>
      </w:r>
      <w:r w:rsidR="00A86A72" w:rsidRP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 xml:space="preserve">материальному и нематериальному </w:t>
      </w:r>
      <w:r w:rsidR="00A86A72">
        <w:rPr>
          <w:color w:val="000000"/>
          <w:sz w:val="28"/>
          <w:szCs w:val="28"/>
        </w:rPr>
        <w:t>–</w:t>
      </w:r>
      <w:r w:rsidR="00A86A72" w:rsidRP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в поисках конкретных смыслов, ответа на вопрос: «Что есть хорошо и что такое плохо?», в поисках идеологии. Смыслы, которыми наделяется прошлое по нашей воле, позволяют древности жить отдельной, значимой для общества жизнью. Очевидно тем, что древность становится идеологией современности, кроется и объяснение обилия самых разных музеев археологии в Европе. В таких условиях возрастает роль интерпретации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 xml:space="preserve">и интерпретатора, одним из каковых являются музеи. Как обладатели вещественных памятников древности, музеи осуществляют свою функцию интерпретатора в первую очередь через музейную экспозицию. Свое понимание совокупности и характера компонентов этого процесса, мы практически реализовали при создании экспозиции зала археологии </w:t>
      </w:r>
      <w:r w:rsidR="00C9297F" w:rsidRPr="00A86A72">
        <w:rPr>
          <w:color w:val="000000"/>
          <w:sz w:val="28"/>
          <w:szCs w:val="28"/>
        </w:rPr>
        <w:t>в музее университета</w:t>
      </w:r>
      <w:r w:rsidRPr="00A86A72">
        <w:rPr>
          <w:color w:val="000000"/>
          <w:sz w:val="28"/>
          <w:szCs w:val="28"/>
        </w:rPr>
        <w:t>.</w:t>
      </w:r>
    </w:p>
    <w:p w:rsidR="00A86A72" w:rsidRDefault="00A86A72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11440" w:rsidRPr="00BD14F0" w:rsidRDefault="00BD14F0" w:rsidP="00A86A72">
      <w:pPr>
        <w:suppressAutoHyphens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D14F0">
        <w:rPr>
          <w:b/>
          <w:color w:val="000000"/>
          <w:sz w:val="28"/>
          <w:szCs w:val="28"/>
        </w:rPr>
        <w:t>Общие идеи</w:t>
      </w:r>
    </w:p>
    <w:p w:rsidR="00911440" w:rsidRPr="00A86A72" w:rsidRDefault="00911440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11440" w:rsidRPr="00A86A72" w:rsidRDefault="00911440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A72">
        <w:rPr>
          <w:color w:val="000000"/>
          <w:sz w:val="28"/>
          <w:szCs w:val="28"/>
        </w:rPr>
        <w:t>Музейные экспозиции в своем развитии прошли путь от незатейливых «выкладок»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музейных предметов до композиций из многих составляющих в специально организованном архитектурном пространстве.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Вехи на этом пути обусловлены, прежде всего,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теми смыслами, которые придавало общество музеям, в целом, и музейному предмету, в частности, в разные эпохи. Свою задачу мы видели в том, чтобы использовать накопленный музейщиками опыт в создании экспозиций, не растерять те рациональные «зерна», которые мы вместе приобрели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за историю развития.</w:t>
      </w:r>
    </w:p>
    <w:p w:rsidR="00911440" w:rsidRPr="00A86A72" w:rsidRDefault="00911440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A72">
        <w:rPr>
          <w:color w:val="000000"/>
          <w:sz w:val="28"/>
          <w:szCs w:val="28"/>
        </w:rPr>
        <w:t>Сегодняшнее время для музеев –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время поисков новых возможностей. Это касается всех областей музейного дела, в том числе экспозиционного. Музейные выставки и экспозиции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меняют свою направленность в сравнении с недавним прошлым. Мы наблюдаем, что пересматривается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тематика, практикуется более зрелищный, детализированный и углубленный показ, внимание, как правило, акцентируется на подлинном музейном предмете. Прошлое предстает перед нами во все более «очеловеченном» виде.</w:t>
      </w:r>
    </w:p>
    <w:p w:rsidR="00911440" w:rsidRPr="00A86A72" w:rsidRDefault="00911440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A72">
        <w:rPr>
          <w:color w:val="000000"/>
          <w:sz w:val="28"/>
          <w:szCs w:val="28"/>
        </w:rPr>
        <w:t>Обновление внутреннего содержания музейных экспозиций влечет за собой развитие экспозиционной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и дизайнерской мысли, стимулирует поиски новых идей для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художественного проектирования. Изменение критериев и стандартов окружающей нас культурной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среды подталкивает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музеи ко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все более совершенной эстетической организации интерьеров музейных залов.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Необычайно актуальным явлением становится экспозиционный дизайн. Он оперирует предметом и пространством, занимая промежуточное положение между искусством и архитектурой. Новые возможности дает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 xml:space="preserve">появление современных материалов и оформительских технологий. Расширяется понятие музейного предмета, в частности, мы материализуем свое знание прошлого либо представления о нем путем создания различного рода экспонатов </w:t>
      </w:r>
      <w:r w:rsidR="00A86A72">
        <w:rPr>
          <w:color w:val="000000"/>
          <w:sz w:val="28"/>
          <w:szCs w:val="28"/>
        </w:rPr>
        <w:t>–</w:t>
      </w:r>
      <w:r w:rsidR="00A86A72" w:rsidRP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макетов, манекенов исторических персонажей и</w:t>
      </w:r>
      <w:r w:rsidR="00A86A72">
        <w:rPr>
          <w:color w:val="000000"/>
          <w:sz w:val="28"/>
          <w:szCs w:val="28"/>
        </w:rPr>
        <w:t> </w:t>
      </w:r>
      <w:r w:rsidR="00A86A72" w:rsidRPr="00A86A72">
        <w:rPr>
          <w:color w:val="000000"/>
          <w:sz w:val="28"/>
          <w:szCs w:val="28"/>
        </w:rPr>
        <w:t>т</w:t>
      </w:r>
      <w:r w:rsidR="00A86A72">
        <w:rPr>
          <w:color w:val="000000"/>
          <w:sz w:val="28"/>
          <w:szCs w:val="28"/>
        </w:rPr>
        <w:t>. </w:t>
      </w:r>
      <w:r w:rsidR="00A86A72" w:rsidRPr="00A86A72">
        <w:rPr>
          <w:color w:val="000000"/>
          <w:sz w:val="28"/>
          <w:szCs w:val="28"/>
        </w:rPr>
        <w:t>п.</w:t>
      </w:r>
    </w:p>
    <w:p w:rsidR="00911440" w:rsidRPr="00A86A72" w:rsidRDefault="00911440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A72">
        <w:rPr>
          <w:color w:val="000000"/>
          <w:sz w:val="28"/>
          <w:szCs w:val="28"/>
        </w:rPr>
        <w:t>Однако, относясь к области культуры, музеи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имеют прямое отношение к науке. Нельзя не учитывать, что посредством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музеев именно добытые наукой знания становятся достоянием общественного сознания. Хотя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понятно, что научное знание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соотнесено в музеях с их особой спецификой, обусловленной самим характером музейных предметов, являющихся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фрагментами сложной реальности ушедших эпох.</w:t>
      </w:r>
    </w:p>
    <w:p w:rsidR="00A86A72" w:rsidRDefault="00A86A72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11440" w:rsidRPr="00BD14F0" w:rsidRDefault="00BD14F0" w:rsidP="00A86A72">
      <w:pPr>
        <w:suppressAutoHyphens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11440" w:rsidRPr="00BD14F0">
        <w:rPr>
          <w:b/>
          <w:color w:val="000000"/>
          <w:sz w:val="28"/>
          <w:szCs w:val="28"/>
        </w:rPr>
        <w:t>К чему мы стремились?</w:t>
      </w:r>
    </w:p>
    <w:p w:rsidR="00911440" w:rsidRPr="00A86A72" w:rsidRDefault="00911440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11440" w:rsidRPr="00A86A72" w:rsidRDefault="00911440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A72">
        <w:rPr>
          <w:color w:val="000000"/>
          <w:sz w:val="28"/>
          <w:szCs w:val="28"/>
        </w:rPr>
        <w:t>Имея в виду вышеизложенное, мы приступили к созданию экспозиции археологического музея в Челябинском госуниверситете, поставив перед собой задачу «соединить» музейный предмет, его научное «прочтение» и современный музейный дизайн. Другую задачу мы видели в создании экспозиции с высоким информационным потенциалом для того, чтобы максимально использовать в работе такую традиционную музейную форму работы с посетителями, как тематическая экскурсия. При отборе вещественного материала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учитывалась экспозиционная выразительность предметов, возможность при их посредстве раскрыть какой-либо из предполагаемых экспозиционных сюжетов, а так же стремление показать разнообразие вещного мира древности. Экспозиция выстроена хронологически, что является одним из шагов к восприятию современного научного знания о древности. Прошлое разделено для того, чтобы впоследствии оно предстало в целом виде в сознании наших посетителей. В каждом из хронологических разделов отражены сюжеты, посвященные развитию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техники и технологий в древности, этнической истории Южного Урала,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воздействию человека на природный ландшафт и влиянию природной среды на образ жизни людей, материальной и духовной культуре, искусству, религиозным представлениям и миропониманию людей. Внешний облик человека является предметом одной из сквозных сюжетных линий, мы даем возможность посетителю сравнить современные реконструкции с тем, каким видел себя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сам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древний человек.</w:t>
      </w:r>
    </w:p>
    <w:p w:rsidR="00911440" w:rsidRPr="00A86A72" w:rsidRDefault="00911440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11440" w:rsidRPr="00BD14F0" w:rsidRDefault="00BD14F0" w:rsidP="00A86A72">
      <w:pPr>
        <w:suppressAutoHyphens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D14F0">
        <w:rPr>
          <w:b/>
          <w:color w:val="000000"/>
          <w:sz w:val="28"/>
          <w:szCs w:val="28"/>
        </w:rPr>
        <w:t>Осуществление проекта</w:t>
      </w:r>
    </w:p>
    <w:p w:rsidR="00911440" w:rsidRPr="00A86A72" w:rsidRDefault="00911440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86A72" w:rsidRDefault="00911440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A72">
        <w:rPr>
          <w:color w:val="000000"/>
          <w:sz w:val="28"/>
          <w:szCs w:val="28"/>
        </w:rPr>
        <w:t>Отправной точкой в создании художественного проекта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экспозиции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явилась идея о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«единстве» природы и человека в древности, выражавшемся, прежде всего, в определяющем влиянии природного ландшафта,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климата на материальную и духовную культуру. Она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 xml:space="preserve">получила архитектурно </w:t>
      </w:r>
      <w:r w:rsidR="00A86A72">
        <w:rPr>
          <w:color w:val="000000"/>
          <w:sz w:val="28"/>
          <w:szCs w:val="28"/>
        </w:rPr>
        <w:t>–</w:t>
      </w:r>
      <w:r w:rsidR="00A86A72" w:rsidRP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художественное воплощение путем создания особым образом организованного экспозиционного пространства. В стены зала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 xml:space="preserve">были встроены ниши, в пространство зала </w:t>
      </w:r>
      <w:r w:rsidR="00A86A72">
        <w:rPr>
          <w:color w:val="000000"/>
          <w:sz w:val="28"/>
          <w:szCs w:val="28"/>
        </w:rPr>
        <w:t xml:space="preserve">– </w:t>
      </w:r>
      <w:r w:rsidRPr="00A86A72">
        <w:rPr>
          <w:color w:val="000000"/>
          <w:sz w:val="28"/>
          <w:szCs w:val="28"/>
        </w:rPr>
        <w:t>«выступающие из стен» стелы с прилегающими к ним снизу витринами. В результате, образовались три экспозиционных поля. На плоскости стен разместились четыре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фотопанорамы с изображением ландшафтов, являющихся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вмещающими для памятников поочередно эпох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камня, бронзы, раннего железа, средневековья и олицетворяющие природу как место обитания человека.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Фотопанорамы призваны нести как важную информационную нагрузку, являясь объектом апелляции экскурсовода, так и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эмоциональный настрой, они создают иллюзию расширения пространства, погружения в него, но что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для нас не менее важно – дают представление о естественной среде бытования археологических предметов.</w:t>
      </w:r>
    </w:p>
    <w:p w:rsidR="00A86A72" w:rsidRDefault="00911440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A72">
        <w:rPr>
          <w:color w:val="000000"/>
          <w:sz w:val="28"/>
          <w:szCs w:val="28"/>
        </w:rPr>
        <w:t xml:space="preserve">Еще одно экспозиционное поле – ниши, «прорезающие» фотоизображения. В них мы реконструируем образ «человека прошлого» с помощью в одном случае археологических предметов, в другом </w:t>
      </w:r>
      <w:r w:rsidR="00A86A72">
        <w:rPr>
          <w:color w:val="000000"/>
          <w:sz w:val="28"/>
          <w:szCs w:val="28"/>
        </w:rPr>
        <w:t xml:space="preserve">– </w:t>
      </w:r>
      <w:r w:rsidRPr="00A86A72">
        <w:rPr>
          <w:color w:val="000000"/>
          <w:sz w:val="28"/>
          <w:szCs w:val="28"/>
        </w:rPr>
        <w:t>научно – вспомогательных материалов.</w:t>
      </w:r>
    </w:p>
    <w:p w:rsidR="00A86A72" w:rsidRDefault="00911440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A72">
        <w:rPr>
          <w:color w:val="000000"/>
          <w:sz w:val="28"/>
          <w:szCs w:val="28"/>
        </w:rPr>
        <w:t>Археологические артефакты располагаются в малых нишах и в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витринах нескольких типов, примыкающих к стелам, на фоне цвета, определенного особо для каждой эпохи,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сопровождаются этикетками с полной информацией о памятнике. Тип витрин зависит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от размера и характера экспонатов. Предметы предстают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перед зрителем сами по себе, в так называемом «чистом виде». Такой принцип показа объясняется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стремлением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к тому, чтобы ничто не мешало их эстетическому восприятию.</w:t>
      </w:r>
    </w:p>
    <w:p w:rsidR="00911440" w:rsidRPr="00A86A72" w:rsidRDefault="00911440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A72">
        <w:rPr>
          <w:color w:val="000000"/>
          <w:sz w:val="28"/>
          <w:szCs w:val="28"/>
        </w:rPr>
        <w:t>В нишах больших размеров, примыкающих к стелам, экспонируются научно – вспомогательные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материалы, воспроизводящие наше представление о прошлом, основанное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на достижениях современной археологии.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Выбранные материалы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призваны свидетельствовать об уровне развития цивилизаций прошлого – технологиях, коммуникациях, потреблении, распределении, состоянии общественного разделения труда, религиозных верованиях, погребальных обрядах, мировоззрении и др. Эти характеристики позволяют видеть общество как сложную целостность. С другой стороны без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них посетитель не сможет понять, какими смыслами могли наделять древние утилитарные предметы.</w:t>
      </w:r>
    </w:p>
    <w:p w:rsidR="00A86A72" w:rsidRDefault="00911440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A72">
        <w:rPr>
          <w:color w:val="000000"/>
          <w:sz w:val="28"/>
          <w:szCs w:val="28"/>
        </w:rPr>
        <w:t>Материалы подобного плана размещаются и на стелах, предназначенных,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как уже было сказано выше, также для демонстрации деятельности людей. Стел в зале всего четыре, что соответствует четырем эпохам древности – камню, бронзе, раннему железу, средневековью.</w:t>
      </w:r>
    </w:p>
    <w:p w:rsidR="00A86A72" w:rsidRDefault="00911440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A72">
        <w:rPr>
          <w:color w:val="000000"/>
          <w:sz w:val="28"/>
          <w:szCs w:val="28"/>
        </w:rPr>
        <w:t>Мы стремились к тому, чтобы посетителю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предельно ясен был ход нашей мысли, чтобы, рассматривая, он усваивал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информацию с легкостью. Поэтому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присвоили археологическим эпохам вещественные символы –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яркие артефакты, прочно связанные в нашем сознании с определенным периодом древней истории, и разместили их в верхней части стел на баннерах, имитирующих растянутые шкуры животных, указав рядом датировку.</w:t>
      </w:r>
    </w:p>
    <w:p w:rsidR="00A86A72" w:rsidRDefault="00911440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A72">
        <w:rPr>
          <w:color w:val="000000"/>
          <w:sz w:val="28"/>
          <w:szCs w:val="28"/>
        </w:rPr>
        <w:t xml:space="preserve">«Шкур», как и стел, </w:t>
      </w:r>
      <w:r w:rsidR="00A86A72">
        <w:rPr>
          <w:color w:val="000000"/>
          <w:sz w:val="28"/>
          <w:szCs w:val="28"/>
        </w:rPr>
        <w:t>–</w:t>
      </w:r>
      <w:r w:rsidR="00A86A72" w:rsidRP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четыре. Эпоху камня представляют археологические находки, показанные на баннере с двух сторон. В качестве символа палеолита и мезолита выступает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 xml:space="preserve">древнейшее из найденных на территории Челябинской области каменное орудие. Символ эпох неолита и энеолита </w:t>
      </w:r>
      <w:r w:rsidR="00A86A72">
        <w:rPr>
          <w:color w:val="000000"/>
          <w:sz w:val="28"/>
          <w:szCs w:val="28"/>
        </w:rPr>
        <w:t>–</w:t>
      </w:r>
      <w:r w:rsidR="00A86A72" w:rsidRP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неолитический керамический сосуд, обнаруженный на глубине 40</w:t>
      </w:r>
      <w:r w:rsidR="00A86A72">
        <w:rPr>
          <w:color w:val="000000"/>
          <w:sz w:val="28"/>
          <w:szCs w:val="28"/>
        </w:rPr>
        <w:t> </w:t>
      </w:r>
      <w:r w:rsidR="00A86A72" w:rsidRPr="00A86A72">
        <w:rPr>
          <w:color w:val="000000"/>
          <w:sz w:val="28"/>
          <w:szCs w:val="28"/>
        </w:rPr>
        <w:t>м</w:t>
      </w:r>
      <w:r w:rsidRPr="00A86A72">
        <w:rPr>
          <w:color w:val="000000"/>
          <w:sz w:val="28"/>
          <w:szCs w:val="28"/>
        </w:rPr>
        <w:t xml:space="preserve"> в озере Увильды. Две антропоморфные каменные скульптуры, датирующиеся бронзовым веком, демонстрируются в качестве вещественных символов этого времени; короткий бронзовый кинжал </w:t>
      </w:r>
      <w:r w:rsidR="00A86A72">
        <w:rPr>
          <w:color w:val="000000"/>
          <w:sz w:val="28"/>
          <w:szCs w:val="28"/>
        </w:rPr>
        <w:t>–</w:t>
      </w:r>
      <w:r w:rsidR="00A86A72" w:rsidRP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 xml:space="preserve">акинак </w:t>
      </w:r>
      <w:r w:rsidR="00A86A72">
        <w:rPr>
          <w:color w:val="000000"/>
          <w:sz w:val="28"/>
          <w:szCs w:val="28"/>
        </w:rPr>
        <w:t>–</w:t>
      </w:r>
      <w:r w:rsidR="00A86A72" w:rsidRP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раннего железного века. И, наконец, эпоху средневековья символизируют угорская бронзовая «личина» и кыпчакское каменное изваяние, размещенные на противоположных сторонах баннера, как яркие артефакты, принадлежащие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основным группам народов, населявших край в то время.</w:t>
      </w:r>
    </w:p>
    <w:p w:rsidR="00A86A72" w:rsidRDefault="00911440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A72">
        <w:rPr>
          <w:color w:val="000000"/>
          <w:sz w:val="28"/>
          <w:szCs w:val="28"/>
        </w:rPr>
        <w:t>Под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каждым из вещественных символов располагается соответствующий хронологический раздел экспозиции.</w:t>
      </w:r>
    </w:p>
    <w:p w:rsidR="00911440" w:rsidRPr="00A86A72" w:rsidRDefault="00911440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A72">
        <w:rPr>
          <w:color w:val="000000"/>
          <w:sz w:val="28"/>
          <w:szCs w:val="28"/>
        </w:rPr>
        <w:t>Представляя собой единое целое и оформленная в едином стиле, экспозиция ни в одной из точек зала не видна посетителю целиком. Т.о.,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зритель открывает «новое» не только в фигуральн</w:t>
      </w:r>
      <w:r w:rsidR="00C9297F" w:rsidRPr="00A86A72">
        <w:rPr>
          <w:color w:val="000000"/>
          <w:sz w:val="28"/>
          <w:szCs w:val="28"/>
        </w:rPr>
        <w:t>ом, но и в буквальном смысле. К</w:t>
      </w:r>
      <w:r w:rsidRPr="00A86A72">
        <w:rPr>
          <w:color w:val="000000"/>
          <w:sz w:val="28"/>
          <w:szCs w:val="28"/>
        </w:rPr>
        <w:t xml:space="preserve"> пример</w:t>
      </w:r>
      <w:r w:rsidR="00C9297F" w:rsidRPr="00A86A72">
        <w:rPr>
          <w:color w:val="000000"/>
          <w:sz w:val="28"/>
          <w:szCs w:val="28"/>
        </w:rPr>
        <w:t>у</w:t>
      </w:r>
      <w:r w:rsidRPr="00A86A72">
        <w:rPr>
          <w:color w:val="000000"/>
          <w:sz w:val="28"/>
          <w:szCs w:val="28"/>
        </w:rPr>
        <w:t>, реконструкция захоронения эпохи бронзы «спрятана» за стелой и предстает перед посетителями неожиданно, всякий раз, неизменно вызывая их бурную реакцию.</w:t>
      </w:r>
    </w:p>
    <w:p w:rsidR="00911440" w:rsidRPr="00A86A72" w:rsidRDefault="00911440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11440" w:rsidRPr="00BD14F0" w:rsidRDefault="00BD14F0" w:rsidP="00A86A72">
      <w:pPr>
        <w:suppressAutoHyphens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D14F0">
        <w:rPr>
          <w:b/>
          <w:color w:val="000000"/>
          <w:sz w:val="28"/>
          <w:szCs w:val="28"/>
        </w:rPr>
        <w:t>Тексты и карты</w:t>
      </w:r>
    </w:p>
    <w:p w:rsidR="00911440" w:rsidRPr="00A86A72" w:rsidRDefault="00911440" w:rsidP="00A86A72">
      <w:pPr>
        <w:suppressAutoHyphens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11440" w:rsidRPr="00A86A72" w:rsidRDefault="00911440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A72">
        <w:rPr>
          <w:color w:val="000000"/>
          <w:sz w:val="28"/>
          <w:szCs w:val="28"/>
        </w:rPr>
        <w:t>Экспозиция насыщена текстами, «вплетенными» в изобразительный ряд, и не мешающими визуальному восприятию предметов. Наличие текста в экспозиции</w:t>
      </w:r>
      <w:r w:rsidR="00A86A72">
        <w:rPr>
          <w:color w:val="000000"/>
          <w:sz w:val="28"/>
          <w:szCs w:val="28"/>
        </w:rPr>
        <w:t xml:space="preserve"> –</w:t>
      </w:r>
      <w:r w:rsidR="00A86A72" w:rsidRP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наша принципиальная позиция. При этом мы смотрим на него не только как на источник информации, но и как на символ (времени, познания, смысла вообще). При таком понимании, мы рассматриваем текст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как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картинку.</w:t>
      </w:r>
    </w:p>
    <w:p w:rsidR="00911440" w:rsidRPr="00A86A72" w:rsidRDefault="00911440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A72">
        <w:rPr>
          <w:color w:val="000000"/>
          <w:sz w:val="28"/>
          <w:szCs w:val="28"/>
        </w:rPr>
        <w:t>Важная составляющая экспозиционного ряда – карты. Они выполнены в одной стилистической манере, имеют место во всех хронологических разделах экспозиции,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ненавязчиво «внедряясь» в исторические сюжеты. Помимо источника</w:t>
      </w:r>
      <w:r w:rsidR="00A86A72">
        <w:rPr>
          <w:color w:val="000000"/>
          <w:sz w:val="28"/>
          <w:szCs w:val="28"/>
        </w:rPr>
        <w:t xml:space="preserve"> </w:t>
      </w:r>
      <w:r w:rsidRPr="00A86A72">
        <w:rPr>
          <w:color w:val="000000"/>
          <w:sz w:val="28"/>
          <w:szCs w:val="28"/>
        </w:rPr>
        <w:t>определенного рода информации, незаменимой ничем другим, карты, как и тексты, являются своеобразными символами осмысленности исторических процессов, имевших место в нашем крае в древности.</w:t>
      </w:r>
    </w:p>
    <w:p w:rsidR="00911440" w:rsidRPr="00A86A72" w:rsidRDefault="00A86A72" w:rsidP="00A86A7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6A72">
        <w:rPr>
          <w:color w:val="000000"/>
          <w:sz w:val="28"/>
          <w:szCs w:val="28"/>
        </w:rPr>
        <w:t>Т.</w:t>
      </w:r>
      <w:r w:rsidR="00BD14F0" w:rsidRPr="00A86A72">
        <w:rPr>
          <w:color w:val="000000"/>
          <w:sz w:val="28"/>
          <w:szCs w:val="28"/>
        </w:rPr>
        <w:t>о</w:t>
      </w:r>
      <w:r w:rsidRPr="00A86A7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911440" w:rsidRPr="00A86A72">
        <w:rPr>
          <w:color w:val="000000"/>
          <w:sz w:val="28"/>
          <w:szCs w:val="28"/>
        </w:rPr>
        <w:t>мы попытались решить задачу, возникающую всякий раз перед авторами готовящейся экспозиции, и заключающуюся, на наш взгляд, в интерпретации древности, основанной на научном знании, позволяющей ее многоуровневое</w:t>
      </w:r>
      <w:r>
        <w:rPr>
          <w:color w:val="000000"/>
          <w:sz w:val="28"/>
          <w:szCs w:val="28"/>
        </w:rPr>
        <w:t xml:space="preserve"> </w:t>
      </w:r>
      <w:r w:rsidR="00911440" w:rsidRPr="00A86A72">
        <w:rPr>
          <w:color w:val="000000"/>
          <w:sz w:val="28"/>
          <w:szCs w:val="28"/>
        </w:rPr>
        <w:t>и разноплановое «прочтение».</w:t>
      </w:r>
      <w:bookmarkStart w:id="0" w:name="_GoBack"/>
      <w:bookmarkEnd w:id="0"/>
    </w:p>
    <w:sectPr w:rsidR="00911440" w:rsidRPr="00A86A72" w:rsidSect="00A86A72">
      <w:footnotePr>
        <w:pos w:val="beneathText"/>
      </w:footnotePr>
      <w:pgSz w:w="11905" w:h="16837"/>
      <w:pgMar w:top="1134" w:right="850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</w:foot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440"/>
    <w:rsid w:val="00177D46"/>
    <w:rsid w:val="002A261E"/>
    <w:rsid w:val="007A4BFF"/>
    <w:rsid w:val="00911440"/>
    <w:rsid w:val="00A33E08"/>
    <w:rsid w:val="00A86A72"/>
    <w:rsid w:val="00BD14F0"/>
    <w:rsid w:val="00C9297F"/>
    <w:rsid w:val="00FE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2120E44-812B-4316-81D3-0FB002C67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1">
    <w:name w:val="Основной шрифт абзаца1"/>
    <w:uiPriority w:val="99"/>
  </w:style>
  <w:style w:type="paragraph" w:customStyle="1" w:styleId="a3">
    <w:name w:val="Заголовок"/>
    <w:basedOn w:val="a"/>
    <w:next w:val="a4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rPr>
      <w:sz w:val="24"/>
      <w:szCs w:val="24"/>
      <w:lang w:eastAsia="ar-SA"/>
    </w:rPr>
  </w:style>
  <w:style w:type="paragraph" w:styleId="a6">
    <w:name w:val="List"/>
    <w:basedOn w:val="a4"/>
    <w:uiPriority w:val="99"/>
    <w:rPr>
      <w:rFonts w:cs="Tahoma"/>
    </w:rPr>
  </w:style>
  <w:style w:type="paragraph" w:customStyle="1" w:styleId="10">
    <w:name w:val="Название1"/>
    <w:basedOn w:val="a"/>
    <w:uiPriority w:val="99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uiPriority w:val="99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uiPriority w:val="99"/>
    <w:pPr>
      <w:suppressLineNumbers/>
    </w:pPr>
  </w:style>
  <w:style w:type="paragraph" w:customStyle="1" w:styleId="a8">
    <w:name w:val="Заголовок таблицы"/>
    <w:basedOn w:val="a7"/>
    <w:uiPriority w:val="99"/>
    <w:pPr>
      <w:jc w:val="center"/>
    </w:pPr>
    <w:rPr>
      <w:b/>
      <w:bCs/>
    </w:rPr>
  </w:style>
  <w:style w:type="paragraph" w:customStyle="1" w:styleId="12">
    <w:name w:val="Стиль1"/>
    <w:basedOn w:val="a"/>
    <w:uiPriority w:val="99"/>
    <w:rsid w:val="002A261E"/>
    <w:pPr>
      <w:spacing w:line="480" w:lineRule="auto"/>
      <w:ind w:firstLine="708"/>
      <w:jc w:val="both"/>
    </w:pPr>
  </w:style>
  <w:style w:type="table" w:styleId="13">
    <w:name w:val="Table Grid 1"/>
    <w:basedOn w:val="a1"/>
    <w:uiPriority w:val="99"/>
    <w:rsid w:val="00A86A72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1546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Музейная экспозиция как способ интерпретации прошлого</vt:lpstr>
    </vt:vector>
  </TitlesOfParts>
  <Company>Северный полюс</Company>
  <LinksUpToDate>false</LinksUpToDate>
  <CharactersWithSpaces>10343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Музейная экспозиция как способ интерпретации прошлого</dc:title>
  <dc:subject/>
  <dc:creator>muzey</dc:creator>
  <cp:keywords/>
  <dc:description/>
  <cp:lastModifiedBy>admin</cp:lastModifiedBy>
  <cp:revision>2</cp:revision>
  <dcterms:created xsi:type="dcterms:W3CDTF">2014-03-10T21:45:00Z</dcterms:created>
  <dcterms:modified xsi:type="dcterms:W3CDTF">2014-03-10T21:45:00Z</dcterms:modified>
</cp:coreProperties>
</file>