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E2" w:rsidRPr="00CA109D" w:rsidRDefault="00D421E2" w:rsidP="00CA109D">
      <w:pPr>
        <w:spacing w:line="360" w:lineRule="auto"/>
        <w:ind w:firstLine="709"/>
        <w:jc w:val="center"/>
        <w:rPr>
          <w:color w:val="auto"/>
          <w:spacing w:val="0"/>
        </w:rPr>
      </w:pPr>
      <w:r w:rsidRPr="00CA109D">
        <w:rPr>
          <w:color w:val="auto"/>
          <w:spacing w:val="0"/>
        </w:rPr>
        <w:t>МИНИСТЕРСТВО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ФЕДЕРАЦИИ</w:t>
      </w:r>
    </w:p>
    <w:p w:rsidR="00D421E2" w:rsidRPr="00CA109D" w:rsidRDefault="00D421E2" w:rsidP="00CA109D">
      <w:pPr>
        <w:spacing w:line="360" w:lineRule="auto"/>
        <w:ind w:firstLine="709"/>
        <w:jc w:val="center"/>
        <w:rPr>
          <w:color w:val="auto"/>
          <w:spacing w:val="0"/>
        </w:rPr>
      </w:pPr>
      <w:r w:rsidRPr="00CA109D">
        <w:rPr>
          <w:color w:val="auto"/>
          <w:spacing w:val="0"/>
        </w:rPr>
        <w:t>КАМСКИЙ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ИНСТИТУТ</w:t>
      </w:r>
    </w:p>
    <w:p w:rsidR="00D421E2" w:rsidRPr="00CA109D" w:rsidRDefault="00D421E2" w:rsidP="00CA109D">
      <w:pPr>
        <w:spacing w:line="360" w:lineRule="auto"/>
        <w:ind w:firstLine="709"/>
        <w:jc w:val="center"/>
        <w:rPr>
          <w:color w:val="auto"/>
          <w:spacing w:val="0"/>
        </w:rPr>
      </w:pPr>
      <w:r w:rsidRPr="00CA109D">
        <w:rPr>
          <w:color w:val="auto"/>
          <w:spacing w:val="0"/>
        </w:rPr>
        <w:t>Кафедра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экономики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менеджмента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right"/>
        <w:rPr>
          <w:color w:val="auto"/>
          <w:spacing w:val="0"/>
        </w:rPr>
      </w:pPr>
      <w:r w:rsidRPr="00CA109D">
        <w:rPr>
          <w:color w:val="auto"/>
          <w:spacing w:val="0"/>
        </w:rPr>
        <w:t>Специальность: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менеджмент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организации</w:t>
      </w:r>
    </w:p>
    <w:p w:rsidR="00D421E2" w:rsidRPr="00CA109D" w:rsidRDefault="00D421E2" w:rsidP="00CA109D">
      <w:pPr>
        <w:spacing w:line="360" w:lineRule="auto"/>
        <w:ind w:firstLine="709"/>
        <w:jc w:val="right"/>
        <w:rPr>
          <w:color w:val="auto"/>
          <w:spacing w:val="0"/>
        </w:rPr>
      </w:pPr>
      <w:r w:rsidRPr="00CA109D">
        <w:rPr>
          <w:color w:val="auto"/>
          <w:spacing w:val="0"/>
        </w:rPr>
        <w:t>Шифр: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061100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center"/>
        <w:rPr>
          <w:b/>
          <w:color w:val="auto"/>
          <w:spacing w:val="0"/>
          <w:szCs w:val="32"/>
        </w:rPr>
      </w:pPr>
      <w:r w:rsidRPr="00CA109D">
        <w:rPr>
          <w:b/>
          <w:color w:val="auto"/>
          <w:spacing w:val="0"/>
          <w:szCs w:val="32"/>
        </w:rPr>
        <w:t>КУРСОВАЯ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РАБОТА</w:t>
      </w:r>
    </w:p>
    <w:p w:rsidR="00D421E2" w:rsidRPr="00CA109D" w:rsidRDefault="00D421E2" w:rsidP="00CA109D">
      <w:pPr>
        <w:spacing w:line="360" w:lineRule="auto"/>
        <w:ind w:firstLine="709"/>
        <w:jc w:val="center"/>
        <w:rPr>
          <w:b/>
          <w:color w:val="auto"/>
          <w:spacing w:val="0"/>
          <w:szCs w:val="32"/>
        </w:rPr>
      </w:pPr>
      <w:r w:rsidRPr="00CA109D">
        <w:rPr>
          <w:b/>
          <w:color w:val="auto"/>
          <w:spacing w:val="0"/>
          <w:szCs w:val="32"/>
        </w:rPr>
        <w:t>По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дисциплине: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Экономика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Республики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Татарстан</w:t>
      </w:r>
    </w:p>
    <w:p w:rsidR="00D421E2" w:rsidRPr="00CA109D" w:rsidRDefault="00D421E2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  <w:szCs w:val="32"/>
        </w:rPr>
        <w:t>На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тему:</w:t>
      </w:r>
      <w:r w:rsidR="00CA109D">
        <w:rPr>
          <w:b/>
          <w:color w:val="auto"/>
          <w:spacing w:val="0"/>
          <w:szCs w:val="32"/>
        </w:rPr>
        <w:t xml:space="preserve"> </w:t>
      </w:r>
      <w:r w:rsidR="007962F5" w:rsidRPr="00CA109D">
        <w:rPr>
          <w:b/>
          <w:color w:val="auto"/>
          <w:spacing w:val="0"/>
          <w:szCs w:val="32"/>
        </w:rPr>
        <w:t>Непроизводственная</w:t>
      </w:r>
      <w:r w:rsidR="00CA109D">
        <w:rPr>
          <w:b/>
          <w:color w:val="auto"/>
          <w:spacing w:val="0"/>
          <w:szCs w:val="32"/>
        </w:rPr>
        <w:t xml:space="preserve"> </w:t>
      </w:r>
      <w:r w:rsidR="007962F5" w:rsidRPr="00CA109D">
        <w:rPr>
          <w:b/>
          <w:color w:val="auto"/>
          <w:spacing w:val="0"/>
          <w:szCs w:val="32"/>
        </w:rPr>
        <w:t>сфера</w:t>
      </w:r>
      <w:r w:rsidR="00CA109D">
        <w:rPr>
          <w:b/>
          <w:color w:val="auto"/>
          <w:spacing w:val="0"/>
          <w:szCs w:val="32"/>
        </w:rPr>
        <w:t xml:space="preserve"> </w:t>
      </w:r>
      <w:r w:rsidR="007962F5" w:rsidRPr="00CA109D">
        <w:rPr>
          <w:b/>
          <w:color w:val="auto"/>
          <w:spacing w:val="0"/>
          <w:szCs w:val="32"/>
        </w:rPr>
        <w:t>хозяйства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города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Набережные</w:t>
      </w:r>
      <w:r w:rsidR="00CA109D">
        <w:rPr>
          <w:b/>
          <w:color w:val="auto"/>
          <w:spacing w:val="0"/>
          <w:szCs w:val="32"/>
        </w:rPr>
        <w:t xml:space="preserve"> </w:t>
      </w:r>
      <w:r w:rsidRPr="00CA109D">
        <w:rPr>
          <w:b/>
          <w:color w:val="auto"/>
          <w:spacing w:val="0"/>
          <w:szCs w:val="32"/>
        </w:rPr>
        <w:t>Челны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tabs>
          <w:tab w:val="left" w:pos="5940"/>
        </w:tabs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Выполнила: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_________________________________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М.В.Галимова,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студентка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группы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экономического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факультета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Руководитель:_______________________________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Е.И.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Рыжанкова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ind w:firstLine="709"/>
        <w:jc w:val="center"/>
        <w:rPr>
          <w:color w:val="auto"/>
          <w:spacing w:val="0"/>
        </w:rPr>
      </w:pP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</w:p>
    <w:p w:rsidR="00D421E2" w:rsidRPr="00CA109D" w:rsidRDefault="00D421E2" w:rsidP="00CA109D">
      <w:pPr>
        <w:spacing w:line="360" w:lineRule="auto"/>
        <w:ind w:firstLine="709"/>
        <w:jc w:val="center"/>
        <w:rPr>
          <w:color w:val="auto"/>
          <w:spacing w:val="0"/>
        </w:rPr>
      </w:pP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</w:p>
    <w:p w:rsidR="00D421E2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D421E2" w:rsidRPr="00CA109D">
        <w:rPr>
          <w:b/>
          <w:color w:val="auto"/>
          <w:spacing w:val="0"/>
        </w:rPr>
        <w:t>СОДЕРЖАНИЕ</w:t>
      </w:r>
    </w:p>
    <w:p w:rsidR="00D421E2" w:rsidRPr="00CA109D" w:rsidRDefault="00D421E2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ВВЕДЕНИЕ……………………………………………………………………….3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Глава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СПЕЦИФИКА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ЧЕЛНЫ………………....4</w:t>
      </w:r>
    </w:p>
    <w:p w:rsidR="00D421E2" w:rsidRPr="00CA109D" w:rsidRDefault="00FC46DD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1.1.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Краткая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предистория</w:t>
      </w:r>
      <w:r w:rsidR="00CA109D">
        <w:rPr>
          <w:color w:val="auto"/>
          <w:spacing w:val="0"/>
        </w:rPr>
        <w:t xml:space="preserve"> </w:t>
      </w:r>
      <w:r w:rsidR="00B36EA1"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="00B36EA1" w:rsidRPr="00CA109D">
        <w:rPr>
          <w:color w:val="auto"/>
          <w:spacing w:val="0"/>
        </w:rPr>
        <w:t>г</w:t>
      </w:r>
      <w:r w:rsidRPr="00CA109D">
        <w:rPr>
          <w:color w:val="auto"/>
          <w:spacing w:val="0"/>
        </w:rPr>
        <w:t>орода……………………</w:t>
      </w:r>
      <w:r w:rsidR="00E2451F" w:rsidRPr="00CA109D">
        <w:rPr>
          <w:color w:val="auto"/>
          <w:spacing w:val="0"/>
        </w:rPr>
        <w:t>…………….</w:t>
      </w:r>
      <w:r w:rsidR="00D421E2" w:rsidRPr="00CA109D">
        <w:rPr>
          <w:color w:val="auto"/>
          <w:spacing w:val="0"/>
        </w:rPr>
        <w:t>4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1.2.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Положение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A41A41"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="00A41A41" w:rsidRPr="00CA109D">
        <w:rPr>
          <w:color w:val="auto"/>
          <w:spacing w:val="0"/>
        </w:rPr>
        <w:t>социально-культурной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сфере</w:t>
      </w:r>
      <w:r w:rsidR="00CA109D">
        <w:rPr>
          <w:color w:val="auto"/>
          <w:spacing w:val="0"/>
        </w:rPr>
        <w:t xml:space="preserve"> </w:t>
      </w:r>
      <w:r w:rsidR="00A41A41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Федерации</w:t>
      </w:r>
      <w:r w:rsidR="00A41A41" w:rsidRPr="00CA109D">
        <w:rPr>
          <w:color w:val="auto"/>
          <w:spacing w:val="0"/>
        </w:rPr>
        <w:t>……………………………</w:t>
      </w:r>
      <w:r w:rsidR="00CA109D">
        <w:rPr>
          <w:color w:val="auto"/>
          <w:spacing w:val="0"/>
        </w:rPr>
        <w:t>………….</w:t>
      </w:r>
      <w:r w:rsidR="00A41A41" w:rsidRPr="00CA109D">
        <w:rPr>
          <w:color w:val="auto"/>
          <w:spacing w:val="0"/>
        </w:rPr>
        <w:t>………………………………</w:t>
      </w:r>
      <w:r w:rsidR="00E2451F" w:rsidRPr="00CA109D">
        <w:rPr>
          <w:color w:val="auto"/>
          <w:spacing w:val="0"/>
        </w:rPr>
        <w:t>...9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Глава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ОСОБЕННОСТИ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СОЦИАЛЬНО-КУЛЬТУРНОГО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……………………………….…</w:t>
      </w:r>
      <w:r w:rsidR="00E2451F" w:rsidRPr="00CA109D">
        <w:rPr>
          <w:color w:val="auto"/>
          <w:spacing w:val="0"/>
        </w:rPr>
        <w:t>……….</w:t>
      </w:r>
      <w:r w:rsidRPr="00CA109D">
        <w:rPr>
          <w:color w:val="auto"/>
          <w:spacing w:val="0"/>
        </w:rPr>
        <w:t>..</w:t>
      </w:r>
      <w:r w:rsidR="00E2451F" w:rsidRPr="00CA109D">
        <w:rPr>
          <w:color w:val="auto"/>
          <w:spacing w:val="0"/>
        </w:rPr>
        <w:t>10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2.1.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Здравоохранение</w:t>
      </w:r>
      <w:r w:rsidR="00E2451F" w:rsidRPr="00CA109D">
        <w:rPr>
          <w:color w:val="auto"/>
          <w:spacing w:val="0"/>
        </w:rPr>
        <w:t>……………………………………………………….…..10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2.2.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Культура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……….</w:t>
      </w:r>
      <w:r w:rsidRPr="00CA109D">
        <w:rPr>
          <w:color w:val="auto"/>
          <w:spacing w:val="0"/>
        </w:rPr>
        <w:t>………………………………………………………..…1</w:t>
      </w:r>
      <w:r w:rsidR="00E2451F" w:rsidRPr="00CA109D">
        <w:rPr>
          <w:color w:val="auto"/>
          <w:spacing w:val="0"/>
        </w:rPr>
        <w:t>3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2.3.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Физ</w:t>
      </w:r>
      <w:r w:rsidR="00E91850" w:rsidRPr="00CA109D">
        <w:rPr>
          <w:color w:val="auto"/>
          <w:spacing w:val="0"/>
        </w:rPr>
        <w:t>ическая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культура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A63383" w:rsidRPr="00CA109D">
        <w:rPr>
          <w:color w:val="auto"/>
          <w:spacing w:val="0"/>
        </w:rPr>
        <w:t>спорт………</w:t>
      </w:r>
      <w:r w:rsidR="00E91850" w:rsidRPr="00CA109D">
        <w:rPr>
          <w:color w:val="auto"/>
          <w:spacing w:val="0"/>
        </w:rPr>
        <w:t>....</w:t>
      </w:r>
      <w:r w:rsidR="00A63383" w:rsidRPr="00CA109D">
        <w:rPr>
          <w:color w:val="auto"/>
          <w:spacing w:val="0"/>
        </w:rPr>
        <w:t>.</w:t>
      </w:r>
      <w:r w:rsidRPr="00CA109D">
        <w:rPr>
          <w:color w:val="auto"/>
          <w:spacing w:val="0"/>
        </w:rPr>
        <w:t>…………………………………...1</w:t>
      </w:r>
      <w:r w:rsidR="00E2451F" w:rsidRPr="00CA109D">
        <w:rPr>
          <w:color w:val="auto"/>
          <w:spacing w:val="0"/>
        </w:rPr>
        <w:t>5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Глава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ИТОГИ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НЕПРОИЗВОДСТВЕННОЙ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СФЕРЫ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ХОЗЯЙСТВА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="00233044"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ПОЛУГОДИЕ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</w:t>
      </w:r>
      <w:r w:rsidR="00A63383" w:rsidRPr="00CA109D">
        <w:rPr>
          <w:color w:val="auto"/>
          <w:spacing w:val="0"/>
        </w:rPr>
        <w:t>6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ГОДА……</w:t>
      </w:r>
      <w:r w:rsidR="00CA109D">
        <w:rPr>
          <w:color w:val="auto"/>
          <w:spacing w:val="0"/>
        </w:rPr>
        <w:t>……………………………………………………………...</w:t>
      </w:r>
      <w:r w:rsidR="00E2451F" w:rsidRPr="00CA109D">
        <w:rPr>
          <w:color w:val="auto"/>
          <w:spacing w:val="0"/>
        </w:rPr>
        <w:t>………...18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3.1.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E2451F" w:rsidRPr="00CA109D">
        <w:rPr>
          <w:color w:val="auto"/>
          <w:spacing w:val="0"/>
        </w:rPr>
        <w:t>казатели……………………………………………………...18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Глава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ПЕРСПЕКТИВЫ</w:t>
      </w:r>
      <w:r w:rsidR="00CA109D">
        <w:rPr>
          <w:color w:val="auto"/>
          <w:spacing w:val="0"/>
        </w:rPr>
        <w:t xml:space="preserve"> </w:t>
      </w:r>
      <w:r w:rsidR="00D16D83"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="00D16D83"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="00D16D83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="00D16D83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D16D83"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="008031CD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8031CD"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ЧЕЛНЫ…………………………………………………………………………..</w:t>
      </w:r>
      <w:r w:rsidR="00E2451F" w:rsidRPr="00CA109D">
        <w:rPr>
          <w:color w:val="auto"/>
          <w:spacing w:val="0"/>
        </w:rPr>
        <w:t>28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ЗАКЛЮЧЕНИЕ…………………………………………………………………3</w:t>
      </w:r>
      <w:r w:rsidR="00E2451F" w:rsidRPr="00CA109D">
        <w:rPr>
          <w:color w:val="auto"/>
          <w:spacing w:val="0"/>
        </w:rPr>
        <w:t>2</w:t>
      </w:r>
    </w:p>
    <w:p w:rsidR="00D421E2" w:rsidRPr="00CA109D" w:rsidRDefault="00D421E2" w:rsidP="00CA109D">
      <w:pPr>
        <w:spacing w:line="360" w:lineRule="auto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СПИСОК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ИСПОЛЬЗОВА</w:t>
      </w:r>
      <w:r w:rsidR="00E2451F" w:rsidRPr="00CA109D">
        <w:rPr>
          <w:color w:val="auto"/>
          <w:spacing w:val="0"/>
        </w:rPr>
        <w:t>ННОЙ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ЛИТЕРАТУРЫ……………………………..35</w:t>
      </w:r>
      <w:r w:rsidR="00CA109D">
        <w:rPr>
          <w:color w:val="auto"/>
          <w:spacing w:val="0"/>
        </w:rPr>
        <w:t xml:space="preserve"> </w:t>
      </w:r>
    </w:p>
    <w:p w:rsidR="00D421E2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D421E2" w:rsidRPr="00CA109D">
        <w:rPr>
          <w:b/>
          <w:color w:val="auto"/>
          <w:spacing w:val="0"/>
        </w:rPr>
        <w:t>ВВЕДЕНИЕ</w:t>
      </w:r>
    </w:p>
    <w:p w:rsid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AC508D" w:rsidRPr="00CA109D" w:rsidRDefault="00E84CD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характеристике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весьма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популярным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стало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только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сфера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материального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производства</w:t>
      </w:r>
      <w:r w:rsidR="00FE139A"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но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непроизводственная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сфера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хозяйства.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="00FE139A" w:rsidRPr="00CA109D">
        <w:rPr>
          <w:color w:val="auto"/>
          <w:spacing w:val="0"/>
        </w:rPr>
        <w:t>остал</w:t>
      </w:r>
      <w:r w:rsidR="00405DDB" w:rsidRPr="00CA109D">
        <w:rPr>
          <w:color w:val="auto"/>
          <w:spacing w:val="0"/>
        </w:rPr>
        <w:t>о</w:t>
      </w:r>
      <w:r w:rsidR="00FE139A" w:rsidRPr="00CA109D">
        <w:rPr>
          <w:color w:val="auto"/>
          <w:spacing w:val="0"/>
        </w:rPr>
        <w:t>сь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то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небольшое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сфер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хозяйства,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которые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преследуют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цель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максимального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получения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дохода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деятельности</w:t>
      </w:r>
      <w:r w:rsidR="00AC508D"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целью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становится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общественное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удовлетворение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духовно</w:t>
      </w:r>
      <w:r w:rsidR="00D913B8" w:rsidRPr="00CA109D">
        <w:rPr>
          <w:color w:val="auto"/>
          <w:spacing w:val="0"/>
        </w:rPr>
        <w:t>е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развитие</w:t>
      </w:r>
      <w:r w:rsidR="00AC508D" w:rsidRPr="00CA109D">
        <w:rPr>
          <w:color w:val="auto"/>
          <w:spacing w:val="0"/>
        </w:rPr>
        <w:t>.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ним,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прежде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всего,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относятся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отрасли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образования,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405DDB"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</w:p>
    <w:p w:rsidR="00C61210" w:rsidRPr="00CA109D" w:rsidRDefault="002364F5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Одной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остаются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сохранение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приумножение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духовного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потенциала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населения,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социальной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защиты,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обеспечение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преемственности,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содействие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развитию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культур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народов,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проживающих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городе,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достижение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качественно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нового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состояния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спорта,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обеспечивающего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реальные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возможности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духовного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роста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каждого.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Поэтому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каждый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стремиться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поддержать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свой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потенциал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обеспечить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максимально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своих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жителей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социально-культурными</w:t>
      </w:r>
      <w:r w:rsidR="00CA109D">
        <w:rPr>
          <w:color w:val="auto"/>
          <w:spacing w:val="0"/>
        </w:rPr>
        <w:t xml:space="preserve"> </w:t>
      </w:r>
      <w:r w:rsidR="00C61210" w:rsidRPr="00CA109D">
        <w:rPr>
          <w:color w:val="auto"/>
          <w:spacing w:val="0"/>
        </w:rPr>
        <w:t>объектами.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И,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конечно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же,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этом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="00A5036D" w:rsidRPr="00CA109D">
        <w:rPr>
          <w:color w:val="auto"/>
          <w:spacing w:val="0"/>
        </w:rPr>
        <w:t>исключение.</w:t>
      </w:r>
      <w:r w:rsidR="00CA109D">
        <w:rPr>
          <w:color w:val="auto"/>
          <w:spacing w:val="0"/>
        </w:rPr>
        <w:t xml:space="preserve"> </w:t>
      </w:r>
    </w:p>
    <w:p w:rsidR="00E84CD3" w:rsidRPr="00CA109D" w:rsidRDefault="00A5036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</w:t>
      </w:r>
      <w:r w:rsidR="00E84CD3" w:rsidRPr="00CA109D">
        <w:rPr>
          <w:color w:val="auto"/>
          <w:spacing w:val="0"/>
        </w:rPr>
        <w:t>абережные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молодой.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если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отождествлять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достижения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совокупности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существующим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временем,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то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можно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сказать,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социокультурному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развитию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находится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пике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своего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расцвета.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Конечно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же,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немаловажное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значение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этом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сыграло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</w:t>
      </w:r>
      <w:r w:rsidR="00F91A18" w:rsidRPr="00CA109D">
        <w:rPr>
          <w:color w:val="auto"/>
          <w:spacing w:val="0"/>
        </w:rPr>
        <w:t>ьно-этнический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состав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крупного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машиностроительного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комплекса.</w:t>
      </w:r>
      <w:r w:rsidR="00CA109D">
        <w:rPr>
          <w:color w:val="auto"/>
          <w:spacing w:val="0"/>
        </w:rPr>
        <w:t xml:space="preserve"> </w:t>
      </w:r>
    </w:p>
    <w:p w:rsidR="00AC508D" w:rsidRPr="00CA109D" w:rsidRDefault="00E84CD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Целью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курсовой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изучение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степени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формирования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отрасли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Челны,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перспективы.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процессе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изучения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ставятся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задачи: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определить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содержание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основных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социально-культурных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сфер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города</w:t>
      </w:r>
      <w:r w:rsidR="00F91A18"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="00F91A18" w:rsidRPr="00CA109D">
        <w:rPr>
          <w:color w:val="auto"/>
          <w:spacing w:val="0"/>
        </w:rPr>
        <w:t>дать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анализ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современному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</w:t>
      </w:r>
      <w:r w:rsidR="00AC508D" w:rsidRPr="00CA109D">
        <w:rPr>
          <w:color w:val="auto"/>
          <w:spacing w:val="0"/>
        </w:rPr>
        <w:t>ю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социокультурного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уровня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выявить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проблемы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решения</w:t>
      </w:r>
      <w:r w:rsidR="00AC508D" w:rsidRPr="00CA109D">
        <w:rPr>
          <w:color w:val="auto"/>
          <w:spacing w:val="0"/>
        </w:rPr>
        <w:t>.</w:t>
      </w:r>
    </w:p>
    <w:p w:rsidR="00E84CD3" w:rsidRPr="00CA109D" w:rsidRDefault="00E84CD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написании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использовались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авторов: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Дубровский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А.,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Баязитова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А.</w:t>
      </w:r>
      <w:r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Кузнецов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Б.Л.,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периодические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журналы: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</w:t>
      </w:r>
      <w:r w:rsidR="00AC508D" w:rsidRPr="00CA109D">
        <w:rPr>
          <w:color w:val="auto"/>
          <w:spacing w:val="0"/>
        </w:rPr>
        <w:t>Элита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Татарстана</w:t>
      </w:r>
      <w:r w:rsidRPr="00CA109D">
        <w:rPr>
          <w:color w:val="auto"/>
          <w:spacing w:val="0"/>
        </w:rPr>
        <w:t>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газеты: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известия»,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</w:t>
      </w:r>
      <w:r w:rsidR="00AC508D" w:rsidRPr="00CA109D">
        <w:rPr>
          <w:color w:val="auto"/>
          <w:spacing w:val="0"/>
        </w:rPr>
        <w:t>Вечерние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Челны</w:t>
      </w:r>
      <w:r w:rsidRPr="00CA109D">
        <w:rPr>
          <w:color w:val="auto"/>
          <w:spacing w:val="0"/>
        </w:rPr>
        <w:t>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«Авто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СИТИ»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AC508D" w:rsidRPr="00CA109D">
        <w:rPr>
          <w:color w:val="auto"/>
          <w:spacing w:val="0"/>
        </w:rPr>
        <w:t>т.д.</w:t>
      </w:r>
      <w:r w:rsidR="00CA109D">
        <w:rPr>
          <w:color w:val="auto"/>
          <w:spacing w:val="0"/>
        </w:rPr>
        <w:t xml:space="preserve"> </w:t>
      </w:r>
    </w:p>
    <w:p w:rsidR="00D16D83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D16D83" w:rsidRPr="00CA109D">
        <w:rPr>
          <w:b/>
          <w:color w:val="auto"/>
          <w:spacing w:val="0"/>
        </w:rPr>
        <w:t>Глава</w:t>
      </w:r>
      <w:r>
        <w:rPr>
          <w:b/>
          <w:color w:val="auto"/>
          <w:spacing w:val="0"/>
        </w:rPr>
        <w:t xml:space="preserve"> </w:t>
      </w:r>
      <w:r w:rsidR="00D16D83" w:rsidRPr="00CA109D">
        <w:rPr>
          <w:b/>
          <w:color w:val="auto"/>
          <w:spacing w:val="0"/>
        </w:rPr>
        <w:t>1.</w:t>
      </w:r>
      <w:r>
        <w:rPr>
          <w:b/>
          <w:color w:val="auto"/>
          <w:spacing w:val="0"/>
        </w:rPr>
        <w:t xml:space="preserve"> </w:t>
      </w:r>
      <w:r w:rsidR="00D16D83" w:rsidRPr="00CA109D">
        <w:rPr>
          <w:b/>
          <w:color w:val="auto"/>
          <w:spacing w:val="0"/>
        </w:rPr>
        <w:t>СПЕЦИФИКА</w:t>
      </w:r>
      <w:r>
        <w:rPr>
          <w:b/>
          <w:color w:val="auto"/>
          <w:spacing w:val="0"/>
        </w:rPr>
        <w:t xml:space="preserve"> </w:t>
      </w:r>
      <w:r w:rsidR="00D16D83" w:rsidRPr="00CA109D">
        <w:rPr>
          <w:b/>
          <w:color w:val="auto"/>
          <w:spacing w:val="0"/>
        </w:rPr>
        <w:t>ГОРОДА</w:t>
      </w:r>
      <w:r>
        <w:rPr>
          <w:b/>
          <w:color w:val="auto"/>
          <w:spacing w:val="0"/>
        </w:rPr>
        <w:t xml:space="preserve"> </w:t>
      </w:r>
      <w:r w:rsidR="00D16D83" w:rsidRPr="00CA109D">
        <w:rPr>
          <w:b/>
          <w:color w:val="auto"/>
          <w:spacing w:val="0"/>
        </w:rPr>
        <w:t>НАБЕРЕЖНЫЕ</w:t>
      </w:r>
      <w:r>
        <w:rPr>
          <w:b/>
          <w:color w:val="auto"/>
          <w:spacing w:val="0"/>
        </w:rPr>
        <w:t xml:space="preserve"> </w:t>
      </w:r>
      <w:r w:rsidR="00D16D83" w:rsidRPr="00CA109D">
        <w:rPr>
          <w:b/>
          <w:color w:val="auto"/>
          <w:spacing w:val="0"/>
        </w:rPr>
        <w:t>ЧЕЛНЫ</w:t>
      </w:r>
    </w:p>
    <w:p w:rsidR="00D16D83" w:rsidRPr="00CA109D" w:rsidRDefault="00D16D83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</w:p>
    <w:p w:rsidR="00D16D83" w:rsidRPr="00CA109D" w:rsidRDefault="00D16D83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1.1.</w:t>
      </w:r>
      <w:r w:rsidR="00CA109D">
        <w:rPr>
          <w:b/>
          <w:color w:val="auto"/>
          <w:spacing w:val="0"/>
        </w:rPr>
        <w:t xml:space="preserve"> </w:t>
      </w:r>
      <w:r w:rsidR="00FC46DD" w:rsidRPr="00CA109D">
        <w:rPr>
          <w:b/>
          <w:color w:val="auto"/>
          <w:spacing w:val="0"/>
        </w:rPr>
        <w:t>Краткая</w:t>
      </w:r>
      <w:r w:rsidR="00CA109D">
        <w:rPr>
          <w:b/>
          <w:color w:val="auto"/>
          <w:spacing w:val="0"/>
        </w:rPr>
        <w:t xml:space="preserve"> </w:t>
      </w:r>
      <w:r w:rsidR="00FC46DD" w:rsidRPr="00CA109D">
        <w:rPr>
          <w:b/>
          <w:color w:val="auto"/>
          <w:spacing w:val="0"/>
        </w:rPr>
        <w:t>предистория</w:t>
      </w:r>
      <w:r w:rsidR="00CA109D">
        <w:rPr>
          <w:b/>
          <w:color w:val="auto"/>
          <w:spacing w:val="0"/>
        </w:rPr>
        <w:t xml:space="preserve"> </w:t>
      </w:r>
      <w:r w:rsidR="00B36EA1" w:rsidRPr="00CA109D">
        <w:rPr>
          <w:b/>
          <w:color w:val="auto"/>
          <w:spacing w:val="0"/>
        </w:rPr>
        <w:t>образования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города</w:t>
      </w:r>
    </w:p>
    <w:p w:rsidR="00D16D83" w:rsidRPr="00CA109D" w:rsidRDefault="00D16D83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(Яр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Чаллы)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богатым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прошлым.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поселения,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показывают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археологические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раскопки,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племенами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срубной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середине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III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тысячелетия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эпоху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бронзы.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Самые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письменные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упоминания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относятся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позднему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периоду.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летописей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Бахши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"Джагфар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Тарихы"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1680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сообщает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1172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317)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инициативе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муллы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Мирхаджи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Наккара,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поэта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Мохаммеда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(автора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поэмы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"Сказание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Иусуфе")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превращении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XIV-XV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Ярской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("Побережной")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области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("стороны")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царства.</w:t>
      </w:r>
      <w:r w:rsidR="00CA109D">
        <w:rPr>
          <w:color w:val="auto"/>
          <w:spacing w:val="0"/>
        </w:rPr>
        <w:t xml:space="preserve"> 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картах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итальянских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купцов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братьев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Франсиско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Доменико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Пицигано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1367г.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Каталонского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атласа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1375г.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отмечен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Жар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казанском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диалекте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языка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"Яр"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произносится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форме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"Жар").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Волжско-Камской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территория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Тукаевского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входила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подтверждают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археологические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многочисленные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остатки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булгарской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керамики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половины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XIV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найденные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раскопках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Элеваторной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1992году.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документам,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сохранившимся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архивах,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русских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летописях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упоминаются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1626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1626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дворцовом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Елабуге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образовалась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«</w:t>
      </w:r>
      <w:r w:rsidRPr="00CA109D">
        <w:rPr>
          <w:color w:val="auto"/>
          <w:spacing w:val="0"/>
        </w:rPr>
        <w:t>община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крестьян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елабужан</w:t>
      </w:r>
      <w:r w:rsidR="00E2451F" w:rsidRPr="00CA109D">
        <w:rPr>
          <w:color w:val="auto"/>
          <w:spacing w:val="0"/>
        </w:rPr>
        <w:t>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Федором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Поповым.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"Попов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пятью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дружественным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семейством,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перейдя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через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засел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готовые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дома".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Поселение,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основанное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1626г.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первоначально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носило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Чалнинский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починок.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Позднее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Береговые,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наконец,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[25]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XIX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отмечали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встречавшееся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Уфимском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тюркское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происхождение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</w:t>
      </w:r>
      <w:r w:rsidR="00B36EA1" w:rsidRPr="00CA109D">
        <w:rPr>
          <w:color w:val="auto"/>
          <w:spacing w:val="0"/>
        </w:rPr>
        <w:t>азваний</w:t>
      </w:r>
      <w:r w:rsidR="00CA109D">
        <w:rPr>
          <w:color w:val="auto"/>
          <w:spacing w:val="0"/>
        </w:rPr>
        <w:t xml:space="preserve"> </w:t>
      </w:r>
      <w:r w:rsidR="00B36EA1" w:rsidRPr="00CA109D">
        <w:rPr>
          <w:color w:val="auto"/>
          <w:spacing w:val="0"/>
        </w:rPr>
        <w:t>некоторых</w:t>
      </w:r>
      <w:r w:rsidR="00CA109D">
        <w:rPr>
          <w:color w:val="auto"/>
          <w:spacing w:val="0"/>
        </w:rPr>
        <w:t xml:space="preserve"> </w:t>
      </w:r>
      <w:r w:rsidR="00B36EA1" w:rsidRPr="00CA109D">
        <w:rPr>
          <w:color w:val="auto"/>
          <w:spacing w:val="0"/>
        </w:rPr>
        <w:t>русских</w:t>
      </w:r>
      <w:r w:rsidR="00CA109D">
        <w:rPr>
          <w:color w:val="auto"/>
          <w:spacing w:val="0"/>
        </w:rPr>
        <w:t xml:space="preserve"> </w:t>
      </w:r>
      <w:r w:rsidR="00B36EA1" w:rsidRPr="00CA109D">
        <w:rPr>
          <w:color w:val="auto"/>
          <w:spacing w:val="0"/>
        </w:rPr>
        <w:t>сел.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либо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древних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тюркских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(булгарских)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поселений,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бывших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когда-то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местах.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Либо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возникали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появлялись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деревни.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сходятся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«чал»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по-булгарски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означало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камень,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старое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тюркское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«чаллы»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означало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огороженное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каменной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постройкой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крепость.</w:t>
      </w:r>
      <w:r w:rsidR="00CA109D">
        <w:rPr>
          <w:color w:val="auto"/>
          <w:spacing w:val="0"/>
        </w:rPr>
        <w:t xml:space="preserve"> 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переписи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1647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вокруг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починка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сформировалась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группа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поселений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т.ч.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Бережная,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Мыс,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Орловка,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Мироновка,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Шильня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др.):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деревень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починков,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вместе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взятые,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296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крестьянских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бобылевских,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проживало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683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крестьян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бобылей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мужского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1650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приказу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царя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Алексея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Михайловича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впадении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казацкий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укрепленный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Чалнинский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оберегания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приходов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калмыцких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ногайских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людей.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Села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деревни,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находившиеся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нынешнего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располагались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небольших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Мелекеса,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Шильны.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долине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располагались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замечательные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пойменные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луга.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сожалению,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пойменные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луга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затопленными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Нижнекамского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водохранилища.</w:t>
      </w:r>
      <w:r w:rsidR="00CA109D">
        <w:rPr>
          <w:color w:val="auto"/>
          <w:spacing w:val="0"/>
        </w:rPr>
        <w:t xml:space="preserve"> 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Богата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озерами.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большинстве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гнездилась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промысловая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дичь.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ловили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рыбу.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большинство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озер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либо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попали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зону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затопления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Нижнекамского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водохранилища,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либо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засыпаны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грунтом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застроены.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[25]</w:t>
      </w:r>
    </w:p>
    <w:p w:rsidR="007B511C" w:rsidRPr="00CA109D" w:rsidRDefault="007B511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Огромное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богатство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4-5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столетий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назад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сплошь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покрыты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могучими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лесами.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Особенную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представляли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сосновые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Малый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Елабугой,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"корабельные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рощи",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встречавшиеся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рощах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XVII-XIX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заготавливали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мачтовую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сосну,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шедшую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Казани,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Астрахани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ряде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других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Боровецкая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корабельная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роща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недалеко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с.Боровецкого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д.Малой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Шильны.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Разработкой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охраной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60-х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XIX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A24008" w:rsidRPr="00CA109D">
        <w:rPr>
          <w:color w:val="auto"/>
          <w:spacing w:val="0"/>
        </w:rPr>
        <w:t>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морское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министерство.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обстоятельству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корабельные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хотя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частично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сохранились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дней.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Боровецкой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Кзыл-Тау.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известен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прежде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единственное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вообще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Поволжье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тайга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изменения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"перешагнула"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левый,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лесостепной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достопримечательность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Кзыл-Тау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красавица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пихта.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Кзыл-Тау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памятниками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природы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входят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природного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"Нижняя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Кама".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представляют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богатое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село.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Наиболее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важной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Дворянская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(ныне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Центральная).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старинная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обозначена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середины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функциональную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нагрузку,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являясь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почтовым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трактом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Елабуги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Мензелинск.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деревянные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этажа.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этаже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купцы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держали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лавки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магазины,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семьями.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Дворянская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конторы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крупнейших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пароходств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Волжско-Камского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бассейна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наиболее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влиятельных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торговцев.</w:t>
      </w:r>
    </w:p>
    <w:p w:rsidR="00B36EA1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времени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пристань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церковь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Никольская,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училище,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мельница,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лавок.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1847г.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1726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русские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правильные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ряды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амбаров.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активную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торговлю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хлебом.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Наивысший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размах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приобрела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Около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80%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отправлялось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Рыбинск.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Наиболее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"И.Г.Стахеев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сыновья",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"Братья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Халфины",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"Бушмакин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сыновьями",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Камско-Вятское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товарищество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[25]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Символом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крупнейший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элеватор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емкостью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руководством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иностранных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фирм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1914-1917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банка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эксплуатацию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объект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принят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откосе,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стекает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величественными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объемами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ныне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продолжающий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действовать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элеватор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памятником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архитектуры.</w:t>
      </w:r>
    </w:p>
    <w:p w:rsidR="00A24008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берегу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сосновом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сохранилась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купца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Д.И.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Стахеева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кумысолечебницей,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1908-1909гг.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санаторий,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принадлежавший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Бондюжскому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заводу,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профсоюзов,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затем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КамАЗу.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1991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административного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корпуса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противотуберкулезного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санатория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мемориальный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соответствии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законом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РСФСР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"Об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охране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использовании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памятников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решением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исполкома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Комсомольского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райсовета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августа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1990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санаторий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"Тарловский"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отнесен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категори</w:t>
      </w:r>
      <w:r w:rsidR="00A24008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A24008" w:rsidRPr="00CA109D">
        <w:rPr>
          <w:color w:val="auto"/>
          <w:spacing w:val="0"/>
        </w:rPr>
        <w:t>недвижимых</w:t>
      </w:r>
      <w:r w:rsidR="00CA109D">
        <w:rPr>
          <w:color w:val="auto"/>
          <w:spacing w:val="0"/>
        </w:rPr>
        <w:t xml:space="preserve"> </w:t>
      </w:r>
      <w:r w:rsidR="00A24008" w:rsidRPr="00CA109D">
        <w:rPr>
          <w:color w:val="auto"/>
          <w:spacing w:val="0"/>
        </w:rPr>
        <w:t>памятников</w:t>
      </w:r>
      <w:r w:rsidR="00CA109D">
        <w:rPr>
          <w:color w:val="auto"/>
          <w:spacing w:val="0"/>
        </w:rPr>
        <w:t xml:space="preserve"> </w:t>
      </w:r>
      <w:r w:rsidR="00A24008" w:rsidRPr="00CA109D">
        <w:rPr>
          <w:color w:val="auto"/>
          <w:spacing w:val="0"/>
        </w:rPr>
        <w:t>истории.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Мысовые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слобода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десятилетий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существования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становятся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торгово-ремесленными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поселениями.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люди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рыболовством,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переработкой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дерева,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пушным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промыслом,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бурлачили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купеческих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караванах.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половине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XIX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постепенно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превращаются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торговый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деловой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Нижней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Каме.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[25]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Советская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власть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устанавливается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путем.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ноября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Мензелинске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ревком.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избран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сельский,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вскоре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шести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волостей.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Выгодное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географическое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положение,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сосредоточие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запасов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хлеба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другого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продовольствия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войну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проходили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ожесточенные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частями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Белой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армии.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действий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белочехами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(1918г.),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армией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адмирала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Колчака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(1919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завоевания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советской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власти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отстаивали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бойцы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командиры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Восточного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фронта,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Волжско-Камская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военная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флотилия,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партизанский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отряд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московских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рабочих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уполномоченным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ВЦИК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И.С.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Кожевниковым;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прославленные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полководцы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Чапаев,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М.Н.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Тухачевский,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Чуйков,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Азин,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Ф.Ф.Раскольников,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испытанные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большевики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С.И.Гусев,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П.К.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Штернберг,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Маркин,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Л.М.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Рейснер,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матрос-писатель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Вишневский.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1921-1930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кантонным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одновременно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волостным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центром.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Затем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кантон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преобразован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Постановлением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ВЦИК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СССР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10.08.1930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присвоен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статус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насчитывалось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промышленных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предприятий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мельница,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различные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артели,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лесозавод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"Республиканец",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действовали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"Победа",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"Красная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заря",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"Металлист".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Отечественной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войны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находился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страны.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Около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челнинцев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ушли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фронт,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вернулись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обратно.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войны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эвакуировано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остались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распределили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Тарловского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санатория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развернут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эвакогоспиталь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№4089.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Вышнего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Волочка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эвакуирован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ткацкий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комбинат.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Отечественой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войны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земляков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удостоены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"Герой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Советского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Союза",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кавалером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Ордена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Славы.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2800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награждены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орденами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медалями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СССР.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1960-х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ячеистого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бетона,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Нижнекамской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ГЭС,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кирпичного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1964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строительно-монтажных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"Камгэсэнергострой".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1969г.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приезжает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госкомиссия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утверждения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окончательного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варианта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площадки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КамАЗ.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Мензелинской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дороги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заложен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бетонный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прямоугольник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надписью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батыр".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1969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строительство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КамАЗа.</w:t>
      </w:r>
    </w:p>
    <w:p w:rsidR="00A24008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Численность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января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составила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меньше,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года.</w:t>
      </w:r>
    </w:p>
    <w:p w:rsidR="000F4E1D" w:rsidRPr="00CA109D" w:rsidRDefault="000F4E1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Уменьшение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связано,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очередь,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переходом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посёлка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Круглое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административное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подчинение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Тукаевскому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Несмотря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снижение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демографические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положительную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тенденцию.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по-прежнему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относится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небольшому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рождаемости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превышает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смертности.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[25]</w:t>
      </w:r>
    </w:p>
    <w:p w:rsidR="00FC46DD" w:rsidRPr="00CA109D" w:rsidRDefault="00FC46D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проживают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представители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национальностей,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действуют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национально-культурных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общин.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очередь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решение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возрождения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языка,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обычаев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народов.</w:t>
      </w:r>
    </w:p>
    <w:p w:rsid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C42871" w:rsidRPr="00CA109D" w:rsidRDefault="00A41A41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1.2.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Положение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города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по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социально-культурной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сфере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в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Российской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Федерации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014F31" w:rsidRPr="00CA109D" w:rsidRDefault="00014F3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Культура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—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многоликое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многогранное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явление,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зеркале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отразилась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судьба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выросшего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десятилетия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значимости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промышленного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республике.</w:t>
      </w:r>
    </w:p>
    <w:p w:rsidR="00A74A64" w:rsidRPr="00CA109D" w:rsidRDefault="00014F3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Молодые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люди,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приезжающие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уголков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привозили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обычаи,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песни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явилось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немаловажным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фактором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своеобразия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</w:p>
    <w:p w:rsidR="00014F31" w:rsidRPr="00CA109D" w:rsidRDefault="00014F3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Постепенно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многонациональные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широкая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профессиональных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коллективов,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сейчас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успешно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плодотворно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концертную,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гастрольную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достойно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представляя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конкурсах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фестивалях.</w:t>
      </w:r>
      <w:r w:rsidR="00CA109D">
        <w:rPr>
          <w:color w:val="auto"/>
          <w:spacing w:val="0"/>
        </w:rPr>
        <w:t xml:space="preserve"> </w:t>
      </w:r>
    </w:p>
    <w:p w:rsidR="001409D0" w:rsidRPr="00CA109D" w:rsidRDefault="00A74A64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Благодаря</w:t>
      </w:r>
      <w:r w:rsidR="00CA109D">
        <w:rPr>
          <w:color w:val="auto"/>
          <w:spacing w:val="0"/>
        </w:rPr>
        <w:t xml:space="preserve"> </w:t>
      </w:r>
      <w:r w:rsidR="001409D0" w:rsidRPr="00CA109D">
        <w:rPr>
          <w:color w:val="auto"/>
          <w:spacing w:val="0"/>
        </w:rPr>
        <w:t>поддержки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администрации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1409D0" w:rsidRPr="00CA109D">
        <w:rPr>
          <w:color w:val="auto"/>
          <w:spacing w:val="0"/>
        </w:rPr>
        <w:t>оказании</w:t>
      </w:r>
      <w:r w:rsidR="00CA109D">
        <w:rPr>
          <w:color w:val="auto"/>
          <w:spacing w:val="0"/>
        </w:rPr>
        <w:t xml:space="preserve"> </w:t>
      </w:r>
      <w:r w:rsidR="001409D0" w:rsidRPr="00CA109D">
        <w:rPr>
          <w:color w:val="auto"/>
          <w:spacing w:val="0"/>
        </w:rPr>
        <w:t>финансовой</w:t>
      </w:r>
      <w:r w:rsidR="00CA109D">
        <w:rPr>
          <w:color w:val="auto"/>
          <w:spacing w:val="0"/>
        </w:rPr>
        <w:t xml:space="preserve"> </w:t>
      </w:r>
      <w:r w:rsidR="001409D0"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инвестор</w:t>
      </w:r>
      <w:r w:rsidR="001409D0" w:rsidRPr="00CA109D">
        <w:rPr>
          <w:color w:val="auto"/>
          <w:spacing w:val="0"/>
        </w:rPr>
        <w:t>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достроены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культурно-досуговые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(Органный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ГЦДТ,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т.д)</w:t>
      </w:r>
      <w:r w:rsidR="00987E5F"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спортивно-оздоровител</w:t>
      </w:r>
      <w:r w:rsidR="00E2451F" w:rsidRPr="00CA109D">
        <w:rPr>
          <w:color w:val="auto"/>
          <w:spacing w:val="0"/>
        </w:rPr>
        <w:t>ьные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(Ледовый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Дворец</w:t>
      </w:r>
      <w:r w:rsidR="00987E5F" w:rsidRPr="00CA109D">
        <w:rPr>
          <w:color w:val="auto"/>
          <w:spacing w:val="0"/>
        </w:rPr>
        <w:t>),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п</w:t>
      </w:r>
      <w:r w:rsidR="00060AB1" w:rsidRPr="00CA109D">
        <w:rPr>
          <w:color w:val="auto"/>
          <w:spacing w:val="0"/>
        </w:rPr>
        <w:t>озволяет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челнинцам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развиваться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совершенствоваться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987E5F" w:rsidRPr="00CA109D">
        <w:rPr>
          <w:color w:val="auto"/>
          <w:spacing w:val="0"/>
        </w:rPr>
        <w:t>мастерстве.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[23,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D913B8" w:rsidRPr="00CA109D">
        <w:rPr>
          <w:color w:val="auto"/>
          <w:spacing w:val="0"/>
        </w:rPr>
        <w:t>6]</w:t>
      </w:r>
    </w:p>
    <w:p w:rsidR="00A74A64" w:rsidRPr="00CA109D" w:rsidRDefault="001409D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Х</w:t>
      </w:r>
      <w:r w:rsidR="00E84CD3" w:rsidRPr="00CA109D">
        <w:rPr>
          <w:color w:val="auto"/>
          <w:spacing w:val="0"/>
        </w:rPr>
        <w:t>оккейная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команда</w:t>
      </w:r>
      <w:r w:rsidR="00CA109D">
        <w:rPr>
          <w:color w:val="auto"/>
          <w:spacing w:val="0"/>
        </w:rPr>
        <w:t xml:space="preserve"> </w:t>
      </w:r>
      <w:r w:rsidR="00E84CD3" w:rsidRPr="00CA109D">
        <w:rPr>
          <w:color w:val="auto"/>
          <w:spacing w:val="0"/>
        </w:rPr>
        <w:t>«Челны»</w:t>
      </w:r>
      <w:r w:rsidR="00060AB1"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футбольная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команда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«КамАЗ»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спортсмены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принимают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участие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различных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соревнованиях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другими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городами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Федерации,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свою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очередь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принос</w:t>
      </w:r>
      <w:r w:rsidR="00060AB1" w:rsidRPr="00CA109D">
        <w:rPr>
          <w:color w:val="auto"/>
          <w:spacing w:val="0"/>
        </w:rPr>
        <w:t>и</w:t>
      </w:r>
      <w:r w:rsidR="000F4FB3" w:rsidRPr="00CA109D">
        <w:rPr>
          <w:color w:val="auto"/>
          <w:spacing w:val="0"/>
        </w:rPr>
        <w:t>т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положительные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результаты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победы</w:t>
      </w:r>
      <w:r w:rsidR="000F4FB3" w:rsidRPr="00CA109D">
        <w:rPr>
          <w:color w:val="auto"/>
          <w:spacing w:val="0"/>
        </w:rPr>
        <w:t>.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Творческие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коллективы,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актеры,</w:t>
      </w:r>
      <w:r w:rsidR="00CA109D">
        <w:rPr>
          <w:color w:val="auto"/>
          <w:spacing w:val="0"/>
        </w:rPr>
        <w:t xml:space="preserve"> </w:t>
      </w:r>
      <w:r w:rsidR="005D420C" w:rsidRPr="00CA109D">
        <w:rPr>
          <w:color w:val="auto"/>
          <w:spacing w:val="0"/>
        </w:rPr>
        <w:t>музыкальные</w:t>
      </w:r>
      <w:r w:rsidR="00CA109D">
        <w:rPr>
          <w:color w:val="auto"/>
          <w:spacing w:val="0"/>
        </w:rPr>
        <w:t xml:space="preserve"> </w:t>
      </w:r>
      <w:r w:rsidR="005D420C" w:rsidRPr="00CA109D">
        <w:rPr>
          <w:color w:val="auto"/>
          <w:spacing w:val="0"/>
        </w:rPr>
        <w:t>группы,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ансамбли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признаны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только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России,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но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других</w:t>
      </w:r>
      <w:r w:rsidR="00CA109D">
        <w:rPr>
          <w:color w:val="auto"/>
          <w:spacing w:val="0"/>
        </w:rPr>
        <w:t xml:space="preserve"> </w:t>
      </w:r>
      <w:r w:rsidR="000F4FB3" w:rsidRPr="00CA109D">
        <w:rPr>
          <w:color w:val="auto"/>
          <w:spacing w:val="0"/>
        </w:rPr>
        <w:t>странах.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Челнинская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культура,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искусство,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творчество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спорт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вносит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большой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вклад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социально-культурной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сферы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="00060AB1" w:rsidRPr="00CA109D">
        <w:rPr>
          <w:color w:val="auto"/>
          <w:spacing w:val="0"/>
        </w:rPr>
        <w:t>Федерации</w:t>
      </w:r>
      <w:r w:rsidR="006F707F" w:rsidRPr="00CA109D">
        <w:rPr>
          <w:color w:val="auto"/>
          <w:spacing w:val="0"/>
        </w:rPr>
        <w:t>.</w:t>
      </w:r>
    </w:p>
    <w:p w:rsidR="00A41A41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233044" w:rsidRPr="00CA109D">
        <w:rPr>
          <w:b/>
          <w:color w:val="auto"/>
          <w:spacing w:val="0"/>
        </w:rPr>
        <w:t>Глава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2.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ОСОБЕННОСТИ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СОЦИАЛЬНО-КУЛЬТУРНОГО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РАЗВИТИЯ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ГОРОДА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НАБЕРЕЖНЫЕ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ЧЕЛНЫ</w:t>
      </w:r>
    </w:p>
    <w:p w:rsidR="00233044" w:rsidRPr="00CA109D" w:rsidRDefault="00233044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</w:p>
    <w:p w:rsidR="00C42871" w:rsidRPr="00CA109D" w:rsidRDefault="00C42871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2.1.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Здравоохранение</w:t>
      </w:r>
    </w:p>
    <w:p w:rsidR="00A41A41" w:rsidRPr="00CA109D" w:rsidRDefault="00A41A41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Управление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Министерства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территориальным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Министерства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реализующим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функции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межведомственном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уровне.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Медицинская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большинство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отве</w:t>
      </w:r>
      <w:r w:rsidR="00E91850" w:rsidRPr="00CA109D">
        <w:rPr>
          <w:color w:val="auto"/>
          <w:spacing w:val="0"/>
        </w:rPr>
        <w:t>чающим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современным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требованиям.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обслуживания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достаточно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сегодняшний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межрайонными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развернуты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межрайонных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отделений,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квалифицированную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Закамского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Татарстана.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Медицинское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обслуживание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самостоятельных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поликлиниках.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развернут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условия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обследования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пациентов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применением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диагностики.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Амбулаторно-поликлиническая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поликлиниками;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5-ю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специализированными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онкологический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психоневрологический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наркологический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противотуберкулезный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диспансер,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кожно-венерологический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борьбы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реабилитации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патологией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слуха,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мощностью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10372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посещений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смену.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амбулаторно-поликлиническими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201,7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посещений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смену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внедрены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стационарозамещающие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развернуто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дневных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стационаров.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[22,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6]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профосмотров,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профилактическое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обследование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декретированного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контингента,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предварительное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медосмотров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поступлении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освидетельствование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водителей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лаборатория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полимеразно-цепной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реакции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(ПЦР).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амбулаторно-поликлинической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службы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профилактическое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Активно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внедряются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технологии: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пациенты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правилам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самоконтроля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самопомощи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"школах"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сахарным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диабетом,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"астма-школе",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«тирео-школе»,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«ревмошколе».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Стоматологическую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стоматологические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стоматологическая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широко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стоматологических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кабинетов,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стоматологическую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счет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Численность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коечного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3670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круглосуточного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пребывания,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918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койки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дневного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505,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341).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Экстренную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№2,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сконцентрированы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практически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неотложной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БСМП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“искусственная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почка”.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Городская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многопрофильная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сконцентрирована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неврологическая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экстренная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плановая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кардиологии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гинекологии.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выполняется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операций,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сконцентрированы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хирургические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Здесь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онкологическая,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гематологическая,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эндокринологическая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Активно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противоязвенный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внедрены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методики.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Родильный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благожелательного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отношения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ребенку».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[8,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137]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Перинатальный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межрайонным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близлежащих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службу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планирования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семьи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(поликлиника),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перинатальный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родильный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дом.</w:t>
      </w:r>
      <w:r w:rsidR="00CA109D">
        <w:rPr>
          <w:color w:val="auto"/>
          <w:spacing w:val="0"/>
        </w:rPr>
        <w:t xml:space="preserve"> 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улучшения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участникам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функционирует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госпиталь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ветеранов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коек.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хозрасчетное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отделение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«Осанна»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платной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многопрофильное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лечение.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Инфекционная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возможность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одновременно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принять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325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круглосуточного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пребывания,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койки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дневного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стационара.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Круглосуточную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неотложную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Тукаевскому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бригад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специализированные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бригады: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кардиологические,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реанимационные,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педиатрические,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психоневрологические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ежедневно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выезжают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нуждающимся.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[8,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138]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Лекарственное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фирмой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«Челныфармация».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Жизнедеятельность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обеспечивают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бюро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судебно-медицинской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экспертизы,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СпецсанАТП,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информационно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переливания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бесперебойно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обеспечивает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донорской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компонентами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близлежащих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выпускает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наименований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компонентов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препаратов.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Медколледж,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одним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лучших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готовит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кадры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близлежащих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районов.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бюро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медико-социальной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экспертизы,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экспертизу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стойкой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утрате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трудоспособности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установлению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инвалидности.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[8,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138]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1777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5580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000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32,3,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106,0.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сертификаты,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квалификационные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категории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медработников.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кандидатов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удостоены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отличников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24</w:t>
      </w:r>
      <w:r w:rsidR="00E91850" w:rsidRPr="00CA109D">
        <w:rPr>
          <w:color w:val="auto"/>
          <w:spacing w:val="0"/>
        </w:rPr>
        <w:t>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C42871" w:rsidRPr="00CA109D" w:rsidRDefault="00E91850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2.2.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Культура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D53354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отрасли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сегодняшний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1551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которых: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почетное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артист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Почетный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Гульсабира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Махмутовна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Хакимова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удостоена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Федерации»,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артист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Инсаф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Фахретдинов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«Народный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артист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РТ».</w:t>
      </w:r>
    </w:p>
    <w:p w:rsidR="00D53354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Важной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первостепенной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потребностей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горожан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насущных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современности.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библиотек-филиалов.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содержательного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отдыха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горожан,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условий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духовного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путем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максимального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приобщения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ценностям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культурно-досуговых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заведений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индивидуальности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каждого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ребенка,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раскрытие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потенциала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условий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дальнейшего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способностей.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Наряду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«Красота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спасет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«Одаренные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дети»,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связанными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досугом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подрастающего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поколения,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ежегодно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разрабатываются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«Программа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«Программа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языков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проживающих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отражают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первоочередные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перспективу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намечают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решения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назревших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области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[16,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11]</w:t>
      </w:r>
    </w:p>
    <w:p w:rsidR="00D53354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тесно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сотрудничают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общественными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союзами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писателей,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художников,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композиторов,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дизайнеров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т.д.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совместная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персональных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выставок,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юбилеев,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бенефисов,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вечеров,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конкурсов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фестивалей.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десятилетие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приобрели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характер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мероприятия: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новогодние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праздники,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зимы,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Победы,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Сабантуй,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Праздник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цветов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Становятся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традиционными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приобретают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яркие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ранее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забытые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праздники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«Нардуган»,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«Навруз»,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«Петров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«Каз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омэсе»,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«Ивана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Купала».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Плодотворную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концертно-гастрольную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профессиональные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самодеятельные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исполнители: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заслуженные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артисты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Валиахметов,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Гульдания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Хайруллина,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Виталий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Агапов,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Алсу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Хисамиева,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заслуженные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Асия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Ахметшина,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Хайруллина,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Сибгатуллина,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Габидулла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Хурматуллин,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Шафагат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Салихов,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Гульсина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Сабирова,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Заслуженный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Ильгиз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Закиров,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популярные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певцы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Равиль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Галиев,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Лилия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Букеева,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Кузнецов,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Валентина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Сидорова,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Альберт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Салихов,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Захир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Насибуллин,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Ильгизар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Муртазин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другие.</w:t>
      </w:r>
      <w:r w:rsidR="00CA109D">
        <w:rPr>
          <w:color w:val="auto"/>
          <w:spacing w:val="0"/>
        </w:rPr>
        <w:t xml:space="preserve"> </w:t>
      </w:r>
    </w:p>
    <w:p w:rsidR="00E91850" w:rsidRPr="00CA109D" w:rsidRDefault="002E5DAF" w:rsidP="00CA109D">
      <w:pPr>
        <w:spacing w:line="360" w:lineRule="auto"/>
        <w:ind w:firstLine="709"/>
        <w:jc w:val="both"/>
        <w:rPr>
          <w:color w:val="auto"/>
          <w:spacing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4.4pt;margin-top:0;width:24pt;height:24pt;z-index:251657728;mso-wrap-distance-left:0;mso-wrap-distance-right:0;mso-position-horizontal:right;mso-position-vertical-relative:line" o:allowoverlap="f">
            <w10:wrap type="square"/>
          </v:shape>
        </w:pict>
      </w:r>
      <w:r w:rsidR="00E91850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большое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профессиональных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самодеятельных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коллективов: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камерный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оркестр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«Провинция»,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государственный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кукол,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государственный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татарский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театр,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русский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«Мастеровые»,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оркестр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народных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инструментов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«Наигрыш»,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ансамбль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танца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«Булгары»,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эстрады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«Земляничка»,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ансамбль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спортивного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бального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танца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«Ритм»,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детский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хореографический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ансамбль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«Бисеринки»,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современного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танца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«Творческая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мастерская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Ирины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Исаенко»,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цирковая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студия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«Хали-Гали»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E91850" w:rsidRPr="00CA109D">
        <w:rPr>
          <w:color w:val="auto"/>
          <w:spacing w:val="0"/>
        </w:rPr>
        <w:t>другие.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[7,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29]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проживают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представители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национальностей.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дружбы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«Родник»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сегодняшний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официально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зарегистрированы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общин.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Ежегодно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фестиваль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дружбы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народов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«Доброе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братство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лучшее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богатство».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Значительную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поддержку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внимание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отрасли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глава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администрации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Ильдар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Шафкатович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Халиков.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отвечая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требованиям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времени,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перепрофилируется,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реорганизуется,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модернизируется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социально-культурная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открылся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«Интерклуба»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русский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«Мастеровые»,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кинотеатра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«Чулпан»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ремонтные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«Энергетик».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[7,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29]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Традиционно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новогодних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праздников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отмечают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профессиональный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праздник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отрасль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подводит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прошедшего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чествуют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награждают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лучших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специалистов.</w:t>
      </w:r>
    </w:p>
    <w:p w:rsidR="00C42871" w:rsidRPr="00CA109D" w:rsidRDefault="00D53354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2.3.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Физическая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культура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и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спорт</w:t>
      </w:r>
    </w:p>
    <w:p w:rsidR="00054166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Управление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соответствии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Законом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спорте»,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Постановлениями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Кабинета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Министерства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«Программой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Челны»;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оперативное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руководство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физкультурно-спортивных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учреждений.</w:t>
      </w:r>
      <w:r w:rsidR="00CA109D">
        <w:rPr>
          <w:color w:val="auto"/>
          <w:spacing w:val="0"/>
        </w:rPr>
        <w:t xml:space="preserve"> 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Работа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досуга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категорий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резерва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высококвалифицированных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пропаганду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совместно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общественными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формированиями,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коллективами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предприятий,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форм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собственности.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управления:</w:t>
      </w:r>
    </w:p>
    <w:p w:rsidR="008A6425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специализированных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детско-юношеских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олимпийского резерва (СДЮШОР): </w:t>
      </w:r>
      <w:r w:rsidRPr="00CA109D">
        <w:rPr>
          <w:color w:val="auto"/>
          <w:spacing w:val="0"/>
        </w:rPr>
        <w:t>спорткомплекс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«Олимпийский»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плаванию,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дзюдо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самбо,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«Яр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Чаллы»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велоспорту,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атлетике.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детско-юнош</w:t>
      </w:r>
      <w:r w:rsidR="008A6425" w:rsidRPr="00CA109D">
        <w:rPr>
          <w:color w:val="auto"/>
          <w:spacing w:val="0"/>
        </w:rPr>
        <w:t>еских</w:t>
      </w:r>
      <w:r w:rsidR="00CA109D">
        <w:rPr>
          <w:color w:val="auto"/>
          <w:spacing w:val="0"/>
        </w:rPr>
        <w:t xml:space="preserve"> </w:t>
      </w:r>
      <w:r w:rsidR="008A6425"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</w:t>
      </w:r>
      <w:r w:rsidR="008A6425" w:rsidRPr="00CA109D">
        <w:rPr>
          <w:color w:val="auto"/>
          <w:spacing w:val="0"/>
        </w:rPr>
        <w:t>ДЮСШ):</w:t>
      </w:r>
      <w:r w:rsidR="00CA109D">
        <w:rPr>
          <w:color w:val="auto"/>
          <w:spacing w:val="0"/>
        </w:rPr>
        <w:t xml:space="preserve"> </w:t>
      </w:r>
      <w:r w:rsidR="008A6425" w:rsidRPr="00CA109D">
        <w:rPr>
          <w:color w:val="auto"/>
          <w:spacing w:val="0"/>
        </w:rPr>
        <w:t>«Комсомолец»</w:t>
      </w:r>
      <w:r w:rsidR="00CA109D">
        <w:rPr>
          <w:color w:val="auto"/>
          <w:spacing w:val="0"/>
        </w:rPr>
        <w:t xml:space="preserve"> </w:t>
      </w:r>
      <w:r w:rsidR="008A6425"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гимнастике,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«Строитель»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боксу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футболу,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«Дельфин»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плаванию,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«Заря»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футболу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волейболу,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«Витязь»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греко-римской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борьбе,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армспорту,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борьбе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плаванию,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«Виктория»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футболу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велоспорту,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ДЮСШ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акробатике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боксу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спорткомплексе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«Олимпийский»,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«Титан»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танцам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лыжным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гонкам,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ДЮСШ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единоборств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тхэквондо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ВТФ.</w:t>
      </w:r>
      <w:r w:rsidR="00CA109D">
        <w:rPr>
          <w:color w:val="auto"/>
          <w:spacing w:val="0"/>
        </w:rPr>
        <w:t xml:space="preserve"> 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клубов,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комплексов: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шахматно-шашечный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клуб,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физкультурно-оздоровительный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«Дельфин»;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Авиационно-технический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клуб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«Аэрокам»;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Конно-спортивная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«Тулпар»;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Волейбольный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клуб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«Динамо».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культивируются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74,8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14,6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каждый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челнинец,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любимыми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(мировой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показатель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50-65%).</w:t>
      </w:r>
      <w:r w:rsidR="00CA109D">
        <w:rPr>
          <w:color w:val="auto"/>
          <w:spacing w:val="0"/>
        </w:rPr>
        <w:t xml:space="preserve"> 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Наибольшей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популярностью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пользуются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плавание,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баскетбол,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футбол,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волейбол,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атлетика,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теннис,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аэробика,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шахматы,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лыжные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гонки.</w:t>
      </w:r>
      <w:r w:rsidR="00CA109D">
        <w:rPr>
          <w:color w:val="auto"/>
          <w:spacing w:val="0"/>
        </w:rPr>
        <w:t xml:space="preserve"> 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693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капитальных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плоскостных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сооружений,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стадиона,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крытых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бассейнов,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спорткомплексов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специализированных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лыжных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стрелковых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тиров,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картодром,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автодром,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мотодром,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конно-спортивный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легкоатлетический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манеж,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ледовый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дворец,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стандартных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спортзалов.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сегодняшний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1146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штатных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42,3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(485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чел.)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выпускники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института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стабилизировалось,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61,8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высшее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средне-специальное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образование.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[19,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4]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резерва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класса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участвуют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566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тренеры-преподаватели.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заслуженных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тренеров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РФ,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СССР.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Подготовку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кадров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институт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ежегодно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институт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выпускает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260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специалистов.</w:t>
      </w:r>
      <w:r w:rsidR="00CA109D">
        <w:rPr>
          <w:color w:val="auto"/>
          <w:spacing w:val="0"/>
        </w:rPr>
        <w:t xml:space="preserve"> 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Участие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соревнованиях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важная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составляющая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начинающих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разрядов.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УФКСиТ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соревнований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первенств,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чемпионатов,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кубков,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турниров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сильнейших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сборных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команд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состязаниях.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сборных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команд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республиканских,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всероссийских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соревнованиях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культивируемым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Преимущество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</w:p>
    <w:p w:rsidR="00B3565B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Ежегодно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официальных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первенствах,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чемпионатах,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Кубках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Европы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принимают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атлетика,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бокс,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плавание,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велоспорт,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акробатика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гимнастика,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автоспорт,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дзюдо,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борьба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самбо,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греко-римская,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каратэ-до,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армспорт.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[19,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4]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давние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традиции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движении,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XXIV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летней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Олимпиады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Сеуле,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представлял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Равиль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Исхакович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Кашапов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занял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марафонском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беге.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Играх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Барселоне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Лилия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Фоатовна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Нурутдинова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чемпионкой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эстафетном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беге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4х400м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серебряным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призером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беге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метров.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XXVI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Играх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Атланте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Фирая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Рифкатовна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Султанова-Жданова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заняла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беге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дистанции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000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метров.</w:t>
      </w:r>
    </w:p>
    <w:p w:rsidR="00F14583" w:rsidRPr="00CA109D" w:rsidRDefault="00F14583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прошедший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цикл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подготовлены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XXVIII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Игр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Афинах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(Греция)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Гульнара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Самитова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(легкая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атлетика),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Алексей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Зацепин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(плавание).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спортсменов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Олимпиаде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Пекине.</w:t>
      </w:r>
    </w:p>
    <w:p w:rsidR="00233044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233044" w:rsidRPr="00CA109D">
        <w:rPr>
          <w:b/>
          <w:color w:val="auto"/>
          <w:spacing w:val="0"/>
        </w:rPr>
        <w:t>Глава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3.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ИТОГИ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НЕПРОИЗВОДСТВЕННОЙ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СФЕРЫ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ХОЗЯЙСТВА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ГОРОДА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НАБЕРЕЖНЫЕ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ЧЕЛНЫ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ЗА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І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ПОЛУГОДИЕ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2006</w:t>
      </w:r>
      <w:r>
        <w:rPr>
          <w:b/>
          <w:color w:val="auto"/>
          <w:spacing w:val="0"/>
        </w:rPr>
        <w:t xml:space="preserve"> </w:t>
      </w:r>
      <w:r w:rsidR="00233044" w:rsidRPr="00CA109D">
        <w:rPr>
          <w:b/>
          <w:color w:val="auto"/>
          <w:spacing w:val="0"/>
        </w:rPr>
        <w:t>ГОДА</w:t>
      </w:r>
    </w:p>
    <w:p w:rsidR="00233044" w:rsidRPr="00CA109D" w:rsidRDefault="00233044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</w:p>
    <w:p w:rsidR="00C42871" w:rsidRPr="00CA109D" w:rsidRDefault="00C42871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 w:rsidRPr="00CA109D">
        <w:rPr>
          <w:b/>
          <w:color w:val="auto"/>
          <w:spacing w:val="0"/>
        </w:rPr>
        <w:t>3.1.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Основные</w:t>
      </w:r>
      <w:r w:rsidR="00CA109D">
        <w:rPr>
          <w:b/>
          <w:color w:val="auto"/>
          <w:spacing w:val="0"/>
        </w:rPr>
        <w:t xml:space="preserve"> </w:t>
      </w:r>
      <w:r w:rsidRPr="00CA109D">
        <w:rPr>
          <w:b/>
          <w:color w:val="auto"/>
          <w:spacing w:val="0"/>
        </w:rPr>
        <w:t>показатели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054166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Состояние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характеризуется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низким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рождаемости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(10,5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случая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смертности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случаев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особенно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мужчин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трудоспособного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возраста.</w:t>
      </w:r>
    </w:p>
    <w:p w:rsidR="00054166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Ежегодно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регистрируется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различных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заболеваний;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дыхания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(26%),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кровообращения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(11%),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пищеварения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(8%),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инвалидность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1,1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</w:p>
    <w:p w:rsidR="00B3565B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Показатели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отрицательно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сказываются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продолжительности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составила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65,5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мужчин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продолжительности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мужчин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134-е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продолжительности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100-е.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8]</w:t>
      </w:r>
    </w:p>
    <w:p w:rsidR="001A12CC" w:rsidRPr="00CA109D" w:rsidRDefault="001A12C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реализации</w:t>
      </w:r>
      <w:r w:rsidR="00CA109D">
        <w:rPr>
          <w:color w:val="auto"/>
          <w:spacing w:val="0"/>
        </w:rPr>
        <w:t xml:space="preserve"> </w:t>
      </w:r>
      <w:r w:rsidR="00A24008"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</w:t>
      </w:r>
      <w:r w:rsidR="00A24008" w:rsidRPr="00CA109D">
        <w:rPr>
          <w:color w:val="auto"/>
          <w:spacing w:val="0"/>
        </w:rPr>
        <w:t>Здоровье</w:t>
      </w:r>
      <w:r w:rsidRPr="00CA109D">
        <w:rPr>
          <w:color w:val="auto"/>
          <w:spacing w:val="0"/>
        </w:rPr>
        <w:t>"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17.08.2006г.)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показатели.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«Подготовка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переподготовка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(семейной)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врачей-терапевтов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врачей-педиатров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участковых»</w:t>
      </w:r>
    </w:p>
    <w:p w:rsidR="001A12CC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период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1.01.2006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31.05.2006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сертификаты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«Терапия»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«Общая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врачебная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практика»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«Педиатрия»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сертификационном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цикле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терапии,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линии,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проучились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врачей.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Таблица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1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76"/>
        <w:gridCol w:w="869"/>
        <w:gridCol w:w="757"/>
        <w:gridCol w:w="893"/>
        <w:gridCol w:w="761"/>
        <w:gridCol w:w="745"/>
        <w:gridCol w:w="739"/>
        <w:gridCol w:w="893"/>
        <w:gridCol w:w="1000"/>
        <w:gridCol w:w="745"/>
        <w:gridCol w:w="542"/>
      </w:tblGrid>
      <w:tr w:rsidR="001A12CC" w:rsidRPr="00CA109D" w:rsidTr="00CA109D">
        <w:trPr>
          <w:cantSplit/>
          <w:trHeight w:val="274"/>
        </w:trPr>
        <w:tc>
          <w:tcPr>
            <w:tcW w:w="3510" w:type="dxa"/>
            <w:gridSpan w:val="4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терапевты</w:t>
            </w:r>
          </w:p>
        </w:tc>
        <w:tc>
          <w:tcPr>
            <w:tcW w:w="3138" w:type="dxa"/>
            <w:gridSpan w:val="4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педиатры</w:t>
            </w:r>
          </w:p>
        </w:tc>
        <w:tc>
          <w:tcPr>
            <w:tcW w:w="3180" w:type="dxa"/>
            <w:gridSpan w:val="4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Врачи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общей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практики</w:t>
            </w:r>
          </w:p>
        </w:tc>
      </w:tr>
      <w:tr w:rsidR="001A12CC" w:rsidRPr="00CA109D" w:rsidTr="00CA109D">
        <w:trPr>
          <w:cantSplit/>
          <w:trHeight w:val="348"/>
        </w:trPr>
        <w:tc>
          <w:tcPr>
            <w:tcW w:w="10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Кол-во</w:t>
            </w:r>
          </w:p>
        </w:tc>
        <w:tc>
          <w:tcPr>
            <w:tcW w:w="8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ПП</w:t>
            </w:r>
          </w:p>
        </w:tc>
        <w:tc>
          <w:tcPr>
            <w:tcW w:w="869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СЦ</w:t>
            </w:r>
          </w:p>
        </w:tc>
        <w:tc>
          <w:tcPr>
            <w:tcW w:w="757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ТУ</w:t>
            </w: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Кол-во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ПП</w:t>
            </w:r>
          </w:p>
        </w:tc>
        <w:tc>
          <w:tcPr>
            <w:tcW w:w="7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СЦ</w:t>
            </w:r>
          </w:p>
        </w:tc>
        <w:tc>
          <w:tcPr>
            <w:tcW w:w="739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ТУ</w:t>
            </w: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Кол-во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ПП</w:t>
            </w:r>
          </w:p>
        </w:tc>
        <w:tc>
          <w:tcPr>
            <w:tcW w:w="7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СЦ</w:t>
            </w:r>
          </w:p>
        </w:tc>
        <w:tc>
          <w:tcPr>
            <w:tcW w:w="542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ТУ</w:t>
            </w:r>
          </w:p>
        </w:tc>
      </w:tr>
      <w:tr w:rsidR="001A12CC" w:rsidRPr="00CA109D" w:rsidTr="00CA109D">
        <w:trPr>
          <w:cantSplit/>
          <w:trHeight w:val="283"/>
        </w:trPr>
        <w:tc>
          <w:tcPr>
            <w:tcW w:w="9828" w:type="dxa"/>
            <w:gridSpan w:val="12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Потребность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обучении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состоянию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1.01.2006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г.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составляла</w:t>
            </w:r>
          </w:p>
        </w:tc>
      </w:tr>
      <w:tr w:rsidR="001A12CC" w:rsidRPr="00CA109D">
        <w:tc>
          <w:tcPr>
            <w:tcW w:w="10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28</w:t>
            </w:r>
          </w:p>
        </w:tc>
        <w:tc>
          <w:tcPr>
            <w:tcW w:w="8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14</w:t>
            </w:r>
          </w:p>
        </w:tc>
        <w:tc>
          <w:tcPr>
            <w:tcW w:w="757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14</w:t>
            </w: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52</w:t>
            </w:r>
          </w:p>
        </w:tc>
        <w:tc>
          <w:tcPr>
            <w:tcW w:w="761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32</w:t>
            </w:r>
          </w:p>
        </w:tc>
        <w:tc>
          <w:tcPr>
            <w:tcW w:w="739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19</w:t>
            </w: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62</w:t>
            </w:r>
          </w:p>
        </w:tc>
        <w:tc>
          <w:tcPr>
            <w:tcW w:w="100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</w:t>
            </w:r>
          </w:p>
        </w:tc>
        <w:tc>
          <w:tcPr>
            <w:tcW w:w="7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</w:t>
            </w:r>
          </w:p>
        </w:tc>
        <w:tc>
          <w:tcPr>
            <w:tcW w:w="542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42</w:t>
            </w:r>
          </w:p>
        </w:tc>
      </w:tr>
      <w:tr w:rsidR="001A12CC" w:rsidRPr="00CA109D">
        <w:tc>
          <w:tcPr>
            <w:tcW w:w="9828" w:type="dxa"/>
            <w:gridSpan w:val="12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Прошли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обучение</w:t>
            </w:r>
          </w:p>
        </w:tc>
      </w:tr>
      <w:tr w:rsidR="001A12CC" w:rsidRPr="00CA109D">
        <w:tc>
          <w:tcPr>
            <w:tcW w:w="10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34</w:t>
            </w:r>
          </w:p>
        </w:tc>
        <w:tc>
          <w:tcPr>
            <w:tcW w:w="876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69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34</w:t>
            </w:r>
          </w:p>
        </w:tc>
        <w:tc>
          <w:tcPr>
            <w:tcW w:w="757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30</w:t>
            </w:r>
          </w:p>
        </w:tc>
        <w:tc>
          <w:tcPr>
            <w:tcW w:w="761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30</w:t>
            </w:r>
          </w:p>
        </w:tc>
        <w:tc>
          <w:tcPr>
            <w:tcW w:w="739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34</w:t>
            </w:r>
          </w:p>
        </w:tc>
        <w:tc>
          <w:tcPr>
            <w:tcW w:w="100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34</w:t>
            </w:r>
          </w:p>
        </w:tc>
        <w:tc>
          <w:tcPr>
            <w:tcW w:w="745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42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</w:tr>
      <w:tr w:rsidR="001A12CC" w:rsidRPr="00CA109D">
        <w:tc>
          <w:tcPr>
            <w:tcW w:w="9828" w:type="dxa"/>
            <w:gridSpan w:val="12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Запланировано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обучение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август-сентябрь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2006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года</w:t>
            </w:r>
          </w:p>
        </w:tc>
      </w:tr>
      <w:tr w:rsidR="001A12CC" w:rsidRPr="00CA109D">
        <w:tc>
          <w:tcPr>
            <w:tcW w:w="1008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76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69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57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93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61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45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739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89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23</w:t>
            </w:r>
          </w:p>
        </w:tc>
        <w:tc>
          <w:tcPr>
            <w:tcW w:w="100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23</w:t>
            </w:r>
          </w:p>
        </w:tc>
        <w:tc>
          <w:tcPr>
            <w:tcW w:w="745" w:type="dxa"/>
            <w:vAlign w:val="center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</w:tr>
    </w:tbl>
    <w:p w:rsidR="00CA109D" w:rsidRPr="00CA109D" w:rsidRDefault="00CA109D" w:rsidP="00CA109D">
      <w:pPr>
        <w:spacing w:line="360" w:lineRule="auto"/>
        <w:jc w:val="both"/>
        <w:rPr>
          <w:color w:val="auto"/>
          <w:spacing w:val="0"/>
          <w:sz w:val="20"/>
          <w:szCs w:val="20"/>
        </w:rPr>
      </w:pP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  <w:szCs w:val="24"/>
        </w:rPr>
      </w:pPr>
      <w:r w:rsidRPr="00CA109D">
        <w:rPr>
          <w:color w:val="auto"/>
          <w:spacing w:val="0"/>
          <w:szCs w:val="24"/>
        </w:rPr>
        <w:t>Примечание: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ПП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–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переподготовка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(первичная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специализация)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  <w:szCs w:val="24"/>
        </w:rPr>
      </w:pPr>
      <w:r w:rsidRPr="00CA109D">
        <w:rPr>
          <w:color w:val="auto"/>
          <w:spacing w:val="0"/>
          <w:szCs w:val="24"/>
        </w:rPr>
        <w:t>СЦ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–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сертификационный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цикл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  <w:szCs w:val="24"/>
        </w:rPr>
      </w:pPr>
      <w:r w:rsidRPr="00CA109D">
        <w:rPr>
          <w:color w:val="auto"/>
          <w:spacing w:val="0"/>
          <w:szCs w:val="24"/>
        </w:rPr>
        <w:t>ТУ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–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тематическое</w:t>
      </w:r>
      <w:r w:rsidR="00CA109D">
        <w:rPr>
          <w:color w:val="auto"/>
          <w:spacing w:val="0"/>
          <w:szCs w:val="24"/>
        </w:rPr>
        <w:t xml:space="preserve"> </w:t>
      </w:r>
      <w:r w:rsidRPr="00CA109D">
        <w:rPr>
          <w:color w:val="auto"/>
          <w:spacing w:val="0"/>
          <w:szCs w:val="24"/>
        </w:rPr>
        <w:t>усовершенствование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«Осуществление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выплат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(семейной)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врачам-терапевтам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врачам-педиатрам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сестрам,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объема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деятельности»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4.08.2006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отдел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кадровой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политики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ОМС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Регистр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(семейной)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врачей-терапевтов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врачей-педиатров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сестер.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Укомплектованность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должностей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(семейной)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практики,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терапевтов,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педиатров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сестер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(табл.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2)</w:t>
      </w:r>
      <w:r w:rsidRPr="00CA109D">
        <w:rPr>
          <w:color w:val="auto"/>
          <w:spacing w:val="0"/>
        </w:rPr>
        <w:t>:</w:t>
      </w:r>
    </w:p>
    <w:p w:rsidR="001A12CC" w:rsidRDefault="001A12C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Таблица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</w:p>
    <w:p w:rsidR="00CA109D" w:rsidRP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2576"/>
        <w:gridCol w:w="1705"/>
        <w:gridCol w:w="1688"/>
        <w:gridCol w:w="1746"/>
        <w:gridCol w:w="1523"/>
      </w:tblGrid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№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Должности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Штаты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Занято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Физические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лица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Укомплекто-ванность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кадрами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(%)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врачи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общей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практики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99,5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99,5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90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90,5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терапевты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139,0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139,0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84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60,4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педиатры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130,75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130,75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99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75,7</w:t>
            </w:r>
          </w:p>
        </w:tc>
      </w:tr>
      <w:tr w:rsidR="001A12CC" w:rsidRPr="00CA109D">
        <w:tc>
          <w:tcPr>
            <w:tcW w:w="590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врачей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369,25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369,25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273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73,9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медсестры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ВОП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126,0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126,0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107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84,9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медсестры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участковых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терапевтов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231,75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231,75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185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79,8</w:t>
            </w:r>
          </w:p>
        </w:tc>
      </w:tr>
      <w:tr w:rsidR="001A12CC" w:rsidRPr="00CA109D">
        <w:tc>
          <w:tcPr>
            <w:tcW w:w="590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3.</w:t>
            </w: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медсестры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участковых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педиатров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189,75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189,75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136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71,7</w:t>
            </w:r>
          </w:p>
        </w:tc>
      </w:tr>
      <w:tr w:rsidR="001A12CC" w:rsidRPr="00CA109D">
        <w:tc>
          <w:tcPr>
            <w:tcW w:w="590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257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медсестер</w:t>
            </w:r>
          </w:p>
        </w:tc>
        <w:tc>
          <w:tcPr>
            <w:tcW w:w="170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547,5</w:t>
            </w:r>
          </w:p>
        </w:tc>
        <w:tc>
          <w:tcPr>
            <w:tcW w:w="168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547,5</w:t>
            </w:r>
          </w:p>
        </w:tc>
        <w:tc>
          <w:tcPr>
            <w:tcW w:w="1746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428</w:t>
            </w:r>
          </w:p>
        </w:tc>
        <w:tc>
          <w:tcPr>
            <w:tcW w:w="1523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78,2</w:t>
            </w:r>
          </w:p>
        </w:tc>
      </w:tr>
    </w:tbl>
    <w:p w:rsidR="001A12CC" w:rsidRPr="00CA109D" w:rsidRDefault="001A12CC" w:rsidP="00CA109D">
      <w:pPr>
        <w:spacing w:line="360" w:lineRule="auto"/>
        <w:jc w:val="both"/>
        <w:rPr>
          <w:color w:val="auto"/>
          <w:spacing w:val="0"/>
          <w:sz w:val="20"/>
          <w:szCs w:val="20"/>
        </w:rPr>
      </w:pPr>
    </w:p>
    <w:p w:rsidR="00A24008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«Здоровье»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перешло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выплаты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теперь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273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428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сестер,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6,4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Укомплектованность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возросла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56,8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73,9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месяцев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8]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месяцев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оплату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выполненного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выплаты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701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сумме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39,3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3.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«Оснащение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амбулаторно-поликлинических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ревизия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(инвентаризация)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Перечень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нуждающихся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первоочередном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дооснащении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предоставлен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16.12.05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повышения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первичного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повышения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оказываемой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амбулаторно-поликлинические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компьютеры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штук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холодильное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штук,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холодильники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фармацевтические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штук,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холодильники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фармацевтические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штуки,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бытовые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холодильники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штук,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распределено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учреждениям.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единиц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рентгеновские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цифровые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флюорографы,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УЗИ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ЭКГ,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эндоскопическое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Предполагается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поставка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передвижного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флюорографического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кабинета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КамАЗ.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передвижного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флюорографа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противотуберкулезном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гараж,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прорабатывается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вопрос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установления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охранной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сигнализации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гараже.</w:t>
      </w:r>
      <w:r w:rsidR="00CA109D">
        <w:rPr>
          <w:color w:val="auto"/>
          <w:spacing w:val="0"/>
        </w:rPr>
        <w:t xml:space="preserve"> 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Поступление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8.06.2006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двух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предполагаемых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современного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лабораторного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установлен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монтаж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Лаборатория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включает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себя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иммуноферментного,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биохимического,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гематологического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анализаторов,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анализатора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мочи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анализатора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определения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сахара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позволяет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увеличить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пропускную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способность.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июне-июле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УЗИ,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УЗИ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Sonoline-G-40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916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УЗИ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Sonoline-G-20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536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августе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фиброгастроскоп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«Олимпус»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224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9]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повторная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ревизия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(инвентаризация)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амбулаторно-поликлинических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формируется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заявка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предоставлением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информации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4.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«Оснащение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реанимобилями»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Проведена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повторная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ревизия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(инвентаризация)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санитарного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бухгалтерского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отчетности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1.12.2005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84,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реанимобилей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Поскольку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имеющегося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санитарного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списании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84,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реанимобилях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концентрации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высокотехнологических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межрайонных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необходимо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доукомплектование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реанимобилями.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пришел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транш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автомобилей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единиц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«Соболей»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«УАЗ».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Президент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Шаймиев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М.Ш.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торжественно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вручил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ключи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санитарного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мероприятии,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единиц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санитарного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реанимобиля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новорожденных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ближайшее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«Иммунизация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рамках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календаря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прививок,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гриппа»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Приказом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Роспотребнадзора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9/4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17.01.06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иммунизации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утвержден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краснухи,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гриппа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полиомиелита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каждому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муниципальному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образованию.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Совместно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Роспотребнадзора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31.03.2006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утвержден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Челны.</w:t>
      </w:r>
      <w:r w:rsidR="00CA109D">
        <w:rPr>
          <w:color w:val="auto"/>
          <w:spacing w:val="0"/>
        </w:rPr>
        <w:t xml:space="preserve"> 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рамках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календаря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четырем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инфекциям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(краснуха,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полиомиелит,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грипп)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иммунизации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подлежит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164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чел.),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оплатой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(табл.</w:t>
      </w:r>
      <w:r w:rsidR="00CA109D">
        <w:rPr>
          <w:color w:val="auto"/>
          <w:spacing w:val="0"/>
        </w:rPr>
        <w:t xml:space="preserve"> </w:t>
      </w:r>
      <w:r w:rsidR="001A12CC" w:rsidRPr="00CA109D">
        <w:rPr>
          <w:color w:val="auto"/>
          <w:spacing w:val="0"/>
        </w:rPr>
        <w:t>3)</w:t>
      </w:r>
      <w:r w:rsidRPr="00CA109D">
        <w:rPr>
          <w:color w:val="auto"/>
          <w:spacing w:val="0"/>
        </w:rPr>
        <w:t>.</w:t>
      </w:r>
    </w:p>
    <w:p w:rsidR="001A12CC" w:rsidRDefault="001A12C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Таблица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</w:t>
      </w:r>
    </w:p>
    <w:p w:rsidR="00CA109D" w:rsidRP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045"/>
        <w:gridCol w:w="1934"/>
      </w:tblGrid>
      <w:tr w:rsidR="001A12CC" w:rsidRPr="00CA109D">
        <w:tc>
          <w:tcPr>
            <w:tcW w:w="28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Вакцина</w:t>
            </w:r>
          </w:p>
        </w:tc>
        <w:tc>
          <w:tcPr>
            <w:tcW w:w="50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Контингент,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подлежащий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иммунизации</w:t>
            </w:r>
          </w:p>
        </w:tc>
        <w:tc>
          <w:tcPr>
            <w:tcW w:w="1934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Количество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человек</w:t>
            </w:r>
          </w:p>
        </w:tc>
      </w:tr>
      <w:tr w:rsidR="001A12CC" w:rsidRPr="00CA109D">
        <w:tc>
          <w:tcPr>
            <w:tcW w:w="28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Вакцина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для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профилактики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вирусного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гепатита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</w:t>
            </w:r>
          </w:p>
        </w:tc>
        <w:tc>
          <w:tcPr>
            <w:tcW w:w="5045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Всего: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Дети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0-17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18-19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</w:t>
            </w:r>
          </w:p>
        </w:tc>
        <w:tc>
          <w:tcPr>
            <w:tcW w:w="1934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44670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38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170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6500</w:t>
            </w:r>
          </w:p>
        </w:tc>
      </w:tr>
      <w:tr w:rsidR="001A12CC" w:rsidRPr="00CA109D">
        <w:tc>
          <w:tcPr>
            <w:tcW w:w="28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Вакцина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против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краснухи</w:t>
            </w:r>
          </w:p>
        </w:tc>
        <w:tc>
          <w:tcPr>
            <w:tcW w:w="5045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Всего: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Дети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5-7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Девочки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7-17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лет,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т.ч.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девочки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14-17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</w:t>
            </w:r>
          </w:p>
        </w:tc>
        <w:tc>
          <w:tcPr>
            <w:tcW w:w="1934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9090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700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071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1319</w:t>
            </w:r>
          </w:p>
        </w:tc>
      </w:tr>
      <w:tr w:rsidR="001A12CC" w:rsidRPr="00CA109D">
        <w:tc>
          <w:tcPr>
            <w:tcW w:w="28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Вакцина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против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полиомиелита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инактивированная</w:t>
            </w:r>
          </w:p>
        </w:tc>
        <w:tc>
          <w:tcPr>
            <w:tcW w:w="5045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Дети,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длительно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болеющие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ОРВИ</w:t>
            </w:r>
          </w:p>
        </w:tc>
        <w:tc>
          <w:tcPr>
            <w:tcW w:w="1934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050</w:t>
            </w:r>
          </w:p>
        </w:tc>
      </w:tr>
      <w:tr w:rsidR="001A12CC" w:rsidRPr="00CA109D">
        <w:tc>
          <w:tcPr>
            <w:tcW w:w="2808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Вакцина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против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гриппа</w:t>
            </w:r>
          </w:p>
        </w:tc>
        <w:tc>
          <w:tcPr>
            <w:tcW w:w="5045" w:type="dxa"/>
          </w:tcPr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Всего: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дети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ДДУ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учащиеся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1-4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классов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медицинские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</w:p>
          <w:p w:rsidR="001A12CC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образовательных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учреждений</w:t>
            </w:r>
          </w:p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-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лица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старше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60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лет</w:t>
            </w:r>
          </w:p>
        </w:tc>
        <w:tc>
          <w:tcPr>
            <w:tcW w:w="1934" w:type="dxa"/>
          </w:tcPr>
          <w:p w:rsidR="008031CD" w:rsidRPr="00CA109D" w:rsidRDefault="001A12CC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110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000</w:t>
            </w:r>
          </w:p>
        </w:tc>
      </w:tr>
    </w:tbl>
    <w:p w:rsidR="001A12CC" w:rsidRPr="00CA109D" w:rsidRDefault="001A12CC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вакцинных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препаратов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вакцина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шприцами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(первая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доз,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доз),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иммунизация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подростков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13.08.2006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670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подростки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170,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6500),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471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подростки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581,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5890),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95,1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третью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подростки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12).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вакцины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краснухи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8300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доз.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подростки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8300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91,3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первоначального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9]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«Профилактика,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ВИЧ-инфекцией,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С»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профилактике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борьбе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группа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пациентов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выработки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приверженности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антиретровирусной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терапии.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Антиретровирусную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терапию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СПИД-центре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ВИЧ-инфицированных.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ВИЧ-инфекцией,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инфекционной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пациентов.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лечебно-профилактических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взрослой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регулярному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обновлению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списков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хроническими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Антиретровирусные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препараты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ВИЧ-инфицированных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общественной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«Открытый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институт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Москва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(«Глобальный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противодействию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ВИЧ/СПИД»).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Выделение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ВИЧ-инфекцией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хроническими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вирусными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предполагается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ближайшее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7.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«Обследование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новорожденных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галактоземию,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адреногенитальный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синдром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муковисцидоз»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1.07.2006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г.)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7.05.2006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лаборантами-генетиками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больниц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роддомов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сбора,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хранению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доставке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образцов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крови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расширенного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скрининга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новорожденных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наследственные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медико-генетической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консультации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РКБ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клинике,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последующем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наследственных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заболеваниях.</w:t>
      </w:r>
    </w:p>
    <w:p w:rsidR="00B3565B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Подготовлен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утвержден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приказ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258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24.07.2006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обследовании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новорожденных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наследственные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</w:t>
      </w:r>
      <w:r w:rsidR="00B3565B" w:rsidRPr="00CA109D">
        <w:rPr>
          <w:color w:val="auto"/>
          <w:spacing w:val="0"/>
        </w:rPr>
        <w:t>ния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Челны».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Проведение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расширенного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неонатального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скрининга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распоряжению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откладывается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ориентировочно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сентябрь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ввиду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отсутствия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необходимого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медико-генетической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консультации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РКБ.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Обследованию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галактоземию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адреногенитальный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синдром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родовспомогательных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подлежат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ожидаемые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второй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половине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новорожденные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близлежащих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районов,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предположительно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3100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тысяч).</w:t>
      </w:r>
    </w:p>
    <w:p w:rsidR="00C42871" w:rsidRPr="00CA109D" w:rsidRDefault="0067381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8</w:t>
      </w:r>
      <w:r w:rsidR="00C42871" w:rsidRPr="00CA109D">
        <w:rPr>
          <w:color w:val="auto"/>
          <w:spacing w:val="0"/>
        </w:rPr>
        <w:t>.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направлению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«Дополнительная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диспансеризация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(граждан)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Татарстан»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(с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1.07.2006</w:t>
      </w:r>
      <w:r w:rsidR="00CA109D">
        <w:rPr>
          <w:color w:val="auto"/>
          <w:spacing w:val="0"/>
        </w:rPr>
        <w:t xml:space="preserve"> </w:t>
      </w:r>
      <w:r w:rsidR="00C42871" w:rsidRPr="00CA109D">
        <w:rPr>
          <w:color w:val="auto"/>
          <w:spacing w:val="0"/>
        </w:rPr>
        <w:t>г.)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запросу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определена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возрасте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40-55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маммографическому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обследованию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10997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9]</w:t>
      </w:r>
    </w:p>
    <w:p w:rsidR="00A41A41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апреле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представлены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поименные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списки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возрасте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35-55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подлежащих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уточненное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(табл.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4)</w:t>
      </w:r>
      <w:r w:rsidR="00A24008" w:rsidRPr="00CA109D">
        <w:rPr>
          <w:color w:val="auto"/>
          <w:spacing w:val="0"/>
        </w:rPr>
        <w:t>.</w:t>
      </w:r>
      <w:r w:rsidR="00CA109D">
        <w:rPr>
          <w:color w:val="auto"/>
          <w:spacing w:val="0"/>
        </w:rPr>
        <w:t xml:space="preserve"> </w:t>
      </w:r>
      <w:r w:rsidR="00A41A41" w:rsidRPr="00CA109D">
        <w:rPr>
          <w:color w:val="auto"/>
          <w:spacing w:val="0"/>
        </w:rPr>
        <w:t>Таблица</w:t>
      </w:r>
      <w:r w:rsidR="00CA109D">
        <w:rPr>
          <w:color w:val="auto"/>
          <w:spacing w:val="0"/>
        </w:rPr>
        <w:t xml:space="preserve"> </w:t>
      </w:r>
      <w:r w:rsidR="00A41A41" w:rsidRPr="00CA109D">
        <w:rPr>
          <w:color w:val="auto"/>
          <w:spacing w:val="0"/>
        </w:rPr>
        <w:t>4</w:t>
      </w:r>
    </w:p>
    <w:p w:rsidR="00CA109D" w:rsidRP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tbl>
      <w:tblPr>
        <w:tblW w:w="7740" w:type="dxa"/>
        <w:jc w:val="center"/>
        <w:tblLook w:val="0000" w:firstRow="0" w:lastRow="0" w:firstColumn="0" w:lastColumn="0" w:noHBand="0" w:noVBand="0"/>
      </w:tblPr>
      <w:tblGrid>
        <w:gridCol w:w="5400"/>
        <w:gridCol w:w="2340"/>
      </w:tblGrid>
      <w:tr w:rsidR="00673816" w:rsidRPr="00CA109D">
        <w:trPr>
          <w:trHeight w:val="240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Наименование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контингента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(</w:t>
            </w:r>
            <w:r w:rsidRP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>35</w:t>
            </w:r>
            <w:r w:rsid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>–</w:t>
            </w:r>
            <w:r w:rsid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>55</w:t>
            </w:r>
            <w:r w:rsid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iCs/>
                <w:color w:val="auto"/>
                <w:spacing w:val="0"/>
                <w:sz w:val="20"/>
                <w:szCs w:val="20"/>
              </w:rPr>
              <w:t>лет)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Всего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культуры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885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науки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1544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образования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9095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здравоохранения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6853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социальной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сферы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350</w:t>
            </w:r>
          </w:p>
        </w:tc>
      </w:tr>
      <w:tr w:rsidR="00673816" w:rsidRPr="00CA109D">
        <w:trPr>
          <w:trHeight w:val="300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Работники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физкультуры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и</w:t>
            </w:r>
            <w:r w:rsid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спорта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bCs w:val="0"/>
                <w:color w:val="auto"/>
                <w:spacing w:val="0"/>
                <w:sz w:val="20"/>
                <w:szCs w:val="20"/>
              </w:rPr>
              <w:t>265</w:t>
            </w:r>
          </w:p>
        </w:tc>
      </w:tr>
      <w:tr w:rsidR="00673816" w:rsidRPr="00CA109D">
        <w:trPr>
          <w:trHeight w:val="285"/>
          <w:jc w:val="center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color w:val="auto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1CD" w:rsidRPr="00CA109D" w:rsidRDefault="00673816" w:rsidP="00CA109D">
            <w:pPr>
              <w:spacing w:line="360" w:lineRule="auto"/>
              <w:jc w:val="both"/>
              <w:rPr>
                <w:bCs w:val="0"/>
                <w:color w:val="auto"/>
                <w:spacing w:val="0"/>
                <w:sz w:val="20"/>
                <w:szCs w:val="20"/>
              </w:rPr>
            </w:pPr>
            <w:r w:rsidRPr="00CA109D">
              <w:rPr>
                <w:rFonts w:cs="Arial"/>
                <w:color w:val="auto"/>
                <w:spacing w:val="0"/>
                <w:sz w:val="20"/>
                <w:szCs w:val="20"/>
              </w:rPr>
              <w:t>18992</w:t>
            </w:r>
          </w:p>
        </w:tc>
      </w:tr>
    </w:tbl>
    <w:p w:rsidR="00673816" w:rsidRPr="00CA109D" w:rsidRDefault="00673816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Лечебно-профилактическими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заключены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договоры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соответствии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Постановлением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РФ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31.12.2005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868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порядке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предоставления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территориальным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субсидий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муниципальных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сферы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защиты,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научно-исследовательских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Кроме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заключила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договор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недостающие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деятельности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отсутствие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датчика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исследования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молочных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желез.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диспансеризации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919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осмотрено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852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592,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213,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защиты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УДОУ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–25,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осмотренных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815.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Выполнение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2082,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189.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определен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1007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осмотрено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1037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676,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316,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защиты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30,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осмотренных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994.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Выполнение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%.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2047,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254.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[11,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B3565B" w:rsidRPr="00CA109D">
        <w:rPr>
          <w:color w:val="auto"/>
          <w:spacing w:val="0"/>
        </w:rPr>
        <w:t>9]</w:t>
      </w:r>
    </w:p>
    <w:p w:rsidR="00C42871" w:rsidRPr="00CA109D" w:rsidRDefault="00C42871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1.08.2006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425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</w:t>
      </w:r>
    </w:p>
    <w:p w:rsidR="00E91850" w:rsidRPr="00CA109D" w:rsidRDefault="00E91850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завезли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рамках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приоритетного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"Здоровье",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установили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лабораторный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привезли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итальянский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Применение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позволит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обследования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женщин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раннего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железы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позволит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улучшить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снижению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онкологических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болезней,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инвалидности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смертности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злокачественных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новообразований.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Пропускная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способность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настоящее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пусконаладочные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испытания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маммографа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через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месяц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планируется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эксплуатации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аппарата.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казну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заложено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зарплату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работникам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оплату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коммунальных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услуг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конкурсов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фестивалей,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поездки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коллективов.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прочим,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бороздить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просторы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дальнего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зарубежья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отправлялись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вояжи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производились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счет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Кстати,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заграничный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выезд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коллектива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обходится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сумму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450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может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зарабатывать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минувшем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например,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счет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услуг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удалось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выручить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31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зрелища»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каждый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челнинец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потратил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Казани,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концертных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площадок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выходит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лишь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Интересный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факт: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существования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понятия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«прожиточный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минимум»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включены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расходы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развлечения.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Предполагается,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ежемесячно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уходить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копеек.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челнинцы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стремлению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прекрасному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превосходят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чиновников.</w:t>
      </w:r>
      <w:r w:rsidR="00CA109D">
        <w:rPr>
          <w:color w:val="auto"/>
          <w:spacing w:val="0"/>
        </w:rPr>
        <w:t xml:space="preserve"> 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начальника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активность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горожан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связана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открытием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нескольких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крупных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творческих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площадок: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«Мастеровые»,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кинотеатра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«Чулпан»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Ожидается,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помимо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поступит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пять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музейный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Весной,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бывшего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кинотеатра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«Чулпан»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аллея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трудовой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славы,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вместе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составят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комплекс.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хореографии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выделили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сумму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перечислили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ОАО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«Татэнерго»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ремонта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фасада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«Энергетик».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Сейчас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процесс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выделения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земельных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цирка.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появление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планируется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Правда,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оставшиеся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найти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источники,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финансироваться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грандиозные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ведь,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например,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построить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профессиональный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цирк,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около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250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миллионов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</w:p>
    <w:p w:rsidR="008031CD" w:rsidRPr="00CA109D" w:rsidRDefault="008031C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Несомненно,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большинства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знакомство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начинается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еще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детсадовском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возрасте.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Йолдыза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</w:t>
      </w:r>
      <w:r w:rsidR="00E2451F" w:rsidRPr="00CA109D">
        <w:rPr>
          <w:color w:val="auto"/>
          <w:spacing w:val="0"/>
        </w:rPr>
        <w:t>арипова</w:t>
      </w:r>
      <w:r w:rsidRPr="00CA109D">
        <w:rPr>
          <w:color w:val="auto"/>
          <w:spacing w:val="0"/>
        </w:rPr>
        <w:t>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начальника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дошкольных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садах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выработана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модель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конечного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—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ребенка,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анализируется,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</w:t>
      </w:r>
      <w:r w:rsidRPr="00CA109D">
        <w:rPr>
          <w:color w:val="auto"/>
          <w:spacing w:val="0"/>
        </w:rPr>
        <w:softHyphen/>
        <w:t>вьем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малыш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пришел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дошкольное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окончил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детсадах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методике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академика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Лазарева,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воспитатели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применяют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собственные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инновационные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секции.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</w:t>
      </w:r>
      <w:r w:rsidRPr="00CA109D">
        <w:rPr>
          <w:color w:val="auto"/>
          <w:spacing w:val="0"/>
        </w:rPr>
        <w:softHyphen/>
        <w:t>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—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уменьшение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пропусков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дошколятами.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(4,8%)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(9,1%).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садов,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впрочем,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—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недостаточная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оснащенность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несмотря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заведениях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«физкультуризация»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ходом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—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теперь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основных.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Почти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секции,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счет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дополнительного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расписания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увеличено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Важным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шагом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укреплении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школьников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талантов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инновационном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«Грант-Регион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пять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решению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мэра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Ильдара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Халикова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заведениях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вечернее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могут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посещать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ученики,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жители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микрорайонов.</w:t>
      </w:r>
    </w:p>
    <w:p w:rsidR="008031CD" w:rsidRPr="00CA109D" w:rsidRDefault="008031CD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сравнению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прошлым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количество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занимающихся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возросло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человек.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долгое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учащиеся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заняли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олимпиаде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физкультуре.</w:t>
      </w:r>
    </w:p>
    <w:p w:rsidR="00054166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054166" w:rsidRPr="00CA109D">
        <w:rPr>
          <w:b/>
          <w:color w:val="auto"/>
          <w:spacing w:val="0"/>
        </w:rPr>
        <w:t>Глава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4.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ПРОБЛЕМЫ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И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ПЕРСПЕКТИВЫ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РАЗВИТИЯ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ЗДРАВООХРАНЕНИЯ,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КУЛЬТУРЫ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И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СПОРТА</w:t>
      </w:r>
      <w:r>
        <w:rPr>
          <w:b/>
          <w:color w:val="auto"/>
          <w:spacing w:val="0"/>
        </w:rPr>
        <w:t xml:space="preserve"> </w:t>
      </w:r>
      <w:r w:rsidR="008031CD" w:rsidRPr="00CA109D">
        <w:rPr>
          <w:b/>
          <w:color w:val="auto"/>
          <w:spacing w:val="0"/>
        </w:rPr>
        <w:t>В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ГОРОД</w:t>
      </w:r>
      <w:r w:rsidR="008031CD" w:rsidRPr="00CA109D">
        <w:rPr>
          <w:b/>
          <w:color w:val="auto"/>
          <w:spacing w:val="0"/>
        </w:rPr>
        <w:t>Е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НАБЕРЕЖНЫЕ</w:t>
      </w:r>
      <w:r>
        <w:rPr>
          <w:b/>
          <w:color w:val="auto"/>
          <w:spacing w:val="0"/>
        </w:rPr>
        <w:t xml:space="preserve"> </w:t>
      </w:r>
      <w:r w:rsidR="00054166" w:rsidRPr="00CA109D">
        <w:rPr>
          <w:b/>
          <w:color w:val="auto"/>
          <w:spacing w:val="0"/>
        </w:rPr>
        <w:t>ЧЕЛНЫ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</w:t>
      </w:r>
      <w:r w:rsidR="00054166" w:rsidRPr="00CA109D">
        <w:rPr>
          <w:color w:val="auto"/>
          <w:spacing w:val="0"/>
        </w:rPr>
        <w:t>сновные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проблемы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следующем: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Укомплектованность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врачами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56%,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коэффициент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совместительства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1,45,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30%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врачей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участковой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службы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прох</w:t>
      </w:r>
      <w:r w:rsidRPr="00CA109D">
        <w:rPr>
          <w:color w:val="auto"/>
          <w:spacing w:val="0"/>
        </w:rPr>
        <w:t>одили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специализацию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лет.</w:t>
      </w:r>
    </w:p>
    <w:p w:rsidR="003E1689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Износ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санитарного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автотранспорта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65%.</w:t>
      </w:r>
    </w:p>
    <w:p w:rsidR="003E1689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Оснащенность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недостаточна,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увеличивает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ожидания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исследований.</w:t>
      </w:r>
      <w:r w:rsidR="00CA109D">
        <w:rPr>
          <w:color w:val="auto"/>
          <w:spacing w:val="0"/>
        </w:rPr>
        <w:t xml:space="preserve"> </w:t>
      </w:r>
    </w:p>
    <w:p w:rsidR="00325D7A" w:rsidRPr="00CA109D" w:rsidRDefault="00A24008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054166" w:rsidRPr="00CA109D">
        <w:rPr>
          <w:color w:val="auto"/>
          <w:spacing w:val="0"/>
        </w:rPr>
        <w:t>Удовлетворение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потребности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дорогостоящих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(высокотехнологичных)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видах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17–22,5%.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дорогостоящих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(высокотехнологичных)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видов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составляет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около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30%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необходимого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объема.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Недостаточное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календаря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прививок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(1,8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млрд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руб.),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вакцинации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против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гепатита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краснухи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полиомиелита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группы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риска.</w:t>
      </w:r>
    </w:p>
    <w:p w:rsidR="00054166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Недостаточное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пропаганде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потребности.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Основные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здравоохранении.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Укрепление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здоровья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снижение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заболеваемости,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инвалидности,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смертности.</w:t>
      </w:r>
    </w:p>
    <w:p w:rsidR="00325D7A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Повышение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доступности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качества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помощи.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Укрепление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первичного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звена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условий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догоспитальном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этапе.</w:t>
      </w:r>
    </w:p>
    <w:p w:rsidR="00325D7A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профилактической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направленности</w:t>
      </w:r>
      <w:r w:rsidR="00CA109D">
        <w:rPr>
          <w:color w:val="auto"/>
          <w:spacing w:val="0"/>
        </w:rPr>
        <w:t xml:space="preserve"> </w:t>
      </w:r>
      <w:r w:rsidR="00054166" w:rsidRPr="00CA109D">
        <w:rPr>
          <w:color w:val="auto"/>
          <w:spacing w:val="0"/>
        </w:rPr>
        <w:t>здравоохранения.</w:t>
      </w:r>
    </w:p>
    <w:p w:rsidR="00054166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Удовлетворение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высокотехнологичных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[14,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8].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Ориентация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отечественной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стационарной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привела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недофинансированию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первичной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медико-санитарной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недостаточной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участковыми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врачами,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низкой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оснащенности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поликлиник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диагностическим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оборудованием,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позволяющей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оказывать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качественную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Следствие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хронических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запущенных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очередь,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приводит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уровням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госпитализаций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вызовам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скорой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помощи.</w:t>
      </w:r>
      <w:r w:rsidR="00CA109D">
        <w:rPr>
          <w:color w:val="auto"/>
          <w:spacing w:val="0"/>
        </w:rPr>
        <w:t xml:space="preserve"> </w:t>
      </w:r>
    </w:p>
    <w:p w:rsidR="00325D7A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Известно,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болезнь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легче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предупредить,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лечить.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первичной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призваны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повлиять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своевременное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выявление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предупреждение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заболеваний.</w:t>
      </w:r>
    </w:p>
    <w:p w:rsidR="00054166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Кроме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значительное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могут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необходимую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дорогостоящую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(высокотехнологичную)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из-за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отсутствия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механизма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из-за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ограниченности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приоритетного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сфере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сделать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дорогостоящую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(высокотехнологичную)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доступной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граждан.</w:t>
      </w:r>
    </w:p>
    <w:p w:rsidR="00054166" w:rsidRPr="00CA109D" w:rsidRDefault="0005416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Реализация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осуществляться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внебюджетных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соответствии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федеральными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законами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189-ФЗ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171-ФЗ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обязательного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декабря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173-ФЗ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Фонда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страхования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мероприятий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предусмотрены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денежные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объеме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88,4</w:t>
      </w:r>
      <w:r w:rsidR="00CA109D">
        <w:rPr>
          <w:color w:val="auto"/>
          <w:spacing w:val="0"/>
        </w:rPr>
        <w:t xml:space="preserve"> </w:t>
      </w:r>
      <w:r w:rsidR="00CA109D" w:rsidRPr="00CA109D">
        <w:rPr>
          <w:color w:val="auto"/>
          <w:spacing w:val="0"/>
        </w:rPr>
        <w:t>млрд.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[24,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9]</w:t>
      </w:r>
    </w:p>
    <w:p w:rsidR="00673816" w:rsidRPr="00CA109D" w:rsidRDefault="0067381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Главной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целью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Программы</w:t>
      </w:r>
      <w:r w:rsidR="00CA109D">
        <w:rPr>
          <w:color w:val="auto"/>
          <w:spacing w:val="0"/>
        </w:rPr>
        <w:t xml:space="preserve"> </w:t>
      </w:r>
      <w:r w:rsidR="00325D7A"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="00325D7A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является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достижение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обеспечивающее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возможности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духовного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приоритетов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духовности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преемственности,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направлениях.</w:t>
      </w:r>
      <w:r w:rsidR="00CA109D">
        <w:rPr>
          <w:color w:val="auto"/>
          <w:spacing w:val="0"/>
        </w:rPr>
        <w:t xml:space="preserve"> </w:t>
      </w:r>
    </w:p>
    <w:p w:rsidR="00325D7A" w:rsidRPr="00CA109D" w:rsidRDefault="00673816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Задачи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Программы: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равных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условий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культурного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народов,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населяющих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город;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современного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высокоразвитого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рынка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услуг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области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культуры;</w:t>
      </w:r>
    </w:p>
    <w:p w:rsidR="00325D7A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сохранение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национальной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культуры,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языка,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обрядов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традиций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народов,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населяющих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Челны;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профессионального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искусства;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народного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творчества,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декоративно-прикладного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искусства;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совершенствование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организации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досуга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посредством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клубных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форм,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студий;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поддержка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молодых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дарований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сфере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искусства;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внедрение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новых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передовых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методов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различных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направлениях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искусства;</w:t>
      </w:r>
    </w:p>
    <w:p w:rsidR="0067381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повышение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образовательного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профессионального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уровня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работающих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отрасли;</w:t>
      </w:r>
    </w:p>
    <w:p w:rsidR="00054166" w:rsidRPr="00CA109D" w:rsidRDefault="00325D7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нормальных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административно-бытовых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условий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работающих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673816" w:rsidRPr="00CA109D">
        <w:rPr>
          <w:color w:val="auto"/>
          <w:spacing w:val="0"/>
        </w:rPr>
        <w:t>отрасли</w:t>
      </w:r>
      <w:r w:rsidRPr="00CA109D">
        <w:rPr>
          <w:color w:val="auto"/>
          <w:spacing w:val="0"/>
        </w:rPr>
        <w:t>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привлекают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внимание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общественности.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Сложностей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много.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Прежние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пропагандистские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внедрения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давно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устарели,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однако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альтернативы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последнего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времени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находилось.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Своеобразным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прорывом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области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воспитания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подрастающего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поколения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школьников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призван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инновационный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“Грант-Регион-Татарстан”.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Проект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разработан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членом-корреспондентом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доктором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биологических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Вадимом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Бальсевичем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совместно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коллективом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Университета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настолько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интересным,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выиграл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конкурс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инновационных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объявленный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октябре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2004г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Агентством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Несколькими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месяцами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позже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научно-практической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конференции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личная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встреча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профессора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Бальсевича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Маратом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Бариевым,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выступил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инициативой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провести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Инициатива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поддержана.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один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самых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площадкой.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Инновационная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сущность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чтобы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реализовать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перспективу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совершенствования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обучающихся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посредством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предлагает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технологий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спорт.ориентированного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воспитания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сельской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общеобразовательной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предпрофильной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подготовкой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(углубленным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изучением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предмета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“физическая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культура”).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[24,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E2451F" w:rsidRPr="00CA109D">
        <w:rPr>
          <w:color w:val="auto"/>
          <w:spacing w:val="0"/>
        </w:rPr>
        <w:t>9]</w:t>
      </w:r>
    </w:p>
    <w:p w:rsidR="00A41A41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пяти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средних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образовательных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стартует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согласно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привычные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нелюбимые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примут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совершенно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модификацию.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Занятия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неделю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шесть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часов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неделю,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вместо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двух-трех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уроков,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регламентированных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ныне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действующей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культуре.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выйдет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рамки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академического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расписания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проводиться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учебно-тренировочных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группах,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сформированных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предпочтений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склонностей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детей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различным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Уроки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проводить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учитель-тренер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квалифицированный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специалист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видам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организовывать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занятия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принципам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тренировок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сочетании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методами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обучения.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страна.</w:t>
      </w:r>
    </w:p>
    <w:p w:rsidR="00577A8E" w:rsidRPr="00CA109D" w:rsidRDefault="00577A8E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Федеральное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Агентство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выделяет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оздоровлению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мэрия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задействованные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кадрами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"зарплатой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учителям-тренерам",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Министерство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делам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молодежи,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туризму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выступит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партнера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снабжать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школы-экспериментальные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площадки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экипировкой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инвентарем.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случае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если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результаты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эксперимента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признаны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положительными,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велика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вероятность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того,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инновации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ближайшем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будущем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распространятся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территорию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Татарстана.</w:t>
      </w:r>
      <w:r w:rsidR="00CA109D">
        <w:rPr>
          <w:color w:val="auto"/>
          <w:spacing w:val="0"/>
        </w:rPr>
        <w:t xml:space="preserve"> </w:t>
      </w:r>
    </w:p>
    <w:p w:rsidR="003E1689" w:rsidRPr="00CA109D" w:rsidRDefault="00CA109D" w:rsidP="00CA109D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3E1689" w:rsidRPr="00CA109D">
        <w:rPr>
          <w:b/>
          <w:color w:val="auto"/>
          <w:spacing w:val="0"/>
        </w:rPr>
        <w:t>ЗАКЛЮЧЕНИЕ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вышеизложенного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материала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можно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отметить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следующее,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знали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раньше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машиностроителей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энергетиков.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Теперь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говорят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спорта.</w:t>
      </w:r>
      <w:r w:rsidR="00CA109D">
        <w:rPr>
          <w:color w:val="auto"/>
          <w:spacing w:val="0"/>
        </w:rPr>
        <w:t xml:space="preserve"> 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Прошедший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отмечен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рядом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ярких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событий.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состоялась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церемония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постепенно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становится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визитной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карточкой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После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открылся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«Мастеровые»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создан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Муниципальный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русский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драматический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«Интерклуба»,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переданного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собственность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акционерным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обществом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«КАМАЗ»,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бюджета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выделено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17,5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Идет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реконструкция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бывшего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кинотеатра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«Чулпан»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получили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10,0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рублей.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Воспитанники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школ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принесли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270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побед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конкурсах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фестивалях.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Важно,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услуги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включены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минимальный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набор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услуг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учетом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стоимости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нормативного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числа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посещений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театрально-зрелищных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мероприятий,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кинотеатров,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музеев,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выставок.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впервые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потребительской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корзине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появились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расходы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посещение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подъема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физкультурно-спортивной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Примером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Всероссийские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массовые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соревнования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«Лыжня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России-2005»,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«Оранжевый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мяч»,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«Кросс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Наций-2005»,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легкоатлетический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пробег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проспектам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улицам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посвященный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75-летию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соревнования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«Камский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мини-марафон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легкой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атлетике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призы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мастера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международного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класса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Геннадия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Панина».</w:t>
      </w:r>
    </w:p>
    <w:p w:rsidR="00E3766C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Значительно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улучшена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материально-техническая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городе: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введены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эксплуатацию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Ледовый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дворец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1500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посадочных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мест;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пять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хоккейных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кортов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пластиковыми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бортами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раздевалками;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оздоровительный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«Планета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Фитнес»;</w:t>
      </w:r>
    </w:p>
    <w:p w:rsidR="00EA7CEA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два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тренировочных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футбольных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поля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искусственным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покрытием;</w:t>
      </w:r>
    </w:p>
    <w:p w:rsidR="00EA7CEA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восстановлены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освещенные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лыжные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трассы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зонах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отдыха;</w:t>
      </w:r>
    </w:p>
    <w:p w:rsidR="00EA7CEA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пяти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спортивных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сооружениях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проведен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капитальный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ремонт.</w:t>
      </w:r>
    </w:p>
    <w:p w:rsidR="00EA7CEA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Несмотря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безусловное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лидерство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по-прежнему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лишь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15,6%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систематически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занимаются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спортом.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Считаю,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показатель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нашем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должен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ниже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25%.</w:t>
      </w:r>
    </w:p>
    <w:p w:rsidR="00E3766C" w:rsidRPr="00CA109D" w:rsidRDefault="00EA7CEA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необходимо: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EA7CEA" w:rsidRPr="00CA109D">
        <w:rPr>
          <w:color w:val="auto"/>
          <w:spacing w:val="0"/>
        </w:rPr>
        <w:t>возобновить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отраслевые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спартакиады,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семейные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спортивные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праздники,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«Папа,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мама,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я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—</w:t>
      </w:r>
      <w:r w:rsidR="0001635E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спортивная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семья»,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«Веселые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старты»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другие;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EA7CEA" w:rsidRPr="00CA109D">
        <w:rPr>
          <w:color w:val="auto"/>
          <w:spacing w:val="0"/>
        </w:rPr>
        <w:t>ввести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практику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создание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«паспорта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здоровья»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каждом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коллективе;</w:t>
      </w:r>
    </w:p>
    <w:p w:rsidR="00E3766C" w:rsidRPr="00CA109D" w:rsidRDefault="00CA109D" w:rsidP="00CA109D">
      <w:pPr>
        <w:spacing w:line="360" w:lineRule="auto"/>
        <w:ind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 </w:t>
      </w:r>
      <w:r w:rsidR="00E3766C" w:rsidRPr="00CA109D">
        <w:rPr>
          <w:color w:val="auto"/>
          <w:spacing w:val="0"/>
        </w:rPr>
        <w:t>–</w:t>
      </w:r>
      <w:r w:rsidR="00EA7CEA" w:rsidRPr="00CA109D">
        <w:rPr>
          <w:color w:val="auto"/>
          <w:spacing w:val="0"/>
        </w:rPr>
        <w:t>разработать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механизм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реализации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социальной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ответственности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бизнеса,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как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частного,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так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и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государственного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за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формирование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социально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здоровой</w:t>
      </w:r>
      <w:r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среды;</w:t>
      </w:r>
    </w:p>
    <w:p w:rsidR="00EA7CEA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EA7CEA" w:rsidRPr="00CA109D">
        <w:rPr>
          <w:color w:val="auto"/>
          <w:spacing w:val="0"/>
        </w:rPr>
        <w:t>разработать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внедрить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программу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«Летняя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жизнь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хоккейных</w:t>
      </w:r>
      <w:r w:rsidR="00CA109D">
        <w:rPr>
          <w:color w:val="auto"/>
          <w:spacing w:val="0"/>
        </w:rPr>
        <w:t xml:space="preserve"> </w:t>
      </w:r>
      <w:r w:rsidR="00EA7CEA" w:rsidRPr="00CA109D">
        <w:rPr>
          <w:color w:val="auto"/>
          <w:spacing w:val="0"/>
        </w:rPr>
        <w:t>коробок».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Деятельность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системы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населения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доступной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высокотехнологичной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помощью.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Решение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осуществлялось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рамках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«Программы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государственных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гарантий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гражданам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бесплатной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территории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Татарстан».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Программы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для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сумму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1,2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млрд.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11%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году.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Здравоохранение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нуждается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сегодня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качественных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изменениях,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которые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быть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осуществлены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отрасли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основе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реализации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национальных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проектов.</w:t>
      </w:r>
    </w:p>
    <w:p w:rsidR="003E1689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прошедший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федеральными,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республиканскими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льготниками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получено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бесплатных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медикаментов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сумму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187,5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млн.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руб.,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шесть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году.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мера,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безусловно,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повышает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качество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эффективность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амбулаторного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лечения.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необходимо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совершенствовать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нормативную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законодательную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базу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льготного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лекарственного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обеспечения,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помощи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льготникам,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поспешившим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отказаться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бесплатных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медикаментов.</w:t>
      </w:r>
    </w:p>
    <w:p w:rsidR="00E3766C" w:rsidRPr="00CA109D" w:rsidRDefault="003E1689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Задачей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должна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концентрация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усилий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следующих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направлениях: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3E1689" w:rsidRPr="00CA109D">
        <w:rPr>
          <w:color w:val="auto"/>
          <w:spacing w:val="0"/>
        </w:rPr>
        <w:t>сохранение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единой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системы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оказания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медицинской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помощи,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объемов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качества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условиях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передачи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полномочий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области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органам</w:t>
      </w:r>
      <w:r w:rsidR="0001635E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местного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самоуправления;</w:t>
      </w:r>
    </w:p>
    <w:p w:rsidR="00E3766C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полноценное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участие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реализации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приоритетного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национального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проекта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сфере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здравоохранения;</w:t>
      </w:r>
    </w:p>
    <w:p w:rsidR="003E1689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оптимизация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сети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структуры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учреждений,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ресурсов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здравоохранения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условиях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реформирования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отрасли;</w:t>
      </w:r>
    </w:p>
    <w:p w:rsidR="003E1689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привлечение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федеральных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средств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развитие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здравоохранения;</w:t>
      </w:r>
    </w:p>
    <w:p w:rsidR="003E1689" w:rsidRPr="00CA109D" w:rsidRDefault="00E3766C" w:rsidP="00CA109D">
      <w:pPr>
        <w:spacing w:line="360" w:lineRule="auto"/>
        <w:ind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внедрение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современных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медицинских</w:t>
      </w:r>
      <w:r w:rsidR="00CA109D">
        <w:rPr>
          <w:color w:val="auto"/>
          <w:spacing w:val="0"/>
        </w:rPr>
        <w:t xml:space="preserve"> </w:t>
      </w:r>
      <w:r w:rsidR="003E1689" w:rsidRPr="00CA109D">
        <w:rPr>
          <w:color w:val="auto"/>
          <w:spacing w:val="0"/>
        </w:rPr>
        <w:t>технологий.</w:t>
      </w:r>
    </w:p>
    <w:p w:rsidR="003E1689" w:rsidRPr="0001635E" w:rsidRDefault="0001635E" w:rsidP="0001635E">
      <w:pPr>
        <w:spacing w:line="360" w:lineRule="auto"/>
        <w:ind w:firstLine="709"/>
        <w:jc w:val="center"/>
        <w:rPr>
          <w:b/>
          <w:color w:val="auto"/>
          <w:spacing w:val="0"/>
        </w:rPr>
      </w:pPr>
      <w:r>
        <w:rPr>
          <w:color w:val="auto"/>
          <w:spacing w:val="0"/>
        </w:rPr>
        <w:br w:type="page"/>
      </w:r>
      <w:r w:rsidR="003E1689" w:rsidRPr="0001635E">
        <w:rPr>
          <w:b/>
          <w:color w:val="auto"/>
          <w:spacing w:val="0"/>
        </w:rPr>
        <w:t>СПИСОК</w:t>
      </w:r>
      <w:r w:rsidR="00CA109D" w:rsidRPr="0001635E">
        <w:rPr>
          <w:b/>
          <w:color w:val="auto"/>
          <w:spacing w:val="0"/>
        </w:rPr>
        <w:t xml:space="preserve"> </w:t>
      </w:r>
      <w:r w:rsidR="003E1689" w:rsidRPr="0001635E">
        <w:rPr>
          <w:b/>
          <w:color w:val="auto"/>
          <w:spacing w:val="0"/>
        </w:rPr>
        <w:t>ИСПОЛЬЗОВАННОЙ</w:t>
      </w:r>
      <w:r w:rsidR="00CA109D" w:rsidRPr="0001635E">
        <w:rPr>
          <w:b/>
          <w:color w:val="auto"/>
          <w:spacing w:val="0"/>
        </w:rPr>
        <w:t xml:space="preserve"> </w:t>
      </w:r>
      <w:r w:rsidR="003E1689" w:rsidRPr="0001635E">
        <w:rPr>
          <w:b/>
          <w:color w:val="auto"/>
          <w:spacing w:val="0"/>
        </w:rPr>
        <w:t>ЛИТЕРАТУРЫ</w:t>
      </w:r>
    </w:p>
    <w:p w:rsidR="005A2183" w:rsidRPr="00CA109D" w:rsidRDefault="005A2183" w:rsidP="00CA109D">
      <w:pPr>
        <w:spacing w:line="360" w:lineRule="auto"/>
        <w:ind w:firstLine="709"/>
        <w:jc w:val="both"/>
        <w:rPr>
          <w:color w:val="auto"/>
          <w:spacing w:val="0"/>
        </w:rPr>
      </w:pPr>
    </w:p>
    <w:p w:rsidR="004035BF" w:rsidRPr="00CA109D" w:rsidRDefault="004610AE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Баязитова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КП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«Набережночелнинская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типография»,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2001</w:t>
      </w:r>
    </w:p>
    <w:p w:rsidR="004035BF" w:rsidRPr="00CA109D" w:rsidRDefault="005930EE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Гарифуллин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Слово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Майоровых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(Эпизоды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малой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родины)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ГУП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«Набережночелнинская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типография»,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2003.</w:t>
      </w:r>
    </w:p>
    <w:p w:rsidR="004035BF" w:rsidRPr="00CA109D" w:rsidRDefault="00CA109D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Дубровский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А.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Региональная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экономика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–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Наб.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Челны,</w:t>
      </w:r>
      <w:r>
        <w:rPr>
          <w:color w:val="auto"/>
          <w:spacing w:val="0"/>
        </w:rPr>
        <w:t xml:space="preserve"> </w:t>
      </w:r>
      <w:r w:rsidR="005930EE" w:rsidRPr="00CA109D">
        <w:rPr>
          <w:color w:val="auto"/>
          <w:spacing w:val="0"/>
        </w:rPr>
        <w:t>2003.</w:t>
      </w:r>
      <w:r>
        <w:rPr>
          <w:color w:val="auto"/>
          <w:spacing w:val="0"/>
        </w:rPr>
        <w:t xml:space="preserve"> </w:t>
      </w:r>
    </w:p>
    <w:p w:rsidR="004035BF" w:rsidRPr="00CA109D" w:rsidRDefault="00C227AD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Дубровский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А.Г.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Памятники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58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Ермаков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В.В.,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Корепанов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К.И.,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Арсланов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Л.Ш.,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Удалов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Н.В.,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Сафин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М.Г.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Материалы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IV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научно-практической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конференции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тему: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«Река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Волжско-уральского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освоения»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Сборник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Документ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«Форт-Диалог»,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</w:p>
    <w:p w:rsidR="004035BF" w:rsidRPr="00CA109D" w:rsidRDefault="005930EE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Кузнецов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Б.Л.,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Камалов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И.Х.,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Нургалеев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Г.М.,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Дырин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С.П.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Материалы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IV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Региональной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научно-практической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конференции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тему: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«Река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Кама: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роль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природе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Волжско-уральского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региона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его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освоения»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Сборник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Документ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центр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«Форт-Диалог»,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</w:p>
    <w:p w:rsidR="004035BF" w:rsidRPr="00CA109D" w:rsidRDefault="005930EE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Мухаметзянова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Л.Р.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Все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немного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больше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Типография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ООО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«Глагол»,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</w:p>
    <w:p w:rsidR="004035BF" w:rsidRPr="00CA109D" w:rsidRDefault="00CA109D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Щебланова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Р.А.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Очерки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истории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здравоохранения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Набережных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Челнов,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Кн.2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-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Наб.Челны: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Татарское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отделение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союза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российских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писателей,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2004.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–</w:t>
      </w:r>
      <w:r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288с.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стыке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тысячелетий: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Энциклопедия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социально-деловой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элиты.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Т.1,2.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отделение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союза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российских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писателей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Наб.Челны,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2002.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С.46-115.</w:t>
      </w:r>
    </w:p>
    <w:p w:rsidR="004035BF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Ахметов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будут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выращивать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олимпийских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чемпионов: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спортивной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генетике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–14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сентября.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8.</w:t>
      </w:r>
    </w:p>
    <w:p w:rsidR="004035BF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Гарипов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Н.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Медицина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лихорадке: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национальном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проекте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«Здоровье»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28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июня.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="004610AE" w:rsidRPr="00CA109D">
        <w:rPr>
          <w:color w:val="auto"/>
          <w:spacing w:val="0"/>
        </w:rPr>
        <w:t>7.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Гарипов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финансировании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учреждении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С.11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Гилязов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В.И.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Набережные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75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лет: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Любопытные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исторические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факты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-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№3,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август.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10.</w:t>
      </w:r>
    </w:p>
    <w:p w:rsidR="004035BF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Гурьянова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Челнинское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здравоохранение: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плюсы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минусы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//Авто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СИТИ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ноября.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8.</w:t>
      </w:r>
    </w:p>
    <w:p w:rsidR="004035BF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Гайфутдинова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техническом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состоянии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бассейнов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–22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февраля.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3.</w:t>
      </w:r>
      <w:r w:rsidR="00CA109D">
        <w:rPr>
          <w:color w:val="auto"/>
          <w:spacing w:val="0"/>
        </w:rPr>
        <w:t xml:space="preserve"> </w:t>
      </w:r>
    </w:p>
    <w:p w:rsidR="004035BF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Гарипова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культурные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//Восточный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Экспресс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–28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июля.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С.11</w:t>
      </w:r>
    </w:p>
    <w:p w:rsidR="004035BF" w:rsidRPr="00CA109D" w:rsidRDefault="00CA109D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Куренщикова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Л.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Развитие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физкультурно-оздоровительной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и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спортивной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работы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//Челнинские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Известия–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2005.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–27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октября.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–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С.</w:t>
      </w:r>
      <w:r>
        <w:rPr>
          <w:color w:val="auto"/>
          <w:spacing w:val="0"/>
        </w:rPr>
        <w:t xml:space="preserve"> </w:t>
      </w:r>
      <w:r w:rsidR="004035BF" w:rsidRPr="00CA109D">
        <w:rPr>
          <w:color w:val="auto"/>
          <w:spacing w:val="0"/>
        </w:rPr>
        <w:t>7.</w:t>
      </w:r>
    </w:p>
    <w:p w:rsidR="005A2183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Куренщикова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работе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Ледового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Дворца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Известия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октября.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8.</w:t>
      </w:r>
      <w:r w:rsidR="00CA109D">
        <w:rPr>
          <w:color w:val="auto"/>
          <w:spacing w:val="0"/>
        </w:rPr>
        <w:t xml:space="preserve"> </w:t>
      </w:r>
    </w:p>
    <w:p w:rsidR="005A2183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Матиос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жизни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спортивный: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физкультуры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шла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речь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заседании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комиссии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образованию,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Известия–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4.</w:t>
      </w:r>
    </w:p>
    <w:p w:rsidR="005A2183" w:rsidRPr="00CA109D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Москвин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Н.Г.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Бег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месте: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Горсовет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принял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«Программу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спорта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год»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–8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марта.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11.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Мустафина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Сопричастность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высокому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искусству: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Об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открытии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Органного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зала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//Элита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Татарстана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–№8.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108.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Толкачева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Проблема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медицины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//Вечерние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Челны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–25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мая.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6.</w:t>
      </w:r>
    </w:p>
    <w:p w:rsidR="005A2183" w:rsidRPr="00CA109D" w:rsidRDefault="005A2183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Файзерахманов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Беседа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начальником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управления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культуры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//Час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–3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августа.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6.</w:t>
      </w:r>
    </w:p>
    <w:p w:rsidR="005A2183" w:rsidRPr="00CA109D" w:rsidRDefault="004610AE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CA109D">
        <w:rPr>
          <w:color w:val="auto"/>
          <w:spacing w:val="0"/>
        </w:rPr>
        <w:t>Халиков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Итоги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социально-экономического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развития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города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задачах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на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2006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год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//Челнинские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Известия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2005.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–10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августа.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–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С.</w:t>
      </w:r>
      <w:r w:rsidR="00CA109D">
        <w:rPr>
          <w:color w:val="auto"/>
          <w:spacing w:val="0"/>
        </w:rPr>
        <w:t xml:space="preserve"> </w:t>
      </w:r>
      <w:r w:rsidRPr="00CA109D">
        <w:rPr>
          <w:color w:val="auto"/>
          <w:spacing w:val="0"/>
        </w:rPr>
        <w:t>9.</w:t>
      </w:r>
    </w:p>
    <w:p w:rsidR="004035BF" w:rsidRPr="0001635E" w:rsidRDefault="004035BF" w:rsidP="00CA109D">
      <w:pPr>
        <w:numPr>
          <w:ilvl w:val="0"/>
          <w:numId w:val="5"/>
        </w:numPr>
        <w:tabs>
          <w:tab w:val="clear" w:pos="1695"/>
          <w:tab w:val="num" w:pos="0"/>
          <w:tab w:val="left" w:pos="1080"/>
        </w:tabs>
        <w:spacing w:line="360" w:lineRule="auto"/>
        <w:ind w:left="0" w:firstLine="709"/>
        <w:jc w:val="both"/>
        <w:rPr>
          <w:color w:val="auto"/>
          <w:spacing w:val="0"/>
        </w:rPr>
      </w:pPr>
      <w:r w:rsidRPr="0001635E">
        <w:rPr>
          <w:color w:val="auto"/>
          <w:spacing w:val="0"/>
        </w:rPr>
        <w:t>http://www.yandex.ru/</w:t>
      </w:r>
      <w:r w:rsidR="00CA109D" w:rsidRPr="0001635E">
        <w:rPr>
          <w:color w:val="auto"/>
          <w:spacing w:val="0"/>
        </w:rPr>
        <w:t xml:space="preserve"> </w:t>
      </w:r>
      <w:r w:rsidRPr="0001635E">
        <w:rPr>
          <w:color w:val="auto"/>
          <w:spacing w:val="0"/>
        </w:rPr>
        <w:t>Официальный</w:t>
      </w:r>
      <w:r w:rsidR="00CA109D" w:rsidRPr="0001635E">
        <w:rPr>
          <w:color w:val="auto"/>
          <w:spacing w:val="0"/>
        </w:rPr>
        <w:t xml:space="preserve"> </w:t>
      </w:r>
      <w:r w:rsidRPr="0001635E">
        <w:rPr>
          <w:color w:val="auto"/>
          <w:spacing w:val="0"/>
        </w:rPr>
        <w:t>сайт</w:t>
      </w:r>
      <w:r w:rsidR="00CA109D" w:rsidRPr="0001635E">
        <w:rPr>
          <w:color w:val="auto"/>
          <w:spacing w:val="0"/>
        </w:rPr>
        <w:t xml:space="preserve"> </w:t>
      </w:r>
      <w:r w:rsidRPr="0001635E">
        <w:rPr>
          <w:color w:val="auto"/>
          <w:spacing w:val="0"/>
        </w:rPr>
        <w:t>города</w:t>
      </w:r>
      <w:r w:rsidR="00CA109D" w:rsidRPr="0001635E">
        <w:rPr>
          <w:color w:val="auto"/>
          <w:spacing w:val="0"/>
        </w:rPr>
        <w:t xml:space="preserve"> </w:t>
      </w:r>
      <w:r w:rsidRPr="0001635E">
        <w:rPr>
          <w:color w:val="auto"/>
          <w:spacing w:val="0"/>
        </w:rPr>
        <w:t>Набережные</w:t>
      </w:r>
      <w:r w:rsidR="00CA109D" w:rsidRPr="0001635E">
        <w:rPr>
          <w:color w:val="auto"/>
          <w:spacing w:val="0"/>
        </w:rPr>
        <w:t xml:space="preserve"> </w:t>
      </w:r>
      <w:r w:rsidRPr="0001635E">
        <w:rPr>
          <w:color w:val="auto"/>
          <w:spacing w:val="0"/>
        </w:rPr>
        <w:t>Челны.</w:t>
      </w:r>
      <w:r w:rsidR="00CA109D" w:rsidRPr="0001635E">
        <w:rPr>
          <w:color w:val="auto"/>
          <w:spacing w:val="0"/>
        </w:rPr>
        <w:t xml:space="preserve"> </w:t>
      </w:r>
      <w:bookmarkStart w:id="0" w:name="_GoBack"/>
      <w:bookmarkEnd w:id="0"/>
    </w:p>
    <w:sectPr w:rsidR="004035BF" w:rsidRPr="0001635E" w:rsidSect="00CA109D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F2D" w:rsidRDefault="00F30F2D">
      <w:r>
        <w:separator/>
      </w:r>
    </w:p>
  </w:endnote>
  <w:endnote w:type="continuationSeparator" w:id="0">
    <w:p w:rsidR="00F30F2D" w:rsidRDefault="00F3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F2D" w:rsidRDefault="00F30F2D">
      <w:r>
        <w:separator/>
      </w:r>
    </w:p>
  </w:footnote>
  <w:footnote w:type="continuationSeparator" w:id="0">
    <w:p w:rsidR="00F30F2D" w:rsidRDefault="00F30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09D" w:rsidRDefault="00CA109D" w:rsidP="001B52CD">
    <w:pPr>
      <w:pStyle w:val="a7"/>
      <w:framePr w:wrap="around" w:vAnchor="text" w:hAnchor="margin" w:xAlign="right" w:y="1"/>
      <w:rPr>
        <w:rStyle w:val="a9"/>
      </w:rPr>
    </w:pPr>
  </w:p>
  <w:p w:rsidR="00CA109D" w:rsidRDefault="00CA109D" w:rsidP="00E2451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09D" w:rsidRDefault="00CA109D" w:rsidP="00E2451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BC8B7A"/>
    <w:lvl w:ilvl="0">
      <w:numFmt w:val="bullet"/>
      <w:lvlText w:val="*"/>
      <w:lvlJc w:val="left"/>
    </w:lvl>
  </w:abstractNum>
  <w:abstractNum w:abstractNumId="1">
    <w:nsid w:val="1AB41105"/>
    <w:multiLevelType w:val="hybridMultilevel"/>
    <w:tmpl w:val="5BDA4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961317"/>
    <w:multiLevelType w:val="hybridMultilevel"/>
    <w:tmpl w:val="AA24A388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  <w:rPr>
        <w:rFonts w:cs="Times New Roman"/>
      </w:rPr>
    </w:lvl>
  </w:abstractNum>
  <w:abstractNum w:abstractNumId="3">
    <w:nsid w:val="49476237"/>
    <w:multiLevelType w:val="hybridMultilevel"/>
    <w:tmpl w:val="DAF6CE20"/>
    <w:lvl w:ilvl="0" w:tplc="80E67AD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1E2"/>
    <w:rsid w:val="00014F31"/>
    <w:rsid w:val="0001635E"/>
    <w:rsid w:val="00054166"/>
    <w:rsid w:val="00060AB1"/>
    <w:rsid w:val="000F4E1D"/>
    <w:rsid w:val="000F4FB3"/>
    <w:rsid w:val="001409D0"/>
    <w:rsid w:val="00140B39"/>
    <w:rsid w:val="001A12CC"/>
    <w:rsid w:val="001B52CD"/>
    <w:rsid w:val="00233044"/>
    <w:rsid w:val="002364F5"/>
    <w:rsid w:val="002E5DAF"/>
    <w:rsid w:val="00316DDF"/>
    <w:rsid w:val="00325D7A"/>
    <w:rsid w:val="003E1689"/>
    <w:rsid w:val="004035BF"/>
    <w:rsid w:val="00405DDB"/>
    <w:rsid w:val="004610AE"/>
    <w:rsid w:val="004B1A1E"/>
    <w:rsid w:val="004D776F"/>
    <w:rsid w:val="00577A8E"/>
    <w:rsid w:val="005930EE"/>
    <w:rsid w:val="005A2183"/>
    <w:rsid w:val="005D420C"/>
    <w:rsid w:val="00603E40"/>
    <w:rsid w:val="00673816"/>
    <w:rsid w:val="006F707F"/>
    <w:rsid w:val="007962F5"/>
    <w:rsid w:val="007B511C"/>
    <w:rsid w:val="008031CD"/>
    <w:rsid w:val="008A6425"/>
    <w:rsid w:val="00987E5F"/>
    <w:rsid w:val="009E0170"/>
    <w:rsid w:val="009F7678"/>
    <w:rsid w:val="00A24008"/>
    <w:rsid w:val="00A41A41"/>
    <w:rsid w:val="00A5036D"/>
    <w:rsid w:val="00A63383"/>
    <w:rsid w:val="00A74A64"/>
    <w:rsid w:val="00AC508D"/>
    <w:rsid w:val="00B3565B"/>
    <w:rsid w:val="00B36EA1"/>
    <w:rsid w:val="00C227AD"/>
    <w:rsid w:val="00C42871"/>
    <w:rsid w:val="00C61210"/>
    <w:rsid w:val="00CA109D"/>
    <w:rsid w:val="00CB1CB2"/>
    <w:rsid w:val="00CB2C4F"/>
    <w:rsid w:val="00CD35E4"/>
    <w:rsid w:val="00D16D83"/>
    <w:rsid w:val="00D421E2"/>
    <w:rsid w:val="00D53354"/>
    <w:rsid w:val="00D913B8"/>
    <w:rsid w:val="00E2451F"/>
    <w:rsid w:val="00E3766C"/>
    <w:rsid w:val="00E84CD3"/>
    <w:rsid w:val="00E91850"/>
    <w:rsid w:val="00EA7CEA"/>
    <w:rsid w:val="00F14583"/>
    <w:rsid w:val="00F30F2D"/>
    <w:rsid w:val="00F91A18"/>
    <w:rsid w:val="00FC46DD"/>
    <w:rsid w:val="00FE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4C173BF-C465-4EF7-AC06-A0B70449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E2"/>
    <w:rPr>
      <w:bCs/>
      <w:color w:val="000000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42871"/>
    <w:pPr>
      <w:spacing w:before="100" w:beforeAutospacing="1" w:after="100" w:afterAutospacing="1"/>
    </w:pPr>
    <w:rPr>
      <w:bCs w:val="0"/>
      <w:color w:val="auto"/>
      <w:spacing w:val="0"/>
      <w:sz w:val="24"/>
      <w:szCs w:val="24"/>
    </w:rPr>
  </w:style>
  <w:style w:type="character" w:styleId="a4">
    <w:name w:val="Hyperlink"/>
    <w:uiPriority w:val="99"/>
    <w:rsid w:val="00C42871"/>
    <w:rPr>
      <w:rFonts w:cs="Times New Roman"/>
      <w:color w:val="0000FF"/>
      <w:u w:val="single"/>
    </w:rPr>
  </w:style>
  <w:style w:type="character" w:styleId="a5">
    <w:name w:val="Strong"/>
    <w:uiPriority w:val="22"/>
    <w:qFormat/>
    <w:rsid w:val="00E91850"/>
    <w:rPr>
      <w:rFonts w:cs="Times New Roman"/>
      <w:b/>
      <w:bCs/>
    </w:rPr>
  </w:style>
  <w:style w:type="character" w:styleId="a6">
    <w:name w:val="Emphasis"/>
    <w:uiPriority w:val="20"/>
    <w:qFormat/>
    <w:rsid w:val="00D53354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E245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bCs/>
      <w:color w:val="000000"/>
      <w:spacing w:val="-12"/>
      <w:sz w:val="28"/>
      <w:szCs w:val="28"/>
    </w:rPr>
  </w:style>
  <w:style w:type="character" w:styleId="a9">
    <w:name w:val="page number"/>
    <w:uiPriority w:val="99"/>
    <w:rsid w:val="00E2451F"/>
    <w:rPr>
      <w:rFonts w:cs="Times New Roman"/>
    </w:rPr>
  </w:style>
  <w:style w:type="paragraph" w:styleId="aa">
    <w:name w:val="footer"/>
    <w:basedOn w:val="a"/>
    <w:link w:val="ab"/>
    <w:uiPriority w:val="99"/>
    <w:rsid w:val="004B1A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bCs/>
      <w:color w:val="000000"/>
      <w:spacing w:val="-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3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9717</Words>
  <Characters>55393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Сeleron</Company>
  <LinksUpToDate>false</LinksUpToDate>
  <CharactersWithSpaces>64981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Viner</dc:creator>
  <cp:keywords/>
  <dc:description/>
  <cp:lastModifiedBy>admin</cp:lastModifiedBy>
  <cp:revision>2</cp:revision>
  <cp:lastPrinted>2006-10-24T08:27:00Z</cp:lastPrinted>
  <dcterms:created xsi:type="dcterms:W3CDTF">2014-03-10T13:44:00Z</dcterms:created>
  <dcterms:modified xsi:type="dcterms:W3CDTF">2014-03-10T13:44:00Z</dcterms:modified>
</cp:coreProperties>
</file>