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AD1" w:rsidRDefault="00A223E4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Новые методы работы с фольклором в украинской музыке 70-х годов</w:t>
      </w:r>
    </w:p>
    <w:p w:rsidR="009D5AD1" w:rsidRDefault="00A223E4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(на примере </w:t>
      </w:r>
      <w:r>
        <w:rPr>
          <w:rFonts w:ascii="Times New Roman" w:hAnsi="Times New Roman" w:cs="Times New Roman"/>
          <w:b/>
          <w:bCs/>
          <w:lang w:val="en-US"/>
        </w:rPr>
        <w:t xml:space="preserve">“Musica Rustica” </w:t>
      </w:r>
      <w:r>
        <w:rPr>
          <w:rFonts w:ascii="Times New Roman" w:hAnsi="Times New Roman" w:cs="Times New Roman"/>
          <w:b/>
          <w:bCs/>
          <w:lang w:val="ru-RU"/>
        </w:rPr>
        <w:t>Верещагина)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  <w:bookmarkStart w:id="0" w:name="_Toc450979593"/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Вступление</w:t>
      </w:r>
      <w:bookmarkEnd w:id="0"/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Одним из наиболее ярких признаков развития украинской музыкальной культуры 70-х годов - коренное обновление системы "композитор-фольклор". Бесспорно, неразрывная связь профессионального и народного творчества характерна для всех этапов развития украинской музыки. Но на протяжении этого десятилетия происходит процесс интенсивного и всестороннего обращения композиторов к фольклору, что отразилось на образно-содержательной направленности их творчества, комплексе используемых выразительных средств. 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Предметом нашего анализа будет "Musica Rustica" Я.Верещагина, написанная в 1978 г. для сборника "Киево-Лейпцигская фортепианная тетрадь". По словам автора, произведение отражает наиболее характерные черты жанра украинской народной инструментальной музыки (отсюда название пьесы: rustica - народное, простое, грубое). Традиции этого жанра имеют глубокие корни в украинском фольклоре. Начиная с возникновения украинской профессиональной музыки и по сегодняшний день композиторы постоянно обращаются к народной инструментальной музыке. Но отношение к фольклору, как к исходному материалу, с которым автору предстоит работать, претерпело в ХХ веке значительные изменения.</w:t>
      </w:r>
    </w:p>
    <w:p w:rsidR="009D5AD1" w:rsidRDefault="00A223E4">
      <w:pPr>
        <w:pStyle w:val="a6"/>
        <w:ind w:firstLine="567"/>
      </w:pPr>
      <w:r>
        <w:t>Во многом новые пути проложены выдающимися мастерами ХХ века Бартоком и Стравинским, и прежде всего касаются метода работы с фольклором. Сформировавшиеся в ХIX веке представления о развитии фольклорной темы с помощью вариаций (как правило, фактурно-гармонических) отвергаются. Черты нового метода проявляются в следующих факторах (цитируем по книге Г.Головинского "Композитор и фольклор" М., "Музыка", 1981, с. 96-97):</w:t>
      </w: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самостоятельное тематическое значение приобретают </w:t>
      </w:r>
      <w:r>
        <w:rPr>
          <w:rFonts w:ascii="Times New Roman" w:hAnsi="Times New Roman" w:cs="Times New Roman"/>
          <w:u w:val="single"/>
          <w:lang w:val="ru-RU"/>
        </w:rPr>
        <w:t>мотив</w:t>
      </w:r>
      <w:r>
        <w:rPr>
          <w:rFonts w:ascii="Times New Roman" w:hAnsi="Times New Roman" w:cs="Times New Roman"/>
          <w:lang w:val="ru-RU"/>
        </w:rPr>
        <w:t>, фраза, попевка фольклорного типа (цитированные или сочиненные композитором), и от них не требуется какой бы то ни было целостности и законченности. Этому в немалой степени способствуют и новые системы гармонического мышления, разрушающие, в частности, традиционные нормы кадансовых расчленений...</w:t>
      </w: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качестве весомого тематического фактора выдвигается </w:t>
      </w:r>
      <w:r>
        <w:rPr>
          <w:rFonts w:ascii="Times New Roman" w:hAnsi="Times New Roman" w:cs="Times New Roman"/>
          <w:u w:val="single"/>
          <w:lang w:val="ru-RU"/>
        </w:rPr>
        <w:t>ритм</w:t>
      </w:r>
      <w:r>
        <w:rPr>
          <w:rFonts w:ascii="Times New Roman" w:hAnsi="Times New Roman" w:cs="Times New Roman"/>
          <w:lang w:val="ru-RU"/>
        </w:rPr>
        <w:t>, заимствуемый из народной музыки...</w:t>
      </w: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связи с изменением роли кантилены, в тематизме развиваются многообразные формы воплощения </w:t>
      </w:r>
      <w:r>
        <w:rPr>
          <w:rFonts w:ascii="Times New Roman" w:hAnsi="Times New Roman" w:cs="Times New Roman"/>
          <w:u w:val="single"/>
          <w:lang w:val="ru-RU"/>
        </w:rPr>
        <w:t>речевого начала</w:t>
      </w:r>
      <w:r>
        <w:rPr>
          <w:rFonts w:ascii="Times New Roman" w:hAnsi="Times New Roman" w:cs="Times New Roman"/>
          <w:lang w:val="ru-RU"/>
        </w:rPr>
        <w:t xml:space="preserve"> - и в вокальной и в инструментальной музыке. Важными импульсами здесь служат не только интонации речи, но и те жанры фольклора, мелодика которых стоит на грани между выпеванием и "выговариванием" текста.</w:t>
      </w: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меняется функция между мелодией, несущей в себе фольклорное начало, и сопровождением. В частности, гармония освобождается от непременной обязанности сопровождать мелодическую линию, расцвечивая ее и оттеняя сменами аккордов каждый ее изгиб.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Перечисленные нами черты, конечно же, в творчестве современных авторов развиваются, приобретают новые качества, связанные с национальной спецификой, прежде всего, а также применением новой композиционной техники.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Мы рассматриваем произведения Я.Верещагина именно как пример творческого отношения к фольклору, органичного сочетания приемов народного музицирования и современных композиторских достижений.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bookmarkStart w:id="1" w:name="_Toc450979594"/>
      <w:r>
        <w:rPr>
          <w:rFonts w:ascii="Times New Roman" w:hAnsi="Times New Roman" w:cs="Times New Roman"/>
          <w:lang w:val="ru-RU"/>
        </w:rPr>
        <w:t>Allegro moderato energico</w:t>
      </w:r>
      <w:bookmarkEnd w:id="1"/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Начало пьесы - Allegro moderato energico. С первых тактов мы попадаем в круг образов народной импровизации. Начальный мотив по своей жанровой принадлежности может быть отнесен к народному инструментальному наигрышу. В той же книге Г.Головинского находим: "В ХХ веке эта фольклорная жанровая сфера (народно-музыкальный наигрыш) неизмеримо увеличивает свое воздействие на профессиональное музыкальное искусство, внимание композиторов привлекает вся область народного инструментального музицирования (Г.Головинский "Композитор и фольклор" М., "Музыка", 1981, с.102). Для того, чтобы придать ему больше терпкости, красочности, композитор расцвечивает его, применяя расширенный лад. Звуки верхнего голоса (ля-си-до-ре) - это нижний тетрахорд ля минора, из верхнего тетрахорда (ми-фа-соль-ля) у нас два звука - соль и фа (оба альтерированные) и еще повышенная четвертая ступень (так называемая лидийская кварта), она-то и придает в сочетании с задержанием VI и VII ступеней и ре-бекаром верхнего голоса ту самую терпкость и красочность, о которой мы говорили. Лидийская кварта - это как бы "визитная карточка" произведения, она еще не раз встретится нам на протяжении всей пьесы. Она же указывает на принадлежность этого мотива к украинским народным интонациям, употребляемым в инструментальной музыке Карпатского региона, в частности, в гуцульской музыке.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Острота и прихотливость ритмического рисунка (подчеркивание слабых долей, характерное притаптывание на последних двух нотах второго такта, живая изобретательность в замене последней шестнадцатой второго такта на акцентированную триоль двадцать вторым в четвертом такте) также указывает на принадлежность к народной инструментальной музыке.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Такое ритмическое решение требует от исполнителя предельного внимания к штрихам, выписанным автором, следует точно выполнять простое подчеркивание в первых трех тактах и акцентировку в последующих.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т.5-6 и 8-9 первоначальная интонация наигрыша предстает в новом варианте. Многократное повторение этой простейшей формулы и акцентировка сначала слабой, а затем сильной доли придает ей характер настойчивости, увлеченности. Эта настойчивость подкрепляется и вторжением в партии нижних голосов аккорда (си-бемоль-ми-бемоль-фа) инородного для первоначального тонального центра (ля), его принадлежность</w:t>
      </w: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(аккорда) становится понятной далее в т.7, где тональный центр фа. Таким образом, мы имеем дело с элементом политональности. Исполнитель должен подчеркнуть это динамикой и штрихом. Интересен т.7 и тем, что здесь опять используется принцип обращения, но в противоположном движении, чем в начале. 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результате тональной инерции верхнего голоса образуются остродиссонирующие пересечения, поддерживающие общий терпкий, красочный колорит пьесы.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Первая страница дала нам материал, подтверждающий тезис о новом композиторском отношении к фольклору. Мотив-наигрыш приобретает самостоятельное тематическое значение. Кроме того, он становится тем ядром, той ячейкой, развитие которой обуславливает конструкцию всего произведения (действительно, все последующие мотивные конструкции на первой странице и на протяжении цикла - производные от мотива-наигрыша). Для создания красочного колорита используются расширенный лад, политональность. Ведущее значение приобретает ритм, его острота, неожиданность акцентировки, прихотливость ритмических комбинаций, действительно приобретают по своей значимости роль тематического фактора.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Т.11-12 - вариант мотива-наигрыша. Непрерывность вращательного движения линии нижнего голоса придает эпизоду иллюзию крушения, вызывая ассоциативную связь с народным танцем. Этому же способствует знакомое уже нам подчеркивание слабых долей, как бы притоптывание в конце фразы. Структура эпизода - парное строение тактов с переменным метром 7/16-8/16 подчеркивает танцевальность, придавая ей черты гуцульского танца.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Интересной представляется ракоходная имитация в партии нижнего голоса (т.6-9). Переброс руки усложняет движение мелодии, помогает некоторой обостренности характеристики эпизода.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Стремительное вторжение стреловидного пассажа (т.23 - запись пассажа следует читать как постепенное ритмическое ускорение от 1/8 до1/32) приводит к новому эпизоду. В отличие от предыдущего линеарного развертывания материала, здесь на первый план выдвигается гармоническая вертикаль. Сочетание двух квинт (соль-ре и ля-ми) и малой секунды (фа-соль - еще один пример политональности с центрами соль и ля) придают звучности характер пронзительной звонкости. Ритмическая остинатность этой фигуры, острая, упругая пульсация рисуют картину яркого народного праздника. Автор подчеркивает это динамикой (ff) и ремарками (acutamente - остро, пронзительно; marcatissimo - в высшей степени четко). Перед нами новое решение художественной задачи, новый ракурс преломления народной музыки - "отображение собственно игры народных музыкантов" (Г.Головинский "Композитор и фольклор" М., "Музыка", 1981, с.228). В тактах 25-26, 29 пример алеаторики, на выдержанной басовой квинте многократно произвольное количество раз повторяется аккорд (соль-фа-ля) с ускорением от 1/8 до 1/32 и обратным замедлением.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Танцевальный эпизод (т.32-40) построен на остинато "ритм-формулы" (термин взят из книги Г.Головинского "Композитор и фольклор" М., "Музыка", 1981), которая, накапливая энергию движения и нарастая динамически (до sfff) приводит к яркой кульминации (аналогично композитор будет заканчивать цикл). Этой кульминацией заканчивается раздел пьесы, связанный с отображением действенности материала.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Действительно, начальный мотив-наигрыш, танцевальная ритм-формула в виде остинато или отображение собственно игры музыкантов - все это музыка-действие, связанная с изображением тех или иных элементов народного музицирования. 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bookmarkStart w:id="2" w:name="_Toc450979595"/>
      <w:r>
        <w:rPr>
          <w:rFonts w:ascii="Times New Roman" w:hAnsi="Times New Roman" w:cs="Times New Roman"/>
          <w:lang w:val="ru-RU"/>
        </w:rPr>
        <w:t>Piu rubato, poco sostenuto</w:t>
      </w:r>
      <w:bookmarkEnd w:id="2"/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Иное дело следующий раздел пьесы Piu rubato, poco sostenuto (т.41-52). Здесь на первый план выдвигается живая изобразительность, картинность. Способствует изобразительности, прежде всего эпизод с элементом алеаторики в партии нижних голосов. Речитация солирующего голоса идет на фоне свободной импровизации в указанных звуко-высотных параметрах без тактового расчленения. Хотим предложить исполнителю в т.48 поменять предшествующий рисунок, связанный ритмической остинатностью с танцевальными эпизодами предшествующего раздела, на менее информативные комбинации тремоло с паузами во время энергичных реплик верхнего голоса. Конструкция этого эпизода связана с двумя тонами - центрами (до и соль). Терцово-секундовое соотношение аккомпанемента создает в низком регистре гулкий и мрачный колорит, автор подчеркивает это настроение ремаркой pesante и динамикой P sub. misterioso. Реплики верхнего голоса звучат обостренно, чему способствует интервал большой септимы (фа-соль). Следует обратить внимание на лидийскую кварту в т.48 (знакомую нам по первому эпизоду).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Реплики верхнего голоса рекомендуем играть, маркируя каждое звено и очень ясно расчленяя триоль от дуоли, группу от группы. Необходимо весь раздел играть на педали, не снимая, но подменивая ее в зависимости от тембра регистров и от динамики. В т.51 мы опять сталкиваемся с алеаторикой: в пределах заданных параметров предлагается импровизировать в произвольной последовательности в течении 20 секунд. Весь эпизод можно причислить к сонорности, так как на первый план выдвигаются задачи красочно-колористические, тембрально-регистровые, создающие звуковой образ Карпатской пасторали.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bookmarkStart w:id="3" w:name="_Toc450979596"/>
      <w:r>
        <w:rPr>
          <w:rFonts w:ascii="Times New Roman" w:hAnsi="Times New Roman" w:cs="Times New Roman"/>
          <w:lang w:val="ru-RU"/>
        </w:rPr>
        <w:t>Tempo I</w:t>
      </w:r>
      <w:bookmarkEnd w:id="3"/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Стреловидный пассаж возвращает нас в круг образов первых разделов пьесы, наступает реприза, которая начинается с квинтового эпизода (это придает репризе черты зеркальности), звучащего еще более неистово (т.52-54, к двум квинтам соль-ре и ля-ми добавляется еще одна ми-си, придавая большую звуковую плотность и насыщенность). Первоначальный мотив-наигрыш оказывается совсем не в том тональном центре, в каком он был вначале (вместо ля - ми), добавляется дополнительный такт 7/16, где обыгрывается фигурация нижнего голоса. Меняется динамический уровень (вместо f semplice - pp sub.). В повторении первого политонального эпизода (т.61-63) снимается акцентировка, лапидарная, собранная гармония превращается в гармоническую фигурацию. Все перечисленное придает репризе характер прозрачности и нереальности, это как бы воспоминание о народной музыке, и лишь в т.64 мотив-наигрыш проходит в своем первоначальном виде, только в конце элемент "притоптывания" последних нот заменяется терцовым glissando.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Венчает цикл грандиозная кульминация, построенная на ритмическом остинато мотива-наигрыша, его ячеек и основного тона ля, в конце (т.82) в обоих голосах ля удваивается, и исполнять его следует на пределе динамических и артикуляционных возможностей, иначе невозможно добиться требуемой автором динамики - fffff. И все-таки последнее слово остается за мотивом-наигрышем (т.83), конечно же, это основная идея всей пьесы, суть ее жанровой принадлежности.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bookmarkStart w:id="4" w:name="_Toc450979597"/>
      <w:r>
        <w:rPr>
          <w:rFonts w:ascii="Times New Roman" w:hAnsi="Times New Roman" w:cs="Times New Roman"/>
          <w:lang w:val="ru-RU"/>
        </w:rPr>
        <w:t>Заключение</w:t>
      </w:r>
      <w:bookmarkEnd w:id="4"/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Воплощение фольклорного начала (быстрые смены настроения, переходы от танцевального движения к созерцанию пасторали, от динамики к статике) требует и несколько иного подхода к формообразованию в целом. В данном произведении автор воспользовался формой сюиты, каждая часть которой достаточно самостоятельна и замкнута, но необычность в том, что части ее крайне малы, иногда буквально несколько тактов (например, два такта т.52-53 или даже один такт 83), т.е. сюита в миниатюре. Миниатюрность диктуется, прежде всего, фольклорной сущностью излагаемого материала. Так же как в игре народного музыканта, быстрые смены настроений, ритмические переключения, резкие границы динамики связаны с "фольклорным тематизмом" (термин взят из книги Г.Головинского "Композитор и фольклор" М., "Музыка", 1981). Кроме того, в пьесе просматривается трехчастность, экспозиционный раздел (т.1-40), средний эпизод (т.41-51) и репризный (т.52-84).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Говоря о форме в целом, следует обратить внимание исполнителя на моменты границ формы, где следует сделать остановку и, как говорят музыканты, "дослушать" последнюю интонацию, а где следует, не останавливая движения, сразу переходить к следующему эпизоду. Автор помогает исполнителю в этом, ставя запятые в т.10, 40, 54, 82, 83 или fermata в т.29 и 40.</w:t>
      </w:r>
    </w:p>
    <w:p w:rsidR="009D5AD1" w:rsidRDefault="009D5AD1">
      <w:pPr>
        <w:ind w:firstLine="567"/>
        <w:jc w:val="both"/>
        <w:rPr>
          <w:rFonts w:ascii="Times New Roman" w:hAnsi="Times New Roman" w:cs="Times New Roman"/>
          <w:lang w:val="ru-RU"/>
        </w:rPr>
      </w:pPr>
    </w:p>
    <w:p w:rsidR="009D5AD1" w:rsidRDefault="00A223E4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Закончив анализ пьесы, подведем некоторые итоги. На современном этапе работа с фольклором не ограничивается простым цитированием или вариационным развитием, используются в качестве самостоятельного фактора и разрабатываются мотив, фраза, попевка. Их неповторимости, индивидуальности способствует обращение к таким формам народного музицирования, как наигрыш, танец, собственно игра. Для этой же цели используются ладовые обогащения, политональность. В качестве решающего организующего фактора выступает ритм, часто в виде ритм-формулы, или ритмического остинато. Вводятся такие современные композиционные средства, как алеаторика и сонорность. Все это позволяет говорить о работе с фольклором на качественно новом композиционном уровне.</w:t>
      </w:r>
      <w:bookmarkStart w:id="5" w:name="_GoBack"/>
      <w:bookmarkEnd w:id="5"/>
    </w:p>
    <w:sectPr w:rsidR="009D5AD1">
      <w:headerReference w:type="default" r:id="rId7"/>
      <w:pgSz w:w="12240" w:h="15840"/>
      <w:pgMar w:top="850" w:right="1041" w:bottom="850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AD1" w:rsidRDefault="00A223E4">
      <w:r>
        <w:separator/>
      </w:r>
    </w:p>
  </w:endnote>
  <w:endnote w:type="continuationSeparator" w:id="0">
    <w:p w:rsidR="009D5AD1" w:rsidRDefault="00A2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AD1" w:rsidRDefault="00A223E4">
      <w:r>
        <w:separator/>
      </w:r>
    </w:p>
  </w:footnote>
  <w:footnote w:type="continuationSeparator" w:id="0">
    <w:p w:rsidR="009D5AD1" w:rsidRDefault="00A22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D1" w:rsidRDefault="009D5A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3E4"/>
    <w:rsid w:val="009D5AD1"/>
    <w:rsid w:val="00A223E4"/>
    <w:rsid w:val="00F3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727D8C-0240-4D5B-B6BB-EFBA7A7E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Courier New" w:hAnsi="Courier New" w:cs="Courier New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en-GB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lang w:val="en-GB"/>
    </w:rPr>
  </w:style>
  <w:style w:type="paragraph" w:styleId="11">
    <w:name w:val="toc 1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b/>
      <w:bCs/>
      <w:i/>
      <w:iCs/>
    </w:rPr>
  </w:style>
  <w:style w:type="paragraph" w:styleId="21">
    <w:name w:val="toc 2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i/>
      <w:iCs/>
      <w:sz w:val="20"/>
      <w:szCs w:val="20"/>
    </w:rPr>
  </w:style>
  <w:style w:type="paragraph" w:styleId="31">
    <w:name w:val="toc 3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61">
    <w:name w:val="toc 6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71">
    <w:name w:val="toc 7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81">
    <w:name w:val="toc 8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91">
    <w:name w:val="toc 9"/>
    <w:basedOn w:val="a"/>
    <w:next w:val="a"/>
    <w:uiPriority w:val="99"/>
    <w:pPr>
      <w:pBdr>
        <w:between w:val="double" w:sz="6" w:space="0" w:color="auto"/>
      </w:pBdr>
      <w:tabs>
        <w:tab w:val="right" w:pos="8640"/>
      </w:tabs>
      <w:spacing w:before="120" w:after="120"/>
      <w:jc w:val="center"/>
    </w:pPr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Courier New" w:hAnsi="Courier New" w:cs="Courier New"/>
      <w:sz w:val="24"/>
      <w:szCs w:val="24"/>
      <w:lang w:val="en-GB"/>
    </w:rPr>
  </w:style>
  <w:style w:type="character" w:styleId="a5">
    <w:name w:val="page number"/>
    <w:basedOn w:val="a0"/>
    <w:uiPriority w:val="99"/>
  </w:style>
  <w:style w:type="paragraph" w:styleId="a6">
    <w:name w:val="Body Text"/>
    <w:basedOn w:val="a"/>
    <w:link w:val="a7"/>
    <w:uiPriority w:val="99"/>
    <w:pPr>
      <w:jc w:val="both"/>
    </w:pPr>
    <w:rPr>
      <w:rFonts w:ascii="Times New Roman" w:hAnsi="Times New Roman" w:cs="Times New Roman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Courier New" w:hAnsi="Courier New" w:cs="Courier New"/>
      <w:sz w:val="24"/>
      <w:szCs w:val="24"/>
      <w:lang w:val="en-GB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Courier New" w:hAnsi="Courier New" w:cs="Courier New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2092</Words>
  <Characters>11928</Characters>
  <Application>Microsoft Office Word</Application>
  <DocSecurity>0</DocSecurity>
  <Lines>99</Lines>
  <Paragraphs>27</Paragraphs>
  <ScaleCrop>false</ScaleCrop>
  <Company>G</Company>
  <LinksUpToDate>false</LinksUpToDate>
  <CharactersWithSpaces>13993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Исполнительско-педагогический анализ "Musica Rustica" Я.Верещагина</dc:title>
  <dc:subject/>
  <dc:creator>utel</dc:creator>
  <cp:keywords/>
  <dc:description/>
  <cp:lastModifiedBy>admin</cp:lastModifiedBy>
  <cp:revision>2</cp:revision>
  <cp:lastPrinted>1999-06-30T08:10:00Z</cp:lastPrinted>
  <dcterms:created xsi:type="dcterms:W3CDTF">2014-02-19T15:07:00Z</dcterms:created>
  <dcterms:modified xsi:type="dcterms:W3CDTF">2014-02-19T15:07:00Z</dcterms:modified>
</cp:coreProperties>
</file>