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A29" w:rsidRPr="00F1324B" w:rsidRDefault="00066A29" w:rsidP="00066A29">
      <w:pPr>
        <w:spacing w:before="120"/>
        <w:jc w:val="center"/>
        <w:rPr>
          <w:b/>
          <w:bCs/>
          <w:sz w:val="32"/>
          <w:szCs w:val="32"/>
        </w:rPr>
      </w:pPr>
      <w:r w:rsidRPr="00F1324B">
        <w:rPr>
          <w:b/>
          <w:bCs/>
          <w:sz w:val="32"/>
          <w:szCs w:val="32"/>
        </w:rPr>
        <w:t xml:space="preserve">Театральная декорация в </w:t>
      </w:r>
      <w:r w:rsidRPr="00F1324B">
        <w:rPr>
          <w:b/>
          <w:bCs/>
          <w:sz w:val="32"/>
          <w:szCs w:val="32"/>
          <w:lang w:val="en-US"/>
        </w:rPr>
        <w:t>XVII</w:t>
      </w:r>
      <w:r w:rsidRPr="00F1324B">
        <w:rPr>
          <w:b/>
          <w:bCs/>
          <w:sz w:val="32"/>
          <w:szCs w:val="32"/>
        </w:rPr>
        <w:t>–</w:t>
      </w:r>
      <w:r w:rsidRPr="00F1324B">
        <w:rPr>
          <w:b/>
          <w:bCs/>
          <w:sz w:val="32"/>
          <w:szCs w:val="32"/>
          <w:lang w:val="en-US"/>
        </w:rPr>
        <w:t>XVIII</w:t>
      </w:r>
      <w:r w:rsidRPr="00F1324B">
        <w:rPr>
          <w:b/>
          <w:bCs/>
          <w:sz w:val="32"/>
          <w:szCs w:val="32"/>
        </w:rPr>
        <w:t xml:space="preserve"> столетиях и ее историко-музыкальные параллели </w:t>
      </w:r>
    </w:p>
    <w:p w:rsidR="00066A29" w:rsidRPr="00F1324B" w:rsidRDefault="00066A29" w:rsidP="00066A29">
      <w:pPr>
        <w:spacing w:before="120"/>
        <w:jc w:val="center"/>
        <w:rPr>
          <w:sz w:val="28"/>
          <w:szCs w:val="28"/>
        </w:rPr>
      </w:pPr>
      <w:r w:rsidRPr="00F1324B">
        <w:rPr>
          <w:sz w:val="28"/>
          <w:szCs w:val="28"/>
        </w:rPr>
        <w:t xml:space="preserve">Константин Кузнецов </w:t>
      </w:r>
    </w:p>
    <w:p w:rsidR="00066A29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Так уж сложилось, что опера и даже балет в представлении современного музыканта – это прежде всего творения композиторские. И потому изучение музыкального театра в консерваторских курсах обычно проходит, так сказать, по ведомству истории музыки, превращаясь в историю музыкальных партитур. При этом «за скобками» обычно оказываются многие другие важные составляющие музыкального спектакля. Среди них и театрально-декорационное искусство, по которому, как известно, вполне можно судить о специфике художественных идей той или иной эпохи. Особую роль театрально-декорационное искусство играло в музыкальном театре XVII–XVIII веков. Однако большинство авторов книг и статей по истории оперы театральным декорациям внимания почти не уделяет, что делает представление о старинных операх значительно обедненным. Тем более ценными представляются исследовательские материалы, непосредственно затрагивающие интересующую нас область. Одну такую работу мы хотим предложить вниманию читателей. Это фрагмент из незавершенной книги «Музыка, театр и танец в XVII–XVIII столетиях» известного российского музыковеда, профессора Московской консерватории К.А. Кузнецова (1888–1953). В виде отдельной статьи он был напечатан почти 70 лет назад в журнале «Советская музыка» (1934, № 2, с. 34–43), давно став библиографической редкостью. Несмотря на то, что точка зрения автора не бесспорна, мы все же сочли целесообразным ознакомить с данной статьей (в слегка отредактированном варианте) наших читателей, интересующихся историей музыкального театра.</w:t>
      </w:r>
      <w:r>
        <w:rPr>
          <w:sz w:val="24"/>
          <w:szCs w:val="24"/>
        </w:rPr>
        <w:t xml:space="preserve"> 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Такая тема, как история театральной декорации, оказывается особенно близкой для историка музыкального, в частности оперного, искусства. Если не </w:t>
      </w:r>
      <w:r w:rsidRPr="00F1324B">
        <w:rPr>
          <w:sz w:val="24"/>
          <w:szCs w:val="24"/>
          <w:lang w:val="en-US"/>
        </w:rPr>
        <w:t>XVIII</w:t>
      </w:r>
      <w:r w:rsidRPr="00F1324B">
        <w:rPr>
          <w:sz w:val="24"/>
          <w:szCs w:val="24"/>
        </w:rPr>
        <w:t xml:space="preserve">, то </w:t>
      </w:r>
      <w:r w:rsidRPr="00F1324B">
        <w:rPr>
          <w:sz w:val="24"/>
          <w:szCs w:val="24"/>
          <w:lang w:val="en-US"/>
        </w:rPr>
        <w:t>XVII</w:t>
      </w:r>
      <w:r w:rsidRPr="00F1324B">
        <w:rPr>
          <w:sz w:val="24"/>
          <w:szCs w:val="24"/>
        </w:rPr>
        <w:t xml:space="preserve"> столетие свою театральную декорацию создает именно в связи с оперными постановками (равно как и с балетом). Но и самый театр, самое здание, с его специальной предназначенностью, растет и ширится в связи с ростом и быстрым, широким внедрением в общественный быт </w:t>
      </w:r>
      <w:r w:rsidRPr="00F1324B">
        <w:rPr>
          <w:sz w:val="24"/>
          <w:szCs w:val="24"/>
          <w:lang w:val="en-US"/>
        </w:rPr>
        <w:t>XVII</w:t>
      </w:r>
      <w:r w:rsidRPr="00F1324B">
        <w:rPr>
          <w:sz w:val="24"/>
          <w:szCs w:val="24"/>
        </w:rPr>
        <w:t xml:space="preserve">, </w:t>
      </w:r>
      <w:r w:rsidRPr="00F1324B">
        <w:rPr>
          <w:sz w:val="24"/>
          <w:szCs w:val="24"/>
          <w:lang w:val="en-US"/>
        </w:rPr>
        <w:t>XVIII</w:t>
      </w:r>
      <w:r w:rsidRPr="00F1324B">
        <w:rPr>
          <w:sz w:val="24"/>
          <w:szCs w:val="24"/>
        </w:rPr>
        <w:t xml:space="preserve"> столетий именно оперного искусства. Этот процесс строительства оперных театров в течение названных столетий (его отзвуки чувствуются и в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веке) можно сравнить с средневековым «храмовым» строительством: и там и здесь создавался центр, к которому тяготела общественная жизнь. Еще в 80-х годах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столетия К. Гурлитт отметил</w:t>
      </w:r>
      <w:r w:rsidRPr="00F1324B">
        <w:rPr>
          <w:sz w:val="24"/>
          <w:szCs w:val="24"/>
          <w:vertAlign w:val="superscript"/>
        </w:rPr>
        <w:t>[1]</w:t>
      </w:r>
      <w:r w:rsidRPr="00F1324B">
        <w:rPr>
          <w:sz w:val="24"/>
          <w:szCs w:val="24"/>
        </w:rPr>
        <w:t>, а позже П. Цуккер очень уместно напомнил</w:t>
      </w:r>
      <w:r w:rsidRPr="00F1324B">
        <w:rPr>
          <w:sz w:val="24"/>
          <w:szCs w:val="24"/>
          <w:vertAlign w:val="superscript"/>
        </w:rPr>
        <w:t>[2]</w:t>
      </w:r>
      <w:r w:rsidRPr="00F1324B">
        <w:rPr>
          <w:sz w:val="24"/>
          <w:szCs w:val="24"/>
        </w:rPr>
        <w:t xml:space="preserve">, что архитектура оперного театра </w:t>
      </w:r>
      <w:r w:rsidRPr="00F1324B">
        <w:rPr>
          <w:sz w:val="24"/>
          <w:szCs w:val="24"/>
          <w:lang w:val="en-US"/>
        </w:rPr>
        <w:t>XVIII</w:t>
      </w:r>
      <w:r w:rsidRPr="00F1324B">
        <w:rPr>
          <w:sz w:val="24"/>
          <w:szCs w:val="24"/>
        </w:rPr>
        <w:t xml:space="preserve"> века, обнаруживает принципиальное сходство с основным строительным замыслом «протестантского проповеднического храма»: та же ориентация на единый центральный пункт, та же ориентация в одном направлении. Любопытно, что посетитель оперного театра </w:t>
      </w:r>
      <w:r w:rsidRPr="00F1324B">
        <w:rPr>
          <w:sz w:val="24"/>
          <w:szCs w:val="24"/>
          <w:lang w:val="en-US"/>
        </w:rPr>
        <w:t>XVII</w:t>
      </w:r>
      <w:r w:rsidRPr="00F1324B">
        <w:rPr>
          <w:sz w:val="24"/>
          <w:szCs w:val="24"/>
        </w:rPr>
        <w:t>–</w:t>
      </w:r>
      <w:r w:rsidRPr="00F1324B">
        <w:rPr>
          <w:sz w:val="24"/>
          <w:szCs w:val="24"/>
          <w:lang w:val="en-US"/>
        </w:rPr>
        <w:t>XVIII</w:t>
      </w:r>
      <w:r w:rsidRPr="00F1324B">
        <w:rPr>
          <w:sz w:val="24"/>
          <w:szCs w:val="24"/>
        </w:rPr>
        <w:t xml:space="preserve"> веков гораздо внимательней к оперному либретто, тексту музыкального действия, чем оперный меломан в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века, и эти закапанные воском книжечки, которые любовно в своей коллекции собрал Кречмар (ср. его «Историю оперы»), удивительно напоминают «молитвословы» – в той или иной их конфессиональной окраске. Но эти сближения не должны от нас скрыть основного различия: театр </w:t>
      </w:r>
      <w:r w:rsidRPr="00F1324B">
        <w:rPr>
          <w:sz w:val="24"/>
          <w:szCs w:val="24"/>
          <w:lang w:val="en-US"/>
        </w:rPr>
        <w:t>XVII</w:t>
      </w:r>
      <w:r w:rsidRPr="00F1324B">
        <w:rPr>
          <w:sz w:val="24"/>
          <w:szCs w:val="24"/>
        </w:rPr>
        <w:t>–</w:t>
      </w:r>
      <w:r w:rsidRPr="00F1324B">
        <w:rPr>
          <w:sz w:val="24"/>
          <w:szCs w:val="24"/>
          <w:lang w:val="en-US"/>
        </w:rPr>
        <w:t>XVIII</w:t>
      </w:r>
      <w:r w:rsidRPr="00F1324B">
        <w:rPr>
          <w:sz w:val="24"/>
          <w:szCs w:val="24"/>
        </w:rPr>
        <w:t xml:space="preserve"> веков, оперный, драматический, есть символ победы светского искусства, светской мысли и культуры над церковью и ее бытом.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Расцвет театрального строительства начинается вместе с расцветом венецианской оперы. Первый подлинный оперный театр возник в Венеции в 1637 году; это – «Сан-Кассиано». В 1680-х годах возникли здесь девять новых оперных зданий и были отведены под оперу два драматических театра (С.-Мозе и С.-Лука). В 1667 году открывается первый оперный театр в Дрездене на 2000 зрителей. В том же году – оперный театр в Нюрнберге, в 1678 – в Гамбурге, в 1690 – в Ганновере, в 1693 – в Лейпциге, в 1706 – в Вене (перестроен в 1747 году). В 1719 году перестраивается Дрезденская опера (на 1800 зрителей) – по действительно театральному принципу. В 1747 году оперный театр появляется в Берлине; в 1748 – в Бордо. В 1754 году возникает знаменитый театр в Лионе; между 1753—1770 идет не прекращающаяся перестройка театра в Версале.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В этих сухих хронологических датах не трудно подметить «приоритет» Италии; быстрое движение вслед за нею Германии</w:t>
      </w:r>
      <w:r w:rsidRPr="00F1324B">
        <w:rPr>
          <w:sz w:val="24"/>
          <w:szCs w:val="24"/>
          <w:vertAlign w:val="superscript"/>
        </w:rPr>
        <w:t>[3]</w:t>
      </w:r>
      <w:r w:rsidRPr="00F1324B">
        <w:rPr>
          <w:sz w:val="24"/>
          <w:szCs w:val="24"/>
        </w:rPr>
        <w:t xml:space="preserve">, особенно южной (Дрезден, Вена; не забудем про Штутгарт, Мангейм). Некоторое запаздывание наблюдается во Франции, но ведь еще в середине </w:t>
      </w:r>
      <w:r w:rsidRPr="00F1324B">
        <w:rPr>
          <w:sz w:val="24"/>
          <w:szCs w:val="24"/>
          <w:lang w:val="en-US"/>
        </w:rPr>
        <w:t>XVIII</w:t>
      </w:r>
      <w:r w:rsidRPr="00F1324B">
        <w:rPr>
          <w:sz w:val="24"/>
          <w:szCs w:val="24"/>
        </w:rPr>
        <w:t xml:space="preserve"> века новое оперное искусстве должно было здесь упорно бороться за свое признание. Немец по рождению, итальянец по музыкальному воспитанию, Глюк на французской почве осуществляет синтез оперных тенденций </w:t>
      </w:r>
      <w:r w:rsidRPr="00F1324B">
        <w:rPr>
          <w:sz w:val="24"/>
          <w:szCs w:val="24"/>
          <w:lang w:val="en-US"/>
        </w:rPr>
        <w:t>XVIII</w:t>
      </w:r>
      <w:r w:rsidRPr="00F1324B">
        <w:rPr>
          <w:sz w:val="24"/>
          <w:szCs w:val="24"/>
        </w:rPr>
        <w:t xml:space="preserve"> века.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В афише о «Вокзале» Даль’Окка, датированной 13 августа 1827 года, находим подробное красочное описание всего вечера с перечислением включенных в него зрелищных номеров. Публике предлагалось огромное количество разнообразных увеселений – как для взрослых, так и для детей.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реди них большое место занимали цирковые номера – вольтижировка, танцы на канате, фокусы: «Г. Кенфер с лошадьми и всем своим обществом будет вольтижировать и танцевать на лошадях; между прочим г. Кронвальд, принадлежавший к труппе г. Турниера, столь известного отличным своим дарованием, представит пьяного крестьянина и будет переодеваться в разные платья на всем скаку. При сем не будет никакой опасности, ибо вольтижировка будет происходить в закрытом цирке. Будут также представлены штуки на проволоке. Г-жа Тиханова танцевать будет на канате и будет на нем обедать, сестра ее и все общество произведут под музыку разные танцы и штуки. Один забавный карлик будет плясать по-казацки». «Для удовольствия детей» показывали «кукольную и собачью комедии». На празднике также демонстрировалась «безденежно, тем, кто пожелает» косморама с величайшими городами Европы и живописные транспаранты. 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«Почтеннейшая публика» могла входить в сад с 3-х часов дня, все увеселения начинались в 5 часов и продолжались до 10 вечера, после чего был сожжен фейерверк «о семи разных переменах», в комнатах устроен бал, а в саду – иллюминация. В афише обговаривались организационные моменты, связанные с погодными условиями и покупкой билетов: «В сей день все комнаты будут освещены и открыты для публики. Фасад дома имеет 24 больших окна и 2 закрытых балкона, где зрители могут поместиться в случае сырой погоды и видеть все происходящие в саду. В случае же дурной погоды в этот день, праздник будет отложен до первого хорошего дня. Гг. члены общества благоволят показать при входе годовой свой билет и могут привести с собою только двух дам – за большее же число платят наравне с гостями. Билеты для входа по 5 рублей с персоны (а с детей – половину) можно получать у г-на Далл’Окка в средней Подъяческой, в доме купца Васильева, в бельэтаже под № 277 и с 8 часов утра у швейцара общества».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 xml:space="preserve">Согласно рекламному тексту, «украшению праздника содействовала хорошая музыка», которую «производили» «отличное общество цыган», исполнявших русские и цыганские песни и пляски «как в саду, так и в залах, аккомпанируя себе на гитаре», и духовой оркестр, находившийся в саду с 3-х часов дня. 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В объяснительной записке в контору театральной Дирекции Д. Даль’Окка перечисляет три подобных «вокзала», организованных им в 1828 году: «8 августа 1828 года я дал воксал вместе с г-ном Вагнером», «13 числа оного же августа я один дал воксал», «5 сентября 1828 года я дал другой воксал в саду Танцевального общества». Из текста «объяснения» становится понятно, что устройство «вокзалов» было делом весьма хлопотным. Более сложная композиция праздника требовала и более четкой организации, поэтому устроителем детально продумывался план вечера, программа концерта, его участники, в том числе музыканты. Возникали, по-видимому, материальные трудности. Иногда Далл’Окка вкладывал собственные деньги, чтобы увеселение состоялось. Так, например, он пишет: «…заплатили г-ну Гонзага 500 рублей за три театра для живых картин и еще одну большую пирамиду, за которую я заплатил свои деньги – 60 рублей».</w:t>
      </w:r>
    </w:p>
    <w:p w:rsidR="00066A29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sz w:val="24"/>
          <w:szCs w:val="24"/>
        </w:rPr>
        <w:t>Рассмотренные виды «садовых» развлечений стали, на наш взгляд, основой для бурного развития увеселительных садов начиная с 1860-х годов, когда они, по выражению Ф.В. Домбровского, «росли как грибы, и один перечень их ставил петербургского жителя в тупик…»</w:t>
      </w:r>
      <w:r w:rsidRPr="00F1324B">
        <w:rPr>
          <w:color w:val="0000FF"/>
          <w:sz w:val="24"/>
          <w:szCs w:val="24"/>
          <w:vertAlign w:val="superscript"/>
        </w:rPr>
        <w:t>18</w:t>
      </w:r>
      <w:r w:rsidRPr="00F1324B">
        <w:rPr>
          <w:sz w:val="24"/>
          <w:szCs w:val="24"/>
        </w:rPr>
        <w:t>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1</w:t>
      </w:r>
      <w:r w:rsidRPr="00F1324B">
        <w:rPr>
          <w:sz w:val="24"/>
          <w:szCs w:val="24"/>
        </w:rPr>
        <w:t xml:space="preserve"> Лихачев Д.С. Поэзия садов. К семантике садово-парковых стилей. Сад как текст. – СПб., 1991.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17.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2</w:t>
      </w:r>
      <w:r w:rsidRPr="00F1324B">
        <w:rPr>
          <w:sz w:val="24"/>
          <w:szCs w:val="24"/>
        </w:rPr>
        <w:t xml:space="preserve"> Аттенгофен Г.Л. Медико-топографическое описание С.-Петербурга, главного и столичного города Российской империи / Пер. с нем. – СПб., 1820.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30–31.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3</w:t>
      </w:r>
      <w:r w:rsidRPr="00F1324B">
        <w:rPr>
          <w:sz w:val="24"/>
          <w:szCs w:val="24"/>
        </w:rPr>
        <w:t xml:space="preserve"> Михневич В. Петербург весь на ладони. – СПб., 1874.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114.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4</w:t>
      </w:r>
      <w:r w:rsidRPr="00F1324B">
        <w:rPr>
          <w:sz w:val="24"/>
          <w:szCs w:val="24"/>
        </w:rPr>
        <w:t xml:space="preserve"> Стеклова И.А. Феномен увеселительных садов в формировании культурной среды Петербурга-Петрограда: Автореферат диссертации. – М., 1991.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9.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5</w:t>
      </w:r>
      <w:r w:rsidRPr="00F1324B">
        <w:rPr>
          <w:sz w:val="24"/>
          <w:szCs w:val="24"/>
        </w:rPr>
        <w:t xml:space="preserve"> См.: Конечный А. Петербургские общественные сады в </w:t>
      </w:r>
      <w:r w:rsidRPr="00F1324B">
        <w:rPr>
          <w:sz w:val="24"/>
          <w:szCs w:val="24"/>
          <w:lang w:val="en-US"/>
        </w:rPr>
        <w:t>XIX</w:t>
      </w:r>
      <w:r w:rsidRPr="00F1324B">
        <w:rPr>
          <w:sz w:val="24"/>
          <w:szCs w:val="24"/>
        </w:rPr>
        <w:t xml:space="preserve"> веке // </w:t>
      </w:r>
      <w:r w:rsidRPr="00F1324B">
        <w:rPr>
          <w:sz w:val="24"/>
          <w:szCs w:val="24"/>
          <w:lang w:val="en-US"/>
        </w:rPr>
        <w:t>Europa</w:t>
      </w:r>
      <w:r w:rsidRPr="00F1324B">
        <w:rPr>
          <w:sz w:val="24"/>
          <w:szCs w:val="24"/>
        </w:rPr>
        <w:t xml:space="preserve"> </w:t>
      </w:r>
      <w:r w:rsidRPr="00F1324B">
        <w:rPr>
          <w:sz w:val="24"/>
          <w:szCs w:val="24"/>
          <w:lang w:val="en-US"/>
        </w:rPr>
        <w:t>Orientalis</w:t>
      </w:r>
      <w:r w:rsidRPr="00F1324B">
        <w:rPr>
          <w:sz w:val="24"/>
          <w:szCs w:val="24"/>
        </w:rPr>
        <w:t xml:space="preserve">. – 1996. – № 1.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37–50 (приводя эти сведения, автор ссылается на «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еверную пчелу» от 10 января 1839 года). 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6</w:t>
      </w:r>
      <w:r w:rsidRPr="00F1324B">
        <w:rPr>
          <w:sz w:val="24"/>
          <w:szCs w:val="24"/>
        </w:rPr>
        <w:t xml:space="preserve"> Михневич В. Цит. соч. – С. 116–118.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7</w:t>
      </w:r>
      <w:r w:rsidRPr="00F1324B">
        <w:rPr>
          <w:sz w:val="24"/>
          <w:szCs w:val="24"/>
        </w:rPr>
        <w:t xml:space="preserve"> Там же.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8</w:t>
      </w:r>
      <w:r w:rsidRPr="00F1324B">
        <w:rPr>
          <w:sz w:val="24"/>
          <w:szCs w:val="24"/>
        </w:rPr>
        <w:t xml:space="preserve"> Бурьянов В. Прогулка с детьми по Санкт-Петербургу и его окрестностям. Ч. 2.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Пб., 1838. – С. 265. 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9</w:t>
      </w:r>
      <w:r w:rsidRPr="00F1324B">
        <w:rPr>
          <w:sz w:val="24"/>
          <w:szCs w:val="24"/>
        </w:rPr>
        <w:t xml:space="preserve"> Там же.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10</w:t>
      </w:r>
      <w:r w:rsidRPr="00F1324B">
        <w:rPr>
          <w:sz w:val="24"/>
          <w:szCs w:val="24"/>
        </w:rPr>
        <w:t xml:space="preserve"> Зубов Г.Н. О положении военной музыки в России. – СПб., 1903.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7.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11</w:t>
      </w:r>
      <w:r w:rsidRPr="00F1324B">
        <w:rPr>
          <w:sz w:val="24"/>
          <w:szCs w:val="24"/>
        </w:rPr>
        <w:t xml:space="preserve"> Там же.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1.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12</w:t>
      </w:r>
      <w:r w:rsidRPr="00F1324B">
        <w:rPr>
          <w:sz w:val="24"/>
          <w:szCs w:val="24"/>
        </w:rPr>
        <w:t xml:space="preserve"> Подробнее о пребывании Доменико Даль’Окка (</w:t>
      </w:r>
      <w:r w:rsidRPr="00F1324B">
        <w:rPr>
          <w:sz w:val="24"/>
          <w:szCs w:val="24"/>
          <w:lang w:val="en-US"/>
        </w:rPr>
        <w:t>Dall</w:t>
      </w:r>
      <w:r w:rsidRPr="00F1324B">
        <w:rPr>
          <w:sz w:val="24"/>
          <w:szCs w:val="24"/>
        </w:rPr>
        <w:t>’</w:t>
      </w:r>
      <w:r w:rsidRPr="00F1324B">
        <w:rPr>
          <w:sz w:val="24"/>
          <w:szCs w:val="24"/>
          <w:lang w:val="en-US"/>
        </w:rPr>
        <w:t>Occa</w:t>
      </w:r>
      <w:r w:rsidRPr="00F1324B">
        <w:rPr>
          <w:sz w:val="24"/>
          <w:szCs w:val="24"/>
        </w:rPr>
        <w:t>) в России см.: Порфирьева А.Л. Даль’Окка // Музыкальный Петербург: Энциклопедический словарь. Т.1 (</w:t>
      </w:r>
      <w:r w:rsidRPr="00F1324B">
        <w:rPr>
          <w:sz w:val="24"/>
          <w:szCs w:val="24"/>
          <w:lang w:val="en-US"/>
        </w:rPr>
        <w:t>XVIII</w:t>
      </w:r>
      <w:r w:rsidRPr="00F1324B">
        <w:rPr>
          <w:sz w:val="24"/>
          <w:szCs w:val="24"/>
        </w:rPr>
        <w:t xml:space="preserve"> век).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Пб., 1996 .– С. 293–294. 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13</w:t>
      </w:r>
      <w:r w:rsidRPr="00F1324B">
        <w:rPr>
          <w:sz w:val="24"/>
          <w:szCs w:val="24"/>
        </w:rPr>
        <w:t xml:space="preserve"> Зани (Цани) де Ферранти, Марко Аврелио (1800/1802–1878) – итальянский скрипач и гитарист, в Санкт-Петербурге с 1820 года, концертировал в 1821–1822 годах. См.: Петровская И.Ф. Концертная жизнь Петербурга, музыка в общественном и домашнем быту. 1801–1859 годы.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Пб., 2000.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. 174. 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14</w:t>
      </w:r>
      <w:r w:rsidRPr="00F1324B">
        <w:rPr>
          <w:sz w:val="24"/>
          <w:szCs w:val="24"/>
        </w:rPr>
        <w:t xml:space="preserve"> Бернард (Бернхард) Ромберг (1767–1841) – виолончелист и композитор, из второго поколения немецкой династии музыкантов. В Санкт-Петербурге в 1807(1808), 1811–1812, 1823 (1825) – 1830-х годах. Концертировал, играл в великосветских салонах, преподавал (среди его учеников – Матвей Виельгорский). Подробнее см.: Петровская И.Ф. Указ. соч. – С.161; Раабен Л. Жизнь замечательных скрипачей и виолончелистов. – Л., 1969.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 xml:space="preserve">. 60–70. 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15</w:t>
      </w:r>
      <w:r w:rsidRPr="00F1324B">
        <w:rPr>
          <w:sz w:val="24"/>
          <w:szCs w:val="24"/>
        </w:rPr>
        <w:t xml:space="preserve"> «Слово «вокзал» («фоксаль») заимствовано из французского языка. Французы таким манером произносили название загородного увеселительного заведения – </w:t>
      </w:r>
      <w:r w:rsidRPr="00F1324B">
        <w:rPr>
          <w:sz w:val="24"/>
          <w:szCs w:val="24"/>
          <w:lang w:val="en-US"/>
        </w:rPr>
        <w:t>vauxhall</w:t>
      </w:r>
      <w:r w:rsidRPr="00F1324B">
        <w:rPr>
          <w:sz w:val="24"/>
          <w:szCs w:val="24"/>
        </w:rPr>
        <w:t xml:space="preserve">, произошедшее от имени его владелицы англичанки Джейн Вокс» (См.: Гречук Н. Вокзальные развлечения // Санкт-Петербургские ведомости. – 1999. – № 52. – С.18). 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16</w:t>
      </w:r>
      <w:r w:rsidRPr="00F1324B">
        <w:rPr>
          <w:sz w:val="24"/>
          <w:szCs w:val="24"/>
        </w:rPr>
        <w:t xml:space="preserve"> На страницах «Санкт-Петербургских ведомостей» от 4 (15) июля 1777 года находим объявление: «Сего июля 9 дня откроется на Каменном острову в новой галерее фоксаль, коего содержатели господа Гротти и Шеневет ласкаются, что всяк найдет в сем месте к совершеному своему удовольствию по вкусу расположенные украшения, музыку и всякие забавы … За вход платит каждая особа по 1 рублю, за прочие же напитки, равно как и за стол, особливо платить надобно …».</w:t>
      </w:r>
    </w:p>
    <w:p w:rsidR="00066A29" w:rsidRPr="00F1324B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17</w:t>
      </w:r>
      <w:r w:rsidRPr="00F1324B">
        <w:rPr>
          <w:sz w:val="24"/>
          <w:szCs w:val="24"/>
        </w:rPr>
        <w:t xml:space="preserve"> Финдейзен Н.Ф. Павловский вокзал. Исторический очерк. 1838–1912 гг. – СПб., 1912.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6.</w:t>
      </w:r>
    </w:p>
    <w:p w:rsidR="00066A29" w:rsidRDefault="00066A29" w:rsidP="00066A29">
      <w:pPr>
        <w:spacing w:before="120"/>
        <w:ind w:firstLine="567"/>
        <w:jc w:val="both"/>
        <w:rPr>
          <w:sz w:val="24"/>
          <w:szCs w:val="24"/>
        </w:rPr>
      </w:pPr>
      <w:r w:rsidRPr="00F1324B">
        <w:rPr>
          <w:color w:val="0000FF"/>
          <w:sz w:val="24"/>
          <w:szCs w:val="24"/>
          <w:vertAlign w:val="superscript"/>
        </w:rPr>
        <w:t>18</w:t>
      </w:r>
      <w:r w:rsidRPr="00F1324B">
        <w:rPr>
          <w:sz w:val="24"/>
          <w:szCs w:val="24"/>
        </w:rPr>
        <w:t xml:space="preserve"> Домбровский Ф.В. Полный путеводитель по Петербургу и всем окрестностям. – СПб., 1896. – </w:t>
      </w:r>
      <w:r w:rsidRPr="00F1324B">
        <w:rPr>
          <w:sz w:val="24"/>
          <w:szCs w:val="24"/>
          <w:lang w:val="en-US"/>
        </w:rPr>
        <w:t>C</w:t>
      </w:r>
      <w:r w:rsidRPr="00F1324B">
        <w:rPr>
          <w:sz w:val="24"/>
          <w:szCs w:val="24"/>
        </w:rPr>
        <w:t>. 80.</w:t>
      </w:r>
    </w:p>
    <w:p w:rsidR="00534978" w:rsidRDefault="00534978">
      <w:bookmarkStart w:id="0" w:name="_GoBack"/>
      <w:bookmarkEnd w:id="0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A29"/>
    <w:rsid w:val="00066A29"/>
    <w:rsid w:val="00113A65"/>
    <w:rsid w:val="00534978"/>
    <w:rsid w:val="00B9589F"/>
    <w:rsid w:val="00F1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0815D1-DE1C-4E7A-AA92-0E4A101C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A29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66A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6945</Words>
  <Characters>3960</Characters>
  <Application>Microsoft Office Word</Application>
  <DocSecurity>0</DocSecurity>
  <Lines>33</Lines>
  <Paragraphs>21</Paragraphs>
  <ScaleCrop>false</ScaleCrop>
  <Company>Home</Company>
  <LinksUpToDate>false</LinksUpToDate>
  <CharactersWithSpaces>10884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Театральная декорация в XVII–XVIII столетиях и ее историко-музыкальные параллели </dc:title>
  <dc:subject/>
  <dc:creator>User</dc:creator>
  <cp:keywords/>
  <dc:description/>
  <cp:lastModifiedBy>admin</cp:lastModifiedBy>
  <cp:revision>2</cp:revision>
  <dcterms:created xsi:type="dcterms:W3CDTF">2014-01-25T21:23:00Z</dcterms:created>
  <dcterms:modified xsi:type="dcterms:W3CDTF">2014-01-25T21:23:00Z</dcterms:modified>
</cp:coreProperties>
</file>