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A659F" w:rsidRDefault="008A659F">
      <w:pPr>
        <w:pStyle w:val="3"/>
        <w:numPr>
          <w:ilvl w:val="0"/>
          <w:numId w:val="0"/>
        </w:numPr>
      </w:pPr>
    </w:p>
    <w:p w:rsidR="008A659F" w:rsidRDefault="008A659F">
      <w:pPr>
        <w:pStyle w:val="3"/>
        <w:numPr>
          <w:ilvl w:val="0"/>
          <w:numId w:val="0"/>
        </w:numPr>
      </w:pPr>
      <w:r>
        <w:t>.2.2. Каналы связи</w:t>
      </w:r>
    </w:p>
    <w:p w:rsidR="008A659F" w:rsidRDefault="008A659F">
      <w:pPr>
        <w:pStyle w:val="a1"/>
      </w:pPr>
      <w:r>
        <w:rPr>
          <w:u w:val="single"/>
        </w:rPr>
        <w:t>Стандартный канал ТЧ</w:t>
      </w:r>
      <w:r>
        <w:t xml:space="preserve">. Канал тональной частоты (ТЧ) является единицей измерения емкости систем передачи и используется для передачи телефонных сигналов, а также сигналов данных, факсимильной и телеграфной связи. Такой канал включает в себя двухпроводное окончание и четырехпроводный тракт. </w:t>
      </w:r>
      <w:r>
        <w:rPr>
          <w:i/>
        </w:rPr>
        <w:t>Дифсистема</w:t>
      </w:r>
      <w:r>
        <w:t xml:space="preserve"> (ДС) служит для перехода с четырехпроводного тракта к двухпроводному окончанию. Удлинители в двухпроводном окончании имеют затухание 3,5 дБ и называются </w:t>
      </w:r>
      <w:r>
        <w:rPr>
          <w:i/>
        </w:rPr>
        <w:t>транзитными</w:t>
      </w:r>
      <w:r>
        <w:t>. Характеристики канала ТЧ нормируются рекомендациями МСЭ-Т серии М. В нашей стране требования МСЭ-Т уточняют "Нормы на электрические параметры каналов ТЧ магистральной и внутризоновых первичных сетей", введенные в действие приказом Министерства связи № 43 от 15.04.96. Рассмотрим основные характеристики канала ТЧ.</w:t>
      </w:r>
    </w:p>
    <w:p w:rsidR="008A659F" w:rsidRDefault="008A659F">
      <w:pPr>
        <w:pStyle w:val="a1"/>
      </w:pPr>
      <w:r>
        <w:rPr>
          <w:i/>
        </w:rPr>
        <w:t>Нормированные (номинальные) измерительные уровни</w:t>
      </w:r>
      <w:r>
        <w:t xml:space="preserve"> в стандартных точках канала ТЧ составляют (Рис. 6.21): на входе канала 0 дБм, на выходе транзитного удлинителя минус 3,5 дБм, на входе четырехпроводного тракта минус 13 дБм, на выходе четырехпроводного тракта 4,3 дБм, на входе транзитного удлинителя минус 3,5 дБм и на выходе канала минус 7 дБ.</w:t>
      </w:r>
    </w:p>
    <w:p w:rsidR="008A659F" w:rsidRDefault="0059070E">
      <w:pPr>
        <w:pStyle w:val="a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6pt;width:422.15pt;height:260.15pt;z-index:251653120;mso-wrap-distance-left:0;mso-wrap-distance-right:0;mso-position-horizontal:center" filled="t">
            <v:fill color2="black"/>
            <v:imagedata r:id="rId5" o:title=""/>
            <w10:wrap type="square" side="largest"/>
          </v:shape>
        </w:pict>
      </w:r>
      <w:r w:rsidR="008A659F">
        <w:t xml:space="preserve">Рис. 6.21. Номинальные измерительные уровни канала </w:t>
      </w:r>
    </w:p>
    <w:p w:rsidR="008A659F" w:rsidRDefault="0059070E">
      <w:pPr>
        <w:pStyle w:val="a1"/>
        <w:jc w:val="both"/>
      </w:pPr>
      <w:r>
        <w:pict>
          <v:shape id="_x0000_s1027" type="#_x0000_t75" style="position:absolute;left:0;text-align:left;margin-left:235.75pt;margin-top:96pt;width:92.95pt;height:35.9pt;z-index:251654144;mso-wrap-distance-left:0;mso-wrap-distance-right:0" filled="t">
            <v:fill color2="black"/>
            <v:imagedata r:id="rId6" o:title=""/>
            <w10:wrap type="square" side="largest"/>
          </v:shape>
        </w:pict>
      </w:r>
      <w:r>
        <w:pict>
          <v:shape id="_x0000_s1028" type="#_x0000_t75" style="position:absolute;left:0;text-align:left;margin-left:0;margin-top:6pt;width:115.45pt;height:37.4pt;z-index:251655168;mso-wrap-distance-left:0;mso-wrap-distance-right:0;mso-position-horizontal:center" filled="t">
            <v:fill color2="black"/>
            <v:imagedata r:id="rId7" o:title=""/>
            <w10:wrap type="square" side="largest"/>
          </v:shape>
        </w:pict>
      </w:r>
      <w:r>
        <w:pict>
          <v:shape id="_x0000_s1029" type="#_x0000_t75" style="position:absolute;left:0;text-align:left;margin-left:149.2pt;margin-top:84pt;width:29.2pt;height:16.4pt;z-index:251656192;mso-wrap-distance-left:0;mso-wrap-distance-right:0" filled="t">
            <v:fill color2="black"/>
            <v:imagedata r:id="rId8" o:title=""/>
            <w10:wrap type="square" side="largest"/>
          </v:shape>
        </w:pict>
      </w:r>
      <w:r w:rsidR="008A659F">
        <w:rPr>
          <w:i/>
        </w:rPr>
        <w:t>Входное</w:t>
      </w:r>
      <w:r w:rsidR="008A659F">
        <w:t xml:space="preserve"> Z</w:t>
      </w:r>
      <w:r w:rsidR="008A659F">
        <w:rPr>
          <w:position w:val="-7"/>
          <w:sz w:val="19"/>
        </w:rPr>
        <w:t>ВХ</w:t>
      </w:r>
      <w:r w:rsidR="008A659F">
        <w:t xml:space="preserve"> и </w:t>
      </w:r>
      <w:r w:rsidR="008A659F">
        <w:rPr>
          <w:i/>
        </w:rPr>
        <w:t>выходное</w:t>
      </w:r>
      <w:r w:rsidR="008A659F">
        <w:t xml:space="preserve"> Z</w:t>
      </w:r>
      <w:r w:rsidR="008A659F">
        <w:rPr>
          <w:position w:val="-7"/>
          <w:sz w:val="19"/>
        </w:rPr>
        <w:t>ВЫХ</w:t>
      </w:r>
      <w:r w:rsidR="008A659F">
        <w:t xml:space="preserve"> </w:t>
      </w:r>
      <w:r w:rsidR="008A659F">
        <w:rPr>
          <w:i/>
        </w:rPr>
        <w:t>сопротивления</w:t>
      </w:r>
      <w:r w:rsidR="008A659F">
        <w:t xml:space="preserve"> канала ТЧ равны 600 Ом. Отклонение входного и выходного сопротивлений от номинального Z</w:t>
      </w:r>
      <w:r w:rsidR="008A659F">
        <w:rPr>
          <w:position w:val="-7"/>
          <w:sz w:val="19"/>
        </w:rPr>
        <w:t>Н</w:t>
      </w:r>
      <w:r w:rsidR="008A659F">
        <w:t xml:space="preserve"> оценивается коэффициентом отражения  или затуханием несогласованности (отражения) , где Z</w:t>
      </w:r>
      <w:r w:rsidR="008A659F">
        <w:rPr>
          <w:position w:val="-7"/>
          <w:sz w:val="19"/>
        </w:rPr>
        <w:t>Р</w:t>
      </w:r>
      <w:r w:rsidR="008A659F">
        <w:t xml:space="preserve"> - реальное значение cопротивления. Значение      не должно превышать 10%.</w:t>
      </w:r>
    </w:p>
    <w:p w:rsidR="008A659F" w:rsidRDefault="008A659F">
      <w:pPr>
        <w:pStyle w:val="a1"/>
      </w:pPr>
      <w:r>
        <w:rPr>
          <w:i/>
        </w:rPr>
        <w:t>Остаточное затухание канала</w:t>
      </w:r>
      <w:r>
        <w:t xml:space="preserve">. Это есть величина, равная разности суммы </w:t>
      </w:r>
    </w:p>
    <w:p w:rsidR="008A659F" w:rsidRDefault="0059070E">
      <w:pPr>
        <w:pStyle w:val="a1"/>
      </w:pPr>
      <w:r>
        <w:pict>
          <v:shape id="_x0000_s1030" type="#_x0000_t75" style="position:absolute;margin-left:246.75pt;margin-top:11.55pt;width:98.15pt;height:16.4pt;z-index:251657216;mso-wrap-distance-left:0;mso-wrap-distance-right:0" filled="t">
            <v:fill color2="black"/>
            <v:imagedata r:id="rId9" o:title=""/>
            <w10:wrap type="square" side="largest"/>
          </v:shape>
        </w:pict>
      </w:r>
    </w:p>
    <w:p w:rsidR="008A659F" w:rsidRDefault="008A659F">
      <w:pPr>
        <w:pStyle w:val="a1"/>
      </w:pPr>
      <w:r>
        <w:t xml:space="preserve">затуханий и суммы усилений в канале: . </w:t>
      </w:r>
    </w:p>
    <w:p w:rsidR="008A659F" w:rsidRDefault="008A659F">
      <w:pPr>
        <w:pStyle w:val="a1"/>
      </w:pPr>
      <w:r>
        <w:t xml:space="preserve"> Остаточное затухание канала ТЧ составляет 7 дБ. Максимальное отклонение во времени на одном транзитном участке не должно превышать 2,2 дБ с вероятностью 0,95.</w:t>
      </w:r>
    </w:p>
    <w:p w:rsidR="008A659F" w:rsidRDefault="008A659F">
      <w:pPr>
        <w:pStyle w:val="a1"/>
      </w:pPr>
      <w:r>
        <w:rPr>
          <w:i/>
        </w:rPr>
        <w:t>Эффективно передаваемая полоса частот</w:t>
      </w:r>
      <w:r>
        <w:t xml:space="preserve"> канала ТЧ - полоса, на крайних частотах которой (0,3 и 3,4 кГц) остаточное затухание на 8,7 дБ превышает остаточное затухание на частоте 800 Гц. Частотная характеристика отклонения канала ТЧ от номинала 7 дБ должна оставаться в пределах шаблона (Рис. 6.22) при максимальном числе транзитов, т.е. при 12 переприемных участках.</w:t>
      </w:r>
    </w:p>
    <w:p w:rsidR="008A659F" w:rsidRDefault="0059070E">
      <w:pPr>
        <w:pStyle w:val="a1"/>
        <w:jc w:val="center"/>
      </w:pPr>
      <w:r>
        <w:pict>
          <v:shape id="_x0000_s1031" type="#_x0000_t75" style="position:absolute;left:0;text-align:left;margin-left:0;margin-top:6pt;width:498.55pt;height:234.7pt;z-index:251658240;mso-wrap-distance-left:0;mso-wrap-distance-right:0;mso-position-horizontal:center" filled="t">
            <v:fill color2="black"/>
            <v:imagedata r:id="rId10" o:title=""/>
            <w10:wrap type="square" side="largest"/>
          </v:shape>
        </w:pict>
      </w:r>
      <w:r w:rsidR="008A659F">
        <w:t xml:space="preserve">Рис. 6.22. Шаблон отклонения остаточного затухания аналогового канала ТЧ </w:t>
      </w:r>
    </w:p>
    <w:p w:rsidR="008A659F" w:rsidRDefault="008A659F">
      <w:pPr>
        <w:pStyle w:val="a1"/>
      </w:pPr>
      <w:r>
        <w:rPr>
          <w:i/>
        </w:rPr>
        <w:t>Фазочастотные искажения</w:t>
      </w:r>
      <w:r>
        <w:t xml:space="preserve"> не являются столь существенным при передаче речи. Но так как каналы ТЧ используются также для передачи данных и факсимильной связи, большие фазочастотные искажения недопустимы. Поэтому нормируется отклонение </w:t>
      </w:r>
      <w:r>
        <w:rPr>
          <w:i/>
        </w:rPr>
        <w:t>группового времени передачи</w:t>
      </w:r>
      <w:r>
        <w:t xml:space="preserve"> (ГВП) от его значении на частоте 1900 Гц на одном транзитном участке длиной 2500 км (Рис. 6.23).</w:t>
      </w:r>
    </w:p>
    <w:p w:rsidR="008A659F" w:rsidRDefault="0059070E">
      <w:pPr>
        <w:pStyle w:val="a1"/>
        <w:jc w:val="center"/>
      </w:pPr>
      <w:r>
        <w:pict>
          <v:shape id="_x0000_s1032" type="#_x0000_t75" style="position:absolute;left:0;text-align:left;margin-left:19.5pt;margin-top:-36pt;width:498.55pt;height:202.15pt;z-index:251659264;mso-wrap-distance-left:0;mso-wrap-distance-right:0" filled="t">
            <v:fill color2="black"/>
            <v:imagedata r:id="rId11" o:title=""/>
            <w10:wrap type="square" side="largest"/>
          </v:shape>
        </w:pict>
      </w:r>
      <w:r w:rsidR="008A659F">
        <w:t xml:space="preserve">Рис. 6.23. Допустимые отклонения ГВП канала ТЧ </w:t>
      </w:r>
    </w:p>
    <w:p w:rsidR="008A659F" w:rsidRDefault="008A659F">
      <w:pPr>
        <w:pStyle w:val="a1"/>
      </w:pPr>
      <w:r>
        <w:rPr>
          <w:i/>
        </w:rPr>
        <w:t>Коэффициент нелинейных искажений</w:t>
      </w:r>
      <w:r>
        <w:t xml:space="preserve"> канала ТЧ на одном транзитном участке не должен превышать 1,5% (1% по третьей гармонике) при номинальном уровне передачи тока частотой 800 Гц. Амплитудная характеристика при этом нормируется следующим образом: остаточное затухание канала на одном транзитном участке должно оставаться постоянным с точностью 0,3 дБ при изменении уровня измерительного сигнала от минус 17,5 дБ до плюс 3,5 дБ в точке с нулевым измерительным уровнем на любой частоте пределах 0,3... 3,4 кГц. При повышении уровня измерительного сигнала до 8,7 и 20 дБ остаточное затухание должно уменьшиться не менее чем на 1,75 и 7,8 дБ соответственно.</w:t>
      </w:r>
    </w:p>
    <w:p w:rsidR="008A659F" w:rsidRDefault="008A659F">
      <w:pPr>
        <w:pStyle w:val="a1"/>
      </w:pPr>
      <w:r>
        <w:rPr>
          <w:i/>
        </w:rPr>
        <w:t>Помехи</w:t>
      </w:r>
      <w:r>
        <w:t xml:space="preserve"> в каналах ТЧ. На выходе канала ТЧ кроме информационного сигнала присутствуют помехи, которые определяются на приемном конце в точке с относительным уровнем минус 7 дБ. Средняя величина псофометрического (взвешенного) напряжения помех в канале в течение любого часа на одном переприемном участке длиной 2500 км не должна превышать 1,1 мВ псоф (10000 пВт псоф в точке относительного нулевого уровня).</w:t>
      </w:r>
    </w:p>
    <w:p w:rsidR="008A659F" w:rsidRDefault="008A659F">
      <w:pPr>
        <w:pStyle w:val="a1"/>
      </w:pPr>
      <w:r>
        <w:t xml:space="preserve">Стандартные каналы ТЧ, организованные с помощью </w:t>
      </w:r>
      <w:r>
        <w:rPr>
          <w:i/>
        </w:rPr>
        <w:t>цифровых и оптических</w:t>
      </w:r>
      <w:r>
        <w:t xml:space="preserve"> систем передачи, являются более высококачественными. Поэтому ряд характеристик цифровых каналов ТЧ имеют следующие отличия.</w:t>
      </w:r>
    </w:p>
    <w:p w:rsidR="008A659F" w:rsidRDefault="008A659F">
      <w:pPr>
        <w:pStyle w:val="a1"/>
      </w:pPr>
      <w:r>
        <w:t>Нормы на амплитудно-частотные искажения заданы МСЭ-Т в виде шаблона (Рис. 6.24). Если сравнить допустимые отклонения остаточных затуханий цифровых и аналоговых каналов ТЧ (см. Рис. 6.22), можно отметить, что нормы для цифровых каналов более жесткие. То же можно сказать и о фазочастотных искажениях (Рис. 6.25).</w:t>
      </w:r>
    </w:p>
    <w:p w:rsidR="008A659F" w:rsidRDefault="0059070E">
      <w:r>
        <w:pict>
          <v:shape id="_x0000_s1033" type="#_x0000_t75" style="position:absolute;margin-left:38.95pt;margin-top:-19.5pt;width:420.65pt;height:227.2pt;z-index:251660288;mso-wrap-distance-left:0;mso-wrap-distance-right:0" filled="t">
            <v:fill color2="black"/>
            <v:imagedata r:id="rId12" o:title=""/>
            <w10:wrap type="square" side="largest"/>
          </v:shape>
        </w:pict>
      </w:r>
      <w:r w:rsidR="008A659F">
        <w:t xml:space="preserve">Рис. 6.24. Шаблон отклонений остаточного затухания цифрового канала ТЧ </w:t>
      </w:r>
    </w:p>
    <w:p w:rsidR="008A659F" w:rsidRDefault="0059070E">
      <w:pPr>
        <w:pStyle w:val="a1"/>
      </w:pPr>
      <w:r>
        <w:pict>
          <v:shape id="_x0000_s1034" type="#_x0000_t75" style="position:absolute;margin-left:0;margin-top:0;width:425.9pt;height:283.4pt;z-index:251661312;mso-wrap-distance-left:0;mso-wrap-distance-right:0;mso-position-horizontal:center" filled="t">
            <v:fill color2="black"/>
            <v:imagedata r:id="rId13" o:title=""/>
            <w10:wrap type="square" side="largest"/>
          </v:shape>
        </w:pict>
      </w:r>
      <w:r w:rsidR="008A659F">
        <w:t xml:space="preserve">ля цифровых каналов ТЧ вводится дополнительная характеристика, которая оценивает </w:t>
      </w:r>
      <w:r w:rsidR="008A659F">
        <w:rPr>
          <w:i/>
        </w:rPr>
        <w:t>шумы квантования</w:t>
      </w:r>
      <w:r w:rsidR="008A659F">
        <w:t xml:space="preserve">. Эта характеристика задается в виде зависимости </w:t>
      </w:r>
      <w:r w:rsidR="008A659F">
        <w:rPr>
          <w:i/>
        </w:rPr>
        <w:t>отношения сигнал-шум</w:t>
      </w:r>
      <w:r w:rsidR="008A659F">
        <w:t xml:space="preserve"> (ОСШ) от уровня сигнала (Рис. 6.26).</w:t>
      </w:r>
    </w:p>
    <w:p w:rsidR="008A659F" w:rsidRDefault="0059070E">
      <w:pPr>
        <w:pStyle w:val="a1"/>
        <w:jc w:val="center"/>
      </w:pPr>
      <w:r>
        <w:pict>
          <v:shape id="_x0000_s1035" type="#_x0000_t75" style="position:absolute;left:0;text-align:left;margin-left:0;margin-top:0;width:498.55pt;height:276.65pt;z-index:251662336;mso-wrap-distance-left:0;mso-wrap-distance-right:0;mso-position-horizontal:center" filled="t">
            <v:fill color2="black"/>
            <v:imagedata r:id="rId14" o:title=""/>
            <w10:wrap type="square" side="largest"/>
          </v:shape>
        </w:pict>
      </w:r>
      <w:r w:rsidR="008A659F">
        <w:t xml:space="preserve"> </w:t>
      </w:r>
    </w:p>
    <w:p w:rsidR="008A659F" w:rsidRDefault="008A659F">
      <w:pPr>
        <w:pStyle w:val="a1"/>
        <w:jc w:val="center"/>
      </w:pPr>
      <w:r>
        <w:t xml:space="preserve">Рис. 6.26. Зависимость отношения сигнал/шум квантования от уровня сигнала </w:t>
      </w:r>
    </w:p>
    <w:p w:rsidR="008A659F" w:rsidRDefault="008A659F">
      <w:pPr>
        <w:pStyle w:val="a1"/>
      </w:pPr>
      <w:r>
        <w:rPr>
          <w:u w:val="single"/>
        </w:rPr>
        <w:t>Широкополосные каналы</w:t>
      </w:r>
      <w:r>
        <w:t xml:space="preserve">. Современные системы передачи позволяют кроме стандартных каналов ТЧ организовать каналы с более высокой пропускной способностью. Увеличение пропускной способности достигается расширением ЭППЧ, причем широкополосные каналы образуются объединением нескольких каналов ТЧ. </w:t>
      </w:r>
    </w:p>
    <w:p w:rsidR="008A659F" w:rsidRDefault="008A659F">
      <w:pPr>
        <w:pStyle w:val="a1"/>
      </w:pPr>
      <w:r>
        <w:t>В настоящее время аналоговые системы передачи предусматривают образование следующих широкополосных каналов:</w:t>
      </w:r>
    </w:p>
    <w:p w:rsidR="008A659F" w:rsidRDefault="008A659F">
      <w:pPr>
        <w:pStyle w:val="a1"/>
        <w:numPr>
          <w:ilvl w:val="0"/>
          <w:numId w:val="2"/>
        </w:numPr>
        <w:tabs>
          <w:tab w:val="left" w:pos="707"/>
        </w:tabs>
      </w:pPr>
      <w:r>
        <w:t>предгруппового канала с полосой частот 12..24 кГц взамен трех каналов ТЧ;</w:t>
      </w:r>
    </w:p>
    <w:p w:rsidR="008A659F" w:rsidRDefault="008A659F">
      <w:pPr>
        <w:pStyle w:val="a1"/>
        <w:numPr>
          <w:ilvl w:val="0"/>
          <w:numId w:val="2"/>
        </w:numPr>
        <w:tabs>
          <w:tab w:val="left" w:pos="707"/>
        </w:tabs>
      </w:pPr>
      <w:r>
        <w:t>первичного канала 60..108 кГц взамен 12 каналов ТЧ;</w:t>
      </w:r>
    </w:p>
    <w:p w:rsidR="008A659F" w:rsidRDefault="008A659F">
      <w:pPr>
        <w:pStyle w:val="a1"/>
        <w:numPr>
          <w:ilvl w:val="0"/>
          <w:numId w:val="2"/>
        </w:numPr>
        <w:tabs>
          <w:tab w:val="left" w:pos="707"/>
        </w:tabs>
      </w:pPr>
      <w:r>
        <w:t>вторичного канала 312..552 кГц взамен 60 каналов ТЧ;</w:t>
      </w:r>
    </w:p>
    <w:p w:rsidR="008A659F" w:rsidRDefault="008A659F">
      <w:pPr>
        <w:pStyle w:val="a1"/>
        <w:numPr>
          <w:ilvl w:val="0"/>
          <w:numId w:val="2"/>
        </w:numPr>
        <w:tabs>
          <w:tab w:val="left" w:pos="707"/>
        </w:tabs>
      </w:pPr>
      <w:r>
        <w:t>третичного канала 812..2044 кГц взамен 300 каналов ТЧ.</w:t>
      </w:r>
    </w:p>
    <w:p w:rsidR="008A659F" w:rsidRDefault="008A659F">
      <w:pPr>
        <w:pStyle w:val="a1"/>
      </w:pPr>
      <w:r>
        <w:t>Кроме перечисленных каналов в системах передачи формируются каналы вещания и телевидения (со звуковым вещанием).</w:t>
      </w:r>
    </w:p>
    <w:p w:rsidR="008A659F" w:rsidRDefault="008A659F">
      <w:bookmarkStart w:id="0" w:name="_GoBack"/>
      <w:bookmarkEnd w:id="0"/>
    </w:p>
    <w:sectPr w:rsidR="008A659F">
      <w:footnotePr>
        <w:pos w:val="beneathText"/>
        <w:numRestart w:val="eachPage"/>
      </w:footnotePr>
      <w:endnotePr>
        <w:numFmt w:val="decimal"/>
      </w:endnotePr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59F"/>
    <w:rsid w:val="0059070E"/>
    <w:rsid w:val="00697000"/>
    <w:rsid w:val="008A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  <w15:chartTrackingRefBased/>
  <w15:docId w15:val="{CC105D29-1809-4EF6-8535-A8F36960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6">
    <w:name w:val="Символ сноски"/>
  </w:style>
  <w:style w:type="character" w:customStyle="1" w:styleId="a7">
    <w:name w:val="Символы концевой сноски"/>
  </w:style>
  <w:style w:type="paragraph" w:styleId="a1">
    <w:name w:val="Body Text"/>
    <w:basedOn w:val="a"/>
    <w:pPr>
      <w:spacing w:after="120"/>
    </w:p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cs="Tahoma"/>
      <w:sz w:val="28"/>
      <w:szCs w:val="28"/>
    </w:rPr>
  </w:style>
  <w:style w:type="paragraph" w:styleId="a8">
    <w:name w:val="Title"/>
    <w:basedOn w:val="a0"/>
    <w:next w:val="a9"/>
    <w:qFormat/>
  </w:style>
  <w:style w:type="paragraph" w:styleId="a9">
    <w:name w:val="Subtitle"/>
    <w:basedOn w:val="a0"/>
    <w:next w:val="a1"/>
    <w:qFormat/>
    <w:pPr>
      <w:jc w:val="center"/>
    </w:pPr>
    <w:rPr>
      <w:i/>
      <w:iCs/>
    </w:rPr>
  </w:style>
  <w:style w:type="paragraph" w:styleId="aa">
    <w:name w:val="List"/>
    <w:basedOn w:val="a1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CoolReferat.com</vt:lpstr>
      <vt:lpstr>        .2.2. Каналы связи</vt:lpstr>
    </vt:vector>
  </TitlesOfParts>
  <Company>Microsoft</Company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-</dc:creator>
  <cp:keywords/>
  <cp:lastModifiedBy>admin</cp:lastModifiedBy>
  <cp:revision>2</cp:revision>
  <cp:lastPrinted>2112-12-31T21:00:00Z</cp:lastPrinted>
  <dcterms:created xsi:type="dcterms:W3CDTF">2014-06-22T16:23:00Z</dcterms:created>
  <dcterms:modified xsi:type="dcterms:W3CDTF">2014-06-22T16:23:00Z</dcterms:modified>
</cp:coreProperties>
</file>